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CA9" w14:textId="77777777" w:rsidR="00364763" w:rsidRPr="00AA3723" w:rsidRDefault="00176258" w:rsidP="00364763">
      <w:pPr>
        <w:pStyle w:val="MemoHeading"/>
        <w:rPr>
          <w:rFonts w:asciiTheme="majorHAnsi" w:hAnsiTheme="majorHAnsi"/>
        </w:rPr>
      </w:pPr>
      <w:bookmarkStart w:id="0" w:name="bmkMemoHeading"/>
      <w:r w:rsidRPr="00AA3723">
        <w:rPr>
          <w:rFonts w:asciiTheme="majorHAnsi" w:hAnsiTheme="majorHAnsi"/>
        </w:rPr>
        <w:t>MEMORANDUM</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236"/>
      </w:tblGrid>
      <w:tr w:rsidR="00027C51" w:rsidRPr="00AA3723" w14:paraId="1354A0F1" w14:textId="77777777" w:rsidTr="00176258">
        <w:tc>
          <w:tcPr>
            <w:tcW w:w="2050" w:type="dxa"/>
          </w:tcPr>
          <w:p w14:paraId="3C6F3B1D" w14:textId="77777777" w:rsidR="00364763" w:rsidRPr="00AA3723" w:rsidRDefault="00176258" w:rsidP="005D7FA5">
            <w:pPr>
              <w:pStyle w:val="BBBodyTextNoSpacing"/>
              <w:rPr>
                <w:rFonts w:asciiTheme="majorHAnsi" w:hAnsiTheme="majorHAnsi"/>
                <w:b/>
              </w:rPr>
            </w:pPr>
            <w:bookmarkStart w:id="1" w:name="labTo"/>
            <w:r w:rsidRPr="00AA3723">
              <w:rPr>
                <w:rFonts w:asciiTheme="majorHAnsi" w:hAnsiTheme="majorHAnsi"/>
                <w:b/>
              </w:rPr>
              <w:t>To</w:t>
            </w:r>
            <w:bookmarkEnd w:id="1"/>
            <w:r w:rsidR="00364763" w:rsidRPr="00AA3723">
              <w:rPr>
                <w:rFonts w:asciiTheme="majorHAnsi" w:hAnsiTheme="majorHAnsi"/>
                <w:b/>
              </w:rPr>
              <w:t>:</w:t>
            </w:r>
          </w:p>
        </w:tc>
        <w:tc>
          <w:tcPr>
            <w:tcW w:w="7236" w:type="dxa"/>
          </w:tcPr>
          <w:p w14:paraId="123B9876" w14:textId="77777777" w:rsidR="00364763" w:rsidRPr="00AA3723" w:rsidRDefault="00176258" w:rsidP="005D7FA5">
            <w:pPr>
              <w:pStyle w:val="BBBodyTextNoSpacing"/>
              <w:rPr>
                <w:rFonts w:asciiTheme="majorHAnsi" w:hAnsiTheme="majorHAnsi"/>
              </w:rPr>
            </w:pPr>
            <w:bookmarkStart w:id="2" w:name="bmkTo"/>
            <w:r w:rsidRPr="00AA3723">
              <w:rPr>
                <w:rFonts w:asciiTheme="majorHAnsi" w:hAnsiTheme="majorHAnsi"/>
              </w:rPr>
              <w:t>Internet Corporation for Assigned Names and Numbers</w:t>
            </w:r>
            <w:bookmarkEnd w:id="2"/>
            <w:r w:rsidR="00B64626" w:rsidRPr="00AA3723">
              <w:rPr>
                <w:rFonts w:asciiTheme="majorHAnsi" w:hAnsiTheme="majorHAnsi"/>
              </w:rPr>
              <w:t>, EPDP Team</w:t>
            </w:r>
          </w:p>
        </w:tc>
      </w:tr>
      <w:tr w:rsidR="00027C51" w:rsidRPr="00AA3723" w14:paraId="482C912A" w14:textId="77777777" w:rsidTr="00176258">
        <w:tc>
          <w:tcPr>
            <w:tcW w:w="2050" w:type="dxa"/>
          </w:tcPr>
          <w:p w14:paraId="30AEE843" w14:textId="77777777" w:rsidR="00364763" w:rsidRPr="001B35BD" w:rsidRDefault="00176258" w:rsidP="005D7FA5">
            <w:pPr>
              <w:pStyle w:val="BBBodyTextNoSpacing"/>
              <w:rPr>
                <w:rFonts w:asciiTheme="majorHAnsi" w:hAnsiTheme="majorHAnsi"/>
                <w:b/>
              </w:rPr>
            </w:pPr>
            <w:bookmarkStart w:id="3" w:name="labFrom"/>
            <w:r w:rsidRPr="00AA3723">
              <w:rPr>
                <w:rFonts w:asciiTheme="majorHAnsi" w:hAnsiTheme="majorHAnsi"/>
                <w:b/>
              </w:rPr>
              <w:t>From</w:t>
            </w:r>
            <w:bookmarkEnd w:id="3"/>
            <w:r w:rsidR="00364763" w:rsidRPr="00AA3723">
              <w:rPr>
                <w:rFonts w:asciiTheme="majorHAnsi" w:hAnsiTheme="majorHAnsi"/>
                <w:b/>
              </w:rPr>
              <w:t>:</w:t>
            </w:r>
          </w:p>
        </w:tc>
        <w:tc>
          <w:tcPr>
            <w:tcW w:w="7236" w:type="dxa"/>
          </w:tcPr>
          <w:p w14:paraId="41111A59" w14:textId="77777777" w:rsidR="00364763" w:rsidRPr="00AA3723" w:rsidRDefault="00176258" w:rsidP="005D7FA5">
            <w:pPr>
              <w:pStyle w:val="BBBodyTextNoSpacing"/>
              <w:rPr>
                <w:rFonts w:asciiTheme="majorHAnsi" w:hAnsiTheme="majorHAnsi"/>
              </w:rPr>
            </w:pPr>
            <w:bookmarkStart w:id="4" w:name="bmkFrom"/>
            <w:r w:rsidRPr="00AA3723">
              <w:rPr>
                <w:rFonts w:asciiTheme="majorHAnsi" w:hAnsiTheme="majorHAnsi"/>
              </w:rPr>
              <w:t>Ruth Boardman</w:t>
            </w:r>
            <w:bookmarkEnd w:id="4"/>
            <w:r w:rsidR="00B64626" w:rsidRPr="00AA3723">
              <w:rPr>
                <w:rFonts w:asciiTheme="majorHAnsi" w:hAnsiTheme="majorHAnsi"/>
              </w:rPr>
              <w:t xml:space="preserve"> &amp; Gabe Maldoff</w:t>
            </w:r>
          </w:p>
        </w:tc>
      </w:tr>
      <w:tr w:rsidR="00027C51" w:rsidRPr="00AA3723" w14:paraId="6B57A894" w14:textId="77777777" w:rsidTr="00176258">
        <w:tc>
          <w:tcPr>
            <w:tcW w:w="2050" w:type="dxa"/>
          </w:tcPr>
          <w:p w14:paraId="70C9C103" w14:textId="77777777" w:rsidR="00364763" w:rsidRPr="001B35BD" w:rsidRDefault="00176258" w:rsidP="005D7FA5">
            <w:pPr>
              <w:pStyle w:val="BBBodyTextNoSpacing"/>
              <w:rPr>
                <w:rFonts w:asciiTheme="majorHAnsi" w:hAnsiTheme="majorHAnsi"/>
                <w:b/>
              </w:rPr>
            </w:pPr>
            <w:bookmarkStart w:id="5" w:name="labDate"/>
            <w:r w:rsidRPr="00AA3723">
              <w:rPr>
                <w:rFonts w:asciiTheme="majorHAnsi" w:hAnsiTheme="majorHAnsi"/>
                <w:b/>
              </w:rPr>
              <w:t>Date</w:t>
            </w:r>
            <w:bookmarkEnd w:id="5"/>
            <w:r w:rsidR="00364763" w:rsidRPr="00AA3723">
              <w:rPr>
                <w:rFonts w:asciiTheme="majorHAnsi" w:hAnsiTheme="majorHAnsi"/>
                <w:b/>
              </w:rPr>
              <w:t>:</w:t>
            </w:r>
          </w:p>
        </w:tc>
        <w:tc>
          <w:tcPr>
            <w:tcW w:w="7236" w:type="dxa"/>
          </w:tcPr>
          <w:p w14:paraId="06FE783E" w14:textId="1B6C48AA" w:rsidR="00364763" w:rsidRPr="00AA3723" w:rsidRDefault="001178E2" w:rsidP="00D425F3">
            <w:pPr>
              <w:pStyle w:val="BBBodyTextNoSpacing"/>
              <w:rPr>
                <w:rFonts w:asciiTheme="majorHAnsi" w:hAnsiTheme="majorHAnsi"/>
              </w:rPr>
            </w:pPr>
            <w:bookmarkStart w:id="6" w:name="bmkDate"/>
            <w:r>
              <w:rPr>
                <w:rFonts w:asciiTheme="majorHAnsi" w:hAnsiTheme="majorHAnsi"/>
              </w:rPr>
              <w:t>2</w:t>
            </w:r>
            <w:r w:rsidR="00D425F3">
              <w:rPr>
                <w:rFonts w:asciiTheme="majorHAnsi" w:hAnsiTheme="majorHAnsi"/>
              </w:rPr>
              <w:t>2</w:t>
            </w:r>
            <w:r w:rsidR="00176258" w:rsidRPr="00AA3723">
              <w:rPr>
                <w:rFonts w:asciiTheme="majorHAnsi" w:hAnsiTheme="majorHAnsi"/>
              </w:rPr>
              <w:t xml:space="preserve"> January 2019</w:t>
            </w:r>
            <w:bookmarkEnd w:id="6"/>
          </w:p>
        </w:tc>
      </w:tr>
      <w:tr w:rsidR="00027C51" w:rsidRPr="00AA3723" w14:paraId="30069BA1" w14:textId="77777777" w:rsidTr="00176258">
        <w:tc>
          <w:tcPr>
            <w:tcW w:w="2050" w:type="dxa"/>
          </w:tcPr>
          <w:p w14:paraId="1CEB2F9A" w14:textId="77777777" w:rsidR="00364763" w:rsidRPr="001B35BD" w:rsidRDefault="00176258" w:rsidP="005D7FA5">
            <w:pPr>
              <w:pStyle w:val="BBBodyTextNoSpacing"/>
              <w:rPr>
                <w:rFonts w:asciiTheme="majorHAnsi" w:hAnsiTheme="majorHAnsi"/>
                <w:b/>
              </w:rPr>
            </w:pPr>
            <w:bookmarkStart w:id="7" w:name="labRe"/>
            <w:r w:rsidRPr="00AA3723">
              <w:rPr>
                <w:rFonts w:asciiTheme="majorHAnsi" w:hAnsiTheme="majorHAnsi"/>
                <w:b/>
              </w:rPr>
              <w:t>Subject</w:t>
            </w:r>
            <w:bookmarkEnd w:id="7"/>
            <w:r w:rsidR="00364763" w:rsidRPr="00AA3723">
              <w:rPr>
                <w:rFonts w:asciiTheme="majorHAnsi" w:hAnsiTheme="majorHAnsi"/>
                <w:b/>
              </w:rPr>
              <w:t>:</w:t>
            </w:r>
          </w:p>
        </w:tc>
        <w:tc>
          <w:tcPr>
            <w:tcW w:w="7236" w:type="dxa"/>
          </w:tcPr>
          <w:p w14:paraId="058DE7E9" w14:textId="43AD1BEE" w:rsidR="00364763" w:rsidRPr="00AA3723" w:rsidRDefault="00176258" w:rsidP="00207DB5">
            <w:pPr>
              <w:pStyle w:val="BBBodyTextNoSpacing"/>
              <w:rPr>
                <w:rFonts w:asciiTheme="majorHAnsi" w:hAnsiTheme="majorHAnsi"/>
              </w:rPr>
            </w:pPr>
            <w:bookmarkStart w:id="8" w:name="bmkRe"/>
            <w:r w:rsidRPr="00AA3723">
              <w:rPr>
                <w:rFonts w:asciiTheme="majorHAnsi" w:hAnsiTheme="majorHAnsi"/>
              </w:rPr>
              <w:t xml:space="preserve">Advice on </w:t>
            </w:r>
            <w:r w:rsidR="00207DB5">
              <w:rPr>
                <w:rFonts w:asciiTheme="majorHAnsi" w:hAnsiTheme="majorHAnsi"/>
              </w:rPr>
              <w:t xml:space="preserve">providing notice to technical contacts as part of the domain name registration process </w:t>
            </w:r>
            <w:r w:rsidR="009322FE">
              <w:rPr>
                <w:rFonts w:asciiTheme="majorHAnsi" w:hAnsiTheme="majorHAnsi"/>
              </w:rPr>
              <w:t xml:space="preserve">pursuant to </w:t>
            </w:r>
            <w:r w:rsidRPr="00AA3723">
              <w:rPr>
                <w:rFonts w:asciiTheme="majorHAnsi" w:hAnsiTheme="majorHAnsi"/>
              </w:rPr>
              <w:t>the General Data Protection Regul</w:t>
            </w:r>
            <w:r w:rsidR="00207DB5">
              <w:rPr>
                <w:rFonts w:asciiTheme="majorHAnsi" w:hAnsiTheme="majorHAnsi"/>
              </w:rPr>
              <w:t>ation (Regulation (EU) 2016/679)</w:t>
            </w:r>
            <w:r w:rsidRPr="00AA3723">
              <w:rPr>
                <w:rFonts w:asciiTheme="majorHAnsi" w:hAnsiTheme="majorHAnsi"/>
              </w:rPr>
              <w:t xml:space="preserve"> </w:t>
            </w:r>
            <w:r w:rsidR="00207DB5">
              <w:rPr>
                <w:rFonts w:asciiTheme="majorHAnsi" w:hAnsiTheme="majorHAnsi"/>
              </w:rPr>
              <w:t>(</w:t>
            </w:r>
            <w:r w:rsidRPr="00AA3723">
              <w:rPr>
                <w:rFonts w:asciiTheme="majorHAnsi" w:hAnsiTheme="majorHAnsi"/>
              </w:rPr>
              <w:t>"GDPR")</w:t>
            </w:r>
            <w:bookmarkEnd w:id="8"/>
          </w:p>
        </w:tc>
      </w:tr>
    </w:tbl>
    <w:p w14:paraId="088D3BFE" w14:textId="77777777" w:rsidR="00D42BAE" w:rsidRPr="00AA3723" w:rsidRDefault="00D42BAE" w:rsidP="007A55C9">
      <w:pPr>
        <w:pBdr>
          <w:bottom w:val="single" w:sz="12" w:space="1" w:color="auto"/>
        </w:pBdr>
        <w:spacing w:after="0"/>
        <w:rPr>
          <w:rFonts w:asciiTheme="majorHAnsi" w:eastAsia="Calibri" w:hAnsiTheme="majorHAnsi" w:cs="Calibri"/>
          <w:sz w:val="20"/>
        </w:rPr>
      </w:pPr>
    </w:p>
    <w:p w14:paraId="2D434435" w14:textId="77777777" w:rsidR="007A55C9" w:rsidRPr="00AA3723" w:rsidRDefault="007A55C9" w:rsidP="007A55C9">
      <w:pPr>
        <w:autoSpaceDE w:val="0"/>
        <w:autoSpaceDN w:val="0"/>
        <w:spacing w:after="0"/>
        <w:rPr>
          <w:rFonts w:asciiTheme="majorHAnsi" w:eastAsia="Calibri" w:hAnsiTheme="majorHAnsi" w:cs="Calibri"/>
          <w:szCs w:val="22"/>
        </w:rPr>
      </w:pPr>
    </w:p>
    <w:p w14:paraId="089C834B" w14:textId="77777777" w:rsidR="007A55C9" w:rsidRPr="00AA3723" w:rsidRDefault="007A55C9" w:rsidP="007A55C9">
      <w:pPr>
        <w:autoSpaceDE w:val="0"/>
        <w:autoSpaceDN w:val="0"/>
        <w:spacing w:after="0"/>
        <w:rPr>
          <w:rFonts w:asciiTheme="majorHAnsi" w:eastAsia="Calibri" w:hAnsiTheme="majorHAnsi" w:cs="Calibri"/>
          <w:szCs w:val="22"/>
        </w:rPr>
      </w:pPr>
    </w:p>
    <w:p w14:paraId="5E00027F" w14:textId="0DAADF6B" w:rsidR="007269AB" w:rsidRPr="00AA3723" w:rsidRDefault="007269AB" w:rsidP="007269AB">
      <w:pPr>
        <w:numPr>
          <w:ilvl w:val="0"/>
          <w:numId w:val="47"/>
        </w:numPr>
        <w:autoSpaceDE w:val="0"/>
        <w:autoSpaceDN w:val="0"/>
        <w:spacing w:after="0"/>
        <w:rPr>
          <w:rFonts w:asciiTheme="majorHAnsi" w:eastAsia="Calibri" w:hAnsiTheme="majorHAnsi" w:cs="Calibri"/>
          <w:szCs w:val="22"/>
        </w:rPr>
      </w:pPr>
      <w:r w:rsidRPr="00AA3723">
        <w:rPr>
          <w:rFonts w:asciiTheme="majorHAnsi" w:eastAsia="Calibri" w:hAnsiTheme="majorHAnsi" w:cs="Calibri"/>
          <w:szCs w:val="22"/>
        </w:rPr>
        <w:t xml:space="preserve">The EPDP Team has asked two questions </w:t>
      </w:r>
      <w:r w:rsidR="009322FE">
        <w:rPr>
          <w:rFonts w:asciiTheme="majorHAnsi" w:eastAsia="Calibri" w:hAnsiTheme="majorHAnsi" w:cs="Calibri"/>
          <w:szCs w:val="22"/>
        </w:rPr>
        <w:t>relating to the do</w:t>
      </w:r>
      <w:r w:rsidR="00207DB5">
        <w:rPr>
          <w:rFonts w:asciiTheme="majorHAnsi" w:eastAsia="Calibri" w:hAnsiTheme="majorHAnsi" w:cs="Calibri"/>
          <w:szCs w:val="22"/>
        </w:rPr>
        <w:t xml:space="preserve">main name registration process. The first question, addressed in this memo, is whether it is sufficient to require the Registered Name Holder ("RNH") to provide notice to the technical contact on the registrar's behalf where the technical contact and the RNH </w:t>
      </w:r>
      <w:proofErr w:type="gramStart"/>
      <w:r w:rsidR="00207DB5">
        <w:rPr>
          <w:rFonts w:asciiTheme="majorHAnsi" w:eastAsia="Calibri" w:hAnsiTheme="majorHAnsi" w:cs="Calibri"/>
          <w:szCs w:val="22"/>
        </w:rPr>
        <w:t>are</w:t>
      </w:r>
      <w:proofErr w:type="gramEnd"/>
      <w:r w:rsidR="00207DB5">
        <w:rPr>
          <w:rFonts w:asciiTheme="majorHAnsi" w:eastAsia="Calibri" w:hAnsiTheme="majorHAnsi" w:cs="Calibri"/>
          <w:szCs w:val="22"/>
        </w:rPr>
        <w:t xml:space="preserve"> not the same person, or whether the registrar must obtain the technical contact's consent.</w:t>
      </w:r>
    </w:p>
    <w:p w14:paraId="2C735562" w14:textId="77777777" w:rsidR="007A55C9" w:rsidRPr="00AA3723" w:rsidRDefault="007A55C9" w:rsidP="007A55C9">
      <w:pPr>
        <w:autoSpaceDE w:val="0"/>
        <w:autoSpaceDN w:val="0"/>
        <w:spacing w:after="0"/>
        <w:rPr>
          <w:rFonts w:asciiTheme="majorHAnsi" w:eastAsia="Calibri" w:hAnsiTheme="majorHAnsi" w:cs="Calibri"/>
          <w:b/>
          <w:szCs w:val="22"/>
        </w:rPr>
      </w:pPr>
    </w:p>
    <w:p w14:paraId="5F62ADF0" w14:textId="03EDA50C" w:rsidR="00AE0152" w:rsidRDefault="00D425F3" w:rsidP="00D2479F">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 xml:space="preserve">Article 13 of the GDPR sets out the </w:t>
      </w:r>
      <w:r w:rsidR="002861DF">
        <w:rPr>
          <w:rFonts w:asciiTheme="majorHAnsi" w:eastAsia="Calibri" w:hAnsiTheme="majorHAnsi" w:cs="Calibri"/>
          <w:szCs w:val="22"/>
        </w:rPr>
        <w:t xml:space="preserve">controller’s </w:t>
      </w:r>
      <w:r>
        <w:rPr>
          <w:rFonts w:asciiTheme="majorHAnsi" w:eastAsia="Calibri" w:hAnsiTheme="majorHAnsi" w:cs="Calibri"/>
          <w:szCs w:val="22"/>
        </w:rPr>
        <w:t xml:space="preserve">obligation to provide notice where the controller collects the data directly from data subjects. </w:t>
      </w:r>
      <w:r w:rsidR="00863FA9">
        <w:rPr>
          <w:rFonts w:asciiTheme="majorHAnsi" w:eastAsia="Calibri" w:hAnsiTheme="majorHAnsi" w:cs="Calibri"/>
          <w:szCs w:val="22"/>
        </w:rPr>
        <w:t xml:space="preserve">Under </w:t>
      </w:r>
      <w:r w:rsidR="00374581">
        <w:rPr>
          <w:rFonts w:asciiTheme="majorHAnsi" w:eastAsia="Calibri" w:hAnsiTheme="majorHAnsi" w:cs="Calibri"/>
          <w:szCs w:val="22"/>
        </w:rPr>
        <w:t>A</w:t>
      </w:r>
      <w:r w:rsidR="00863FA9">
        <w:rPr>
          <w:rFonts w:asciiTheme="majorHAnsi" w:eastAsia="Calibri" w:hAnsiTheme="majorHAnsi" w:cs="Calibri"/>
          <w:szCs w:val="22"/>
        </w:rPr>
        <w:t>rticle 13, the relevant information must be provided "</w:t>
      </w:r>
      <w:r w:rsidR="00863FA9">
        <w:rPr>
          <w:rFonts w:asciiTheme="majorHAnsi" w:eastAsia="Calibri" w:hAnsiTheme="majorHAnsi" w:cs="Calibri"/>
          <w:i/>
          <w:szCs w:val="22"/>
        </w:rPr>
        <w:t>at the time when personal data are obtained</w:t>
      </w:r>
      <w:r w:rsidR="00863FA9">
        <w:rPr>
          <w:rFonts w:asciiTheme="majorHAnsi" w:eastAsia="Calibri" w:hAnsiTheme="majorHAnsi" w:cs="Calibri"/>
          <w:szCs w:val="22"/>
        </w:rPr>
        <w:t>".</w:t>
      </w:r>
    </w:p>
    <w:p w14:paraId="6BB9A505" w14:textId="77777777" w:rsidR="00863FA9" w:rsidRDefault="00863FA9" w:rsidP="00863FA9">
      <w:pPr>
        <w:autoSpaceDE w:val="0"/>
        <w:autoSpaceDN w:val="0"/>
        <w:spacing w:after="0"/>
        <w:ind w:left="720"/>
        <w:rPr>
          <w:rFonts w:asciiTheme="majorHAnsi" w:eastAsia="Calibri" w:hAnsiTheme="majorHAnsi" w:cs="Calibri"/>
          <w:szCs w:val="22"/>
        </w:rPr>
      </w:pPr>
    </w:p>
    <w:p w14:paraId="1BF8555C" w14:textId="5CF42C6B" w:rsidR="00863FA9" w:rsidRDefault="00863FA9" w:rsidP="00863FA9">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Article 14 applies where the controller obtains the personal data indirectly – i.e. where it has "</w:t>
      </w:r>
      <w:r>
        <w:rPr>
          <w:rFonts w:asciiTheme="majorHAnsi" w:eastAsia="Calibri" w:hAnsiTheme="majorHAnsi" w:cs="Calibri"/>
          <w:i/>
          <w:szCs w:val="22"/>
        </w:rPr>
        <w:t>not been obtained from the data subject</w:t>
      </w:r>
      <w:r>
        <w:rPr>
          <w:rFonts w:asciiTheme="majorHAnsi" w:eastAsia="Calibri" w:hAnsiTheme="majorHAnsi" w:cs="Calibri"/>
          <w:szCs w:val="22"/>
        </w:rPr>
        <w:t>". Article 14 generally requires controllers to provide data subjects with the same categories of information as Article 13. However, Article 14 differs from Article 13 in several respects:</w:t>
      </w:r>
    </w:p>
    <w:p w14:paraId="6437B7BB" w14:textId="77777777" w:rsidR="00374581" w:rsidRDefault="00374581" w:rsidP="00374581">
      <w:pPr>
        <w:autoSpaceDE w:val="0"/>
        <w:autoSpaceDN w:val="0"/>
        <w:spacing w:after="0"/>
        <w:ind w:left="720"/>
        <w:rPr>
          <w:rFonts w:asciiTheme="majorHAnsi" w:eastAsia="Calibri" w:hAnsiTheme="majorHAnsi" w:cs="Calibri"/>
          <w:szCs w:val="22"/>
        </w:rPr>
      </w:pPr>
    </w:p>
    <w:p w14:paraId="1E58EEF9" w14:textId="3146A62F" w:rsidR="00863FA9" w:rsidRDefault="00374581" w:rsidP="00374581">
      <w:pPr>
        <w:numPr>
          <w:ilvl w:val="1"/>
          <w:numId w:val="47"/>
        </w:numPr>
        <w:autoSpaceDE w:val="0"/>
        <w:autoSpaceDN w:val="0"/>
        <w:spacing w:after="0"/>
        <w:rPr>
          <w:rFonts w:asciiTheme="majorHAnsi" w:eastAsia="Calibri" w:hAnsiTheme="majorHAnsi" w:cs="Calibri"/>
          <w:szCs w:val="22"/>
        </w:rPr>
      </w:pPr>
      <w:r w:rsidRPr="000B5371">
        <w:rPr>
          <w:rFonts w:asciiTheme="majorHAnsi" w:eastAsia="Calibri" w:hAnsiTheme="majorHAnsi" w:cs="Calibri"/>
          <w:b/>
          <w:szCs w:val="22"/>
        </w:rPr>
        <w:t xml:space="preserve">Minor differences in </w:t>
      </w:r>
      <w:r w:rsidR="000B5371">
        <w:rPr>
          <w:rFonts w:asciiTheme="majorHAnsi" w:eastAsia="Calibri" w:hAnsiTheme="majorHAnsi" w:cs="Calibri"/>
          <w:b/>
          <w:szCs w:val="22"/>
        </w:rPr>
        <w:t xml:space="preserve">the </w:t>
      </w:r>
      <w:r w:rsidRPr="000B5371">
        <w:rPr>
          <w:rFonts w:asciiTheme="majorHAnsi" w:eastAsia="Calibri" w:hAnsiTheme="majorHAnsi" w:cs="Calibri"/>
          <w:b/>
          <w:szCs w:val="22"/>
        </w:rPr>
        <w:t>conten</w:t>
      </w:r>
      <w:r w:rsidR="000B5371">
        <w:rPr>
          <w:rFonts w:asciiTheme="majorHAnsi" w:eastAsia="Calibri" w:hAnsiTheme="majorHAnsi" w:cs="Calibri"/>
          <w:b/>
          <w:szCs w:val="22"/>
        </w:rPr>
        <w:t>t of the information to be provided</w:t>
      </w:r>
      <w:r>
        <w:rPr>
          <w:rFonts w:asciiTheme="majorHAnsi" w:eastAsia="Calibri" w:hAnsiTheme="majorHAnsi" w:cs="Calibri"/>
          <w:szCs w:val="22"/>
        </w:rPr>
        <w:t>: Article 14 requires the controller to identify the sources of personal data as well as the categories of personal data that will be processed. These elements are not required under Article 13.</w:t>
      </w:r>
    </w:p>
    <w:p w14:paraId="1BC4F654" w14:textId="77777777" w:rsidR="00374581" w:rsidRDefault="00374581" w:rsidP="00374581">
      <w:pPr>
        <w:autoSpaceDE w:val="0"/>
        <w:autoSpaceDN w:val="0"/>
        <w:spacing w:after="0"/>
        <w:ind w:left="1778"/>
        <w:rPr>
          <w:rFonts w:asciiTheme="majorHAnsi" w:eastAsia="Calibri" w:hAnsiTheme="majorHAnsi" w:cs="Calibri"/>
          <w:szCs w:val="22"/>
        </w:rPr>
      </w:pPr>
    </w:p>
    <w:p w14:paraId="6C8DB0A1" w14:textId="2110026A" w:rsidR="00374581" w:rsidRDefault="00374581" w:rsidP="00374581">
      <w:pPr>
        <w:numPr>
          <w:ilvl w:val="1"/>
          <w:numId w:val="47"/>
        </w:numPr>
        <w:autoSpaceDE w:val="0"/>
        <w:autoSpaceDN w:val="0"/>
        <w:spacing w:after="0"/>
        <w:rPr>
          <w:rFonts w:asciiTheme="majorHAnsi" w:eastAsia="Calibri" w:hAnsiTheme="majorHAnsi" w:cs="Calibri"/>
          <w:szCs w:val="22"/>
        </w:rPr>
      </w:pPr>
      <w:r w:rsidRPr="000B5371">
        <w:rPr>
          <w:rFonts w:asciiTheme="majorHAnsi" w:eastAsia="Calibri" w:hAnsiTheme="majorHAnsi" w:cs="Calibri"/>
          <w:b/>
          <w:szCs w:val="22"/>
        </w:rPr>
        <w:t>Timing of notice</w:t>
      </w:r>
      <w:r>
        <w:rPr>
          <w:rFonts w:asciiTheme="majorHAnsi" w:eastAsia="Calibri" w:hAnsiTheme="majorHAnsi" w:cs="Calibri"/>
          <w:szCs w:val="22"/>
        </w:rPr>
        <w:t>: notice must be provided to data subjects "</w:t>
      </w:r>
      <w:r>
        <w:rPr>
          <w:rFonts w:asciiTheme="majorHAnsi" w:eastAsia="Calibri" w:hAnsiTheme="majorHAnsi" w:cs="Calibri"/>
          <w:i/>
          <w:szCs w:val="22"/>
        </w:rPr>
        <w:t>within a reasonable period after obtaining the personal data</w:t>
      </w:r>
      <w:r>
        <w:rPr>
          <w:rFonts w:asciiTheme="majorHAnsi" w:eastAsia="Calibri" w:hAnsiTheme="majorHAnsi" w:cs="Calibri"/>
          <w:szCs w:val="22"/>
        </w:rPr>
        <w:t>" but not later than within one month or upon first communication with the data subject or disclosure to another recipient – whichever comes first.</w:t>
      </w:r>
    </w:p>
    <w:p w14:paraId="18F1F3B4" w14:textId="77777777" w:rsidR="00374581" w:rsidRDefault="00374581" w:rsidP="00374581">
      <w:pPr>
        <w:autoSpaceDE w:val="0"/>
        <w:autoSpaceDN w:val="0"/>
        <w:spacing w:after="0"/>
        <w:ind w:left="1778"/>
        <w:rPr>
          <w:rFonts w:asciiTheme="majorHAnsi" w:eastAsia="Calibri" w:hAnsiTheme="majorHAnsi" w:cs="Calibri"/>
          <w:szCs w:val="22"/>
        </w:rPr>
      </w:pPr>
    </w:p>
    <w:p w14:paraId="12F6E7B0" w14:textId="2A1A7870" w:rsidR="00C15716" w:rsidRDefault="00C15716" w:rsidP="00C15716">
      <w:pPr>
        <w:numPr>
          <w:ilvl w:val="1"/>
          <w:numId w:val="47"/>
        </w:numPr>
        <w:autoSpaceDE w:val="0"/>
        <w:autoSpaceDN w:val="0"/>
        <w:spacing w:after="0"/>
        <w:rPr>
          <w:rFonts w:asciiTheme="majorHAnsi" w:eastAsia="Calibri" w:hAnsiTheme="majorHAnsi" w:cs="Calibri"/>
          <w:szCs w:val="22"/>
        </w:rPr>
      </w:pPr>
      <w:r>
        <w:rPr>
          <w:rFonts w:asciiTheme="majorHAnsi" w:eastAsia="Calibri" w:hAnsiTheme="majorHAnsi" w:cs="Calibri"/>
          <w:b/>
          <w:szCs w:val="22"/>
        </w:rPr>
        <w:t>Broader e</w:t>
      </w:r>
      <w:r w:rsidR="00374581" w:rsidRPr="000B5371">
        <w:rPr>
          <w:rFonts w:asciiTheme="majorHAnsi" w:eastAsia="Calibri" w:hAnsiTheme="majorHAnsi" w:cs="Calibri"/>
          <w:b/>
          <w:szCs w:val="22"/>
        </w:rPr>
        <w:t>xceptions to the notice requirement</w:t>
      </w:r>
      <w:r w:rsidR="00374581">
        <w:rPr>
          <w:rFonts w:asciiTheme="majorHAnsi" w:eastAsia="Calibri" w:hAnsiTheme="majorHAnsi" w:cs="Calibri"/>
          <w:szCs w:val="22"/>
        </w:rPr>
        <w:t xml:space="preserve">: </w:t>
      </w:r>
      <w:r w:rsidR="000B5371">
        <w:rPr>
          <w:rFonts w:asciiTheme="majorHAnsi" w:eastAsia="Calibri" w:hAnsiTheme="majorHAnsi" w:cs="Calibri"/>
          <w:szCs w:val="22"/>
        </w:rPr>
        <w:t xml:space="preserve">Controllers are exempt from </w:t>
      </w:r>
      <w:r w:rsidR="00374581">
        <w:rPr>
          <w:rFonts w:asciiTheme="majorHAnsi" w:eastAsia="Calibri" w:hAnsiTheme="majorHAnsi" w:cs="Calibri"/>
          <w:szCs w:val="22"/>
        </w:rPr>
        <w:t>Article 13</w:t>
      </w:r>
      <w:r w:rsidR="000B5371">
        <w:rPr>
          <w:rFonts w:asciiTheme="majorHAnsi" w:eastAsia="Calibri" w:hAnsiTheme="majorHAnsi" w:cs="Calibri"/>
          <w:szCs w:val="22"/>
        </w:rPr>
        <w:t xml:space="preserve"> notice requirements only if</w:t>
      </w:r>
      <w:r w:rsidR="00374581">
        <w:rPr>
          <w:rFonts w:asciiTheme="majorHAnsi" w:eastAsia="Calibri" w:hAnsiTheme="majorHAnsi" w:cs="Calibri"/>
          <w:szCs w:val="22"/>
        </w:rPr>
        <w:t xml:space="preserve"> </w:t>
      </w:r>
      <w:r w:rsidR="000B5371">
        <w:rPr>
          <w:rFonts w:asciiTheme="majorHAnsi" w:eastAsia="Calibri" w:hAnsiTheme="majorHAnsi" w:cs="Calibri"/>
          <w:szCs w:val="22"/>
        </w:rPr>
        <w:t xml:space="preserve">the data subject already has the information or EU or </w:t>
      </w:r>
      <w:r w:rsidR="00374581">
        <w:rPr>
          <w:rFonts w:asciiTheme="majorHAnsi" w:eastAsia="Calibri" w:hAnsiTheme="majorHAnsi" w:cs="Calibri"/>
          <w:szCs w:val="22"/>
        </w:rPr>
        <w:t>Member State legi</w:t>
      </w:r>
      <w:r w:rsidR="000B5371">
        <w:rPr>
          <w:rFonts w:asciiTheme="majorHAnsi" w:eastAsia="Calibri" w:hAnsiTheme="majorHAnsi" w:cs="Calibri"/>
          <w:szCs w:val="22"/>
        </w:rPr>
        <w:t xml:space="preserve">slation enacted pursuant to Article 23 exempts the controller from providing notice. </w:t>
      </w:r>
      <w:r>
        <w:rPr>
          <w:rFonts w:asciiTheme="majorHAnsi" w:eastAsia="Calibri" w:hAnsiTheme="majorHAnsi" w:cs="Calibri"/>
          <w:szCs w:val="22"/>
        </w:rPr>
        <w:t>By contrast</w:t>
      </w:r>
      <w:r w:rsidR="000B5371">
        <w:rPr>
          <w:rFonts w:asciiTheme="majorHAnsi" w:eastAsia="Calibri" w:hAnsiTheme="majorHAnsi" w:cs="Calibri"/>
          <w:szCs w:val="22"/>
        </w:rPr>
        <w:t xml:space="preserve">, </w:t>
      </w:r>
      <w:r>
        <w:rPr>
          <w:rFonts w:asciiTheme="majorHAnsi" w:eastAsia="Calibri" w:hAnsiTheme="majorHAnsi" w:cs="Calibri"/>
          <w:szCs w:val="22"/>
        </w:rPr>
        <w:t xml:space="preserve">under </w:t>
      </w:r>
      <w:r w:rsidR="000B5371">
        <w:rPr>
          <w:rFonts w:asciiTheme="majorHAnsi" w:eastAsia="Calibri" w:hAnsiTheme="majorHAnsi" w:cs="Calibri"/>
          <w:szCs w:val="22"/>
        </w:rPr>
        <w:t>Article 14</w:t>
      </w:r>
      <w:r>
        <w:rPr>
          <w:rFonts w:asciiTheme="majorHAnsi" w:eastAsia="Calibri" w:hAnsiTheme="majorHAnsi" w:cs="Calibri"/>
          <w:szCs w:val="22"/>
        </w:rPr>
        <w:t>, in addition to the exemptions above, controllers may be exempt if a binding obligation of professional secrecy applies</w:t>
      </w:r>
      <w:r w:rsidR="00541EA5">
        <w:rPr>
          <w:rFonts w:asciiTheme="majorHAnsi" w:eastAsia="Calibri" w:hAnsiTheme="majorHAnsi" w:cs="Calibri"/>
          <w:szCs w:val="22"/>
        </w:rPr>
        <w:t xml:space="preserve"> (for example, a lawyer would not need to provide notice if it would violate her client's confidentiality)</w:t>
      </w:r>
      <w:r>
        <w:rPr>
          <w:rFonts w:asciiTheme="majorHAnsi" w:eastAsia="Calibri" w:hAnsiTheme="majorHAnsi" w:cs="Calibri"/>
          <w:szCs w:val="22"/>
        </w:rPr>
        <w:t xml:space="preserve"> or if</w:t>
      </w:r>
      <w:r w:rsidR="000B5371">
        <w:rPr>
          <w:rFonts w:asciiTheme="majorHAnsi" w:eastAsia="Calibri" w:hAnsiTheme="majorHAnsi" w:cs="Calibri"/>
          <w:szCs w:val="22"/>
        </w:rPr>
        <w:t xml:space="preserve"> p</w:t>
      </w:r>
      <w:r w:rsidR="002861DF">
        <w:rPr>
          <w:rFonts w:asciiTheme="majorHAnsi" w:eastAsia="Calibri" w:hAnsiTheme="majorHAnsi" w:cs="Calibri"/>
          <w:szCs w:val="22"/>
        </w:rPr>
        <w:t xml:space="preserve">roviding the information would </w:t>
      </w:r>
      <w:r w:rsidR="000B5371">
        <w:rPr>
          <w:rFonts w:asciiTheme="majorHAnsi" w:eastAsia="Calibri" w:hAnsiTheme="majorHAnsi" w:cs="Calibri"/>
          <w:szCs w:val="22"/>
        </w:rPr>
        <w:t>be "</w:t>
      </w:r>
      <w:r w:rsidR="000B5371">
        <w:rPr>
          <w:rFonts w:asciiTheme="majorHAnsi" w:eastAsia="Calibri" w:hAnsiTheme="majorHAnsi" w:cs="Calibri"/>
          <w:i/>
          <w:szCs w:val="22"/>
        </w:rPr>
        <w:t>impossible or would involve disproportionate effort</w:t>
      </w:r>
      <w:r w:rsidR="000B5371">
        <w:rPr>
          <w:rFonts w:asciiTheme="majorHAnsi" w:eastAsia="Calibri" w:hAnsiTheme="majorHAnsi" w:cs="Calibri"/>
          <w:szCs w:val="22"/>
        </w:rPr>
        <w:t>"</w:t>
      </w:r>
      <w:r>
        <w:rPr>
          <w:rFonts w:asciiTheme="majorHAnsi" w:eastAsia="Calibri" w:hAnsiTheme="majorHAnsi" w:cs="Calibri"/>
          <w:szCs w:val="22"/>
        </w:rPr>
        <w:t>:</w:t>
      </w:r>
    </w:p>
    <w:p w14:paraId="46120E41" w14:textId="77777777" w:rsidR="00C15716" w:rsidRDefault="00C15716" w:rsidP="00C15716">
      <w:pPr>
        <w:autoSpaceDE w:val="0"/>
        <w:autoSpaceDN w:val="0"/>
        <w:spacing w:after="0"/>
        <w:ind w:left="1778"/>
        <w:rPr>
          <w:rFonts w:asciiTheme="majorHAnsi" w:eastAsia="Calibri" w:hAnsiTheme="majorHAnsi" w:cs="Calibri"/>
          <w:szCs w:val="22"/>
        </w:rPr>
      </w:pPr>
    </w:p>
    <w:p w14:paraId="2A7990B6" w14:textId="32CB1A41" w:rsidR="00C15716" w:rsidRPr="00C15716" w:rsidRDefault="00C15716" w:rsidP="00C15716">
      <w:pPr>
        <w:autoSpaceDE w:val="0"/>
        <w:autoSpaceDN w:val="0"/>
        <w:spacing w:after="0"/>
        <w:ind w:left="1778"/>
        <w:rPr>
          <w:rFonts w:asciiTheme="majorHAnsi" w:eastAsia="Calibri" w:hAnsiTheme="majorHAnsi" w:cs="Calibri"/>
          <w:szCs w:val="22"/>
        </w:rPr>
      </w:pPr>
      <w:r>
        <w:rPr>
          <w:rFonts w:asciiTheme="majorHAnsi" w:eastAsia="Calibri" w:hAnsiTheme="majorHAnsi" w:cs="Calibri"/>
          <w:szCs w:val="22"/>
        </w:rPr>
        <w:t>"</w:t>
      </w:r>
      <w:r w:rsidRPr="00C15716">
        <w:rPr>
          <w:rFonts w:asciiTheme="majorHAnsi" w:eastAsia="Calibri" w:hAnsiTheme="majorHAnsi" w:cs="Calibri"/>
          <w:i/>
          <w:szCs w:val="22"/>
        </w:rPr>
        <w:t>Paragraphs 1 to 4</w:t>
      </w:r>
      <w:r>
        <w:rPr>
          <w:rFonts w:asciiTheme="majorHAnsi" w:eastAsia="Calibri" w:hAnsiTheme="majorHAnsi" w:cs="Calibri"/>
          <w:szCs w:val="22"/>
        </w:rPr>
        <w:t xml:space="preserve"> [which set out the required content of the notice]</w:t>
      </w:r>
      <w:r w:rsidRPr="00C15716">
        <w:rPr>
          <w:rFonts w:asciiTheme="majorHAnsi" w:eastAsia="Calibri" w:hAnsiTheme="majorHAnsi" w:cs="Calibri"/>
          <w:szCs w:val="22"/>
        </w:rPr>
        <w:t xml:space="preserve"> </w:t>
      </w:r>
      <w:r w:rsidRPr="00C15716">
        <w:rPr>
          <w:rFonts w:asciiTheme="majorHAnsi" w:eastAsia="Calibri" w:hAnsiTheme="majorHAnsi" w:cs="Calibri"/>
          <w:i/>
          <w:szCs w:val="22"/>
        </w:rPr>
        <w:t xml:space="preserve">shall not apply where and insofar as … the provision of such information proves impossible or would involve a disproportionate effort, in particular for processing for archiving purposes in the public interest, </w:t>
      </w:r>
      <w:r w:rsidRPr="00C15716">
        <w:rPr>
          <w:rFonts w:asciiTheme="majorHAnsi" w:eastAsia="Calibri" w:hAnsiTheme="majorHAnsi" w:cs="Calibri"/>
          <w:i/>
          <w:szCs w:val="22"/>
        </w:rPr>
        <w:lastRenderedPageBreak/>
        <w:t xml:space="preserve">scientific or historical research purposes or statistical purposes </w:t>
      </w:r>
      <w:r w:rsidR="00541EA5">
        <w:rPr>
          <w:rFonts w:asciiTheme="majorHAnsi" w:eastAsia="Calibri" w:hAnsiTheme="majorHAnsi" w:cs="Calibri"/>
          <w:i/>
          <w:szCs w:val="22"/>
        </w:rPr>
        <w:t xml:space="preserve">… </w:t>
      </w:r>
      <w:r w:rsidRPr="00C15716">
        <w:rPr>
          <w:rFonts w:asciiTheme="majorHAnsi" w:eastAsia="Calibri" w:hAnsiTheme="majorHAnsi" w:cs="Calibri"/>
          <w:i/>
          <w:szCs w:val="22"/>
        </w:rPr>
        <w:t>. In such cases the controller shall take appropriate measures to protect the data subject's rights and freedoms and legitimate interests, including making the information publicly available</w:t>
      </w:r>
      <w:r>
        <w:rPr>
          <w:rFonts w:asciiTheme="majorHAnsi" w:eastAsia="Calibri" w:hAnsiTheme="majorHAnsi" w:cs="Calibri"/>
          <w:szCs w:val="22"/>
        </w:rPr>
        <w:t>" (Article 14(5)(b)).</w:t>
      </w:r>
    </w:p>
    <w:p w14:paraId="489062CA" w14:textId="68E632CC" w:rsidR="00374581" w:rsidRDefault="00374581" w:rsidP="00C15716">
      <w:pPr>
        <w:autoSpaceDE w:val="0"/>
        <w:autoSpaceDN w:val="0"/>
        <w:spacing w:after="0"/>
        <w:ind w:left="720"/>
        <w:rPr>
          <w:rFonts w:asciiTheme="majorHAnsi" w:eastAsia="Calibri" w:hAnsiTheme="majorHAnsi" w:cs="Calibri"/>
          <w:szCs w:val="22"/>
        </w:rPr>
      </w:pPr>
    </w:p>
    <w:p w14:paraId="7C3ED9D4" w14:textId="3AC0846A" w:rsidR="00C15716" w:rsidRDefault="002861DF" w:rsidP="00863FA9">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Both</w:t>
      </w:r>
      <w:r w:rsidR="00F81BE8">
        <w:rPr>
          <w:rFonts w:asciiTheme="majorHAnsi" w:eastAsia="Calibri" w:hAnsiTheme="majorHAnsi" w:cs="Calibri"/>
          <w:szCs w:val="22"/>
        </w:rPr>
        <w:t xml:space="preserve"> Article 13 or 14 </w:t>
      </w:r>
      <w:r>
        <w:rPr>
          <w:rFonts w:asciiTheme="majorHAnsi" w:eastAsia="Calibri" w:hAnsiTheme="majorHAnsi" w:cs="Calibri"/>
          <w:szCs w:val="22"/>
        </w:rPr>
        <w:t>impose an obligation</w:t>
      </w:r>
      <w:r w:rsidR="00F81BE8">
        <w:rPr>
          <w:rFonts w:asciiTheme="majorHAnsi" w:eastAsia="Calibri" w:hAnsiTheme="majorHAnsi" w:cs="Calibri"/>
          <w:szCs w:val="22"/>
        </w:rPr>
        <w:t xml:space="preserve"> on the controller to "</w:t>
      </w:r>
      <w:r w:rsidR="00F81BE8">
        <w:rPr>
          <w:rFonts w:asciiTheme="majorHAnsi" w:eastAsia="Calibri" w:hAnsiTheme="majorHAnsi" w:cs="Calibri"/>
          <w:i/>
          <w:szCs w:val="22"/>
        </w:rPr>
        <w:t>provide</w:t>
      </w:r>
      <w:r w:rsidR="00F81BE8">
        <w:rPr>
          <w:rFonts w:asciiTheme="majorHAnsi" w:eastAsia="Calibri" w:hAnsiTheme="majorHAnsi" w:cs="Calibri"/>
          <w:szCs w:val="22"/>
        </w:rPr>
        <w:t>" the relevant information, unless an exemption applies. The European Data Protection Board ("EDPB") interprets this obligation strictly:</w:t>
      </w:r>
    </w:p>
    <w:p w14:paraId="69C2724C" w14:textId="77777777" w:rsidR="00F81BE8" w:rsidRDefault="00F81BE8" w:rsidP="00F81BE8">
      <w:pPr>
        <w:autoSpaceDE w:val="0"/>
        <w:autoSpaceDN w:val="0"/>
        <w:spacing w:after="0"/>
        <w:ind w:left="720"/>
        <w:rPr>
          <w:rFonts w:asciiTheme="majorHAnsi" w:eastAsia="Calibri" w:hAnsiTheme="majorHAnsi" w:cs="Calibri"/>
          <w:szCs w:val="22"/>
        </w:rPr>
      </w:pPr>
    </w:p>
    <w:p w14:paraId="3DA36A3C" w14:textId="241164E2" w:rsidR="00F81BE8" w:rsidRDefault="00F81BE8" w:rsidP="00F81BE8">
      <w:pPr>
        <w:autoSpaceDE w:val="0"/>
        <w:autoSpaceDN w:val="0"/>
        <w:spacing w:after="0"/>
        <w:ind w:left="720"/>
        <w:rPr>
          <w:rFonts w:asciiTheme="majorHAnsi" w:eastAsia="Calibri" w:hAnsiTheme="majorHAnsi" w:cs="Calibri"/>
          <w:szCs w:val="22"/>
        </w:rPr>
      </w:pPr>
      <w:r>
        <w:rPr>
          <w:rFonts w:asciiTheme="majorHAnsi" w:eastAsia="Calibri" w:hAnsiTheme="majorHAnsi" w:cs="Calibri"/>
          <w:szCs w:val="22"/>
        </w:rPr>
        <w:t>"</w:t>
      </w:r>
      <w:r w:rsidRPr="00F81BE8">
        <w:rPr>
          <w:rFonts w:asciiTheme="majorHAnsi" w:eastAsia="Calibri" w:hAnsiTheme="majorHAnsi" w:cs="Calibri"/>
          <w:i/>
          <w:szCs w:val="22"/>
        </w:rPr>
        <w:t xml:space="preserve">Both Articles 13 and 14 refer to the obligation on the data controller to “provide the data subject with all of the following information...” The operative word here is “provide”. </w:t>
      </w:r>
      <w:r w:rsidRPr="00F81BE8">
        <w:rPr>
          <w:rFonts w:asciiTheme="majorHAnsi" w:eastAsia="Calibri" w:hAnsiTheme="majorHAnsi" w:cs="Calibri"/>
          <w:b/>
          <w:i/>
          <w:szCs w:val="22"/>
        </w:rPr>
        <w:t>This means that the data controller must take active steps to furnish the information in question to the data subject or to actively direct the data subject to the location of it (e.g. by way of a direct link, use of a QR code, etc.)</w:t>
      </w:r>
      <w:r w:rsidRPr="00F81BE8">
        <w:rPr>
          <w:rFonts w:asciiTheme="majorHAnsi" w:eastAsia="Calibri" w:hAnsiTheme="majorHAnsi" w:cs="Calibri"/>
          <w:i/>
          <w:szCs w:val="22"/>
        </w:rPr>
        <w:t>. The data subject must not have to actively search for information covered by these articles amongst other information, such as terms and conditi</w:t>
      </w:r>
      <w:r w:rsidR="00541EA5">
        <w:rPr>
          <w:rFonts w:asciiTheme="majorHAnsi" w:eastAsia="Calibri" w:hAnsiTheme="majorHAnsi" w:cs="Calibri"/>
          <w:i/>
          <w:szCs w:val="22"/>
        </w:rPr>
        <w:t>ons of use of a website or app</w:t>
      </w:r>
      <w:r>
        <w:rPr>
          <w:rFonts w:asciiTheme="majorHAnsi" w:eastAsia="Calibri" w:hAnsiTheme="majorHAnsi" w:cs="Calibri"/>
          <w:szCs w:val="22"/>
        </w:rPr>
        <w:t>" (EDPB Guidelines on transparency under Regulation 2016/679</w:t>
      </w:r>
      <w:r w:rsidR="0033509B">
        <w:rPr>
          <w:rFonts w:asciiTheme="majorHAnsi" w:eastAsia="Calibri" w:hAnsiTheme="majorHAnsi" w:cs="Calibri"/>
          <w:szCs w:val="22"/>
        </w:rPr>
        <w:t xml:space="preserve"> (emphasis added)</w:t>
      </w:r>
      <w:r>
        <w:rPr>
          <w:rFonts w:asciiTheme="majorHAnsi" w:eastAsia="Calibri" w:hAnsiTheme="majorHAnsi" w:cs="Calibri"/>
          <w:szCs w:val="22"/>
        </w:rPr>
        <w:t>)</w:t>
      </w:r>
      <w:r w:rsidRPr="00F81BE8">
        <w:rPr>
          <w:rFonts w:asciiTheme="majorHAnsi" w:eastAsia="Calibri" w:hAnsiTheme="majorHAnsi" w:cs="Calibri"/>
          <w:szCs w:val="22"/>
        </w:rPr>
        <w:t>.</w:t>
      </w:r>
    </w:p>
    <w:p w14:paraId="63A7B0E3" w14:textId="4CE6F0C7" w:rsidR="00F81BE8" w:rsidRDefault="00F81BE8" w:rsidP="00F81BE8">
      <w:pPr>
        <w:autoSpaceDE w:val="0"/>
        <w:autoSpaceDN w:val="0"/>
        <w:spacing w:after="0"/>
        <w:ind w:left="720"/>
        <w:rPr>
          <w:rFonts w:asciiTheme="majorHAnsi" w:eastAsia="Calibri" w:hAnsiTheme="majorHAnsi" w:cs="Calibri"/>
          <w:szCs w:val="22"/>
        </w:rPr>
      </w:pPr>
    </w:p>
    <w:p w14:paraId="7D2C2C5E" w14:textId="2C98259D" w:rsidR="0033509B" w:rsidRPr="00257F08" w:rsidRDefault="00F81BE8" w:rsidP="00257F08">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This obligation must be read in conjunction with Article 12, which states, "</w:t>
      </w:r>
      <w:r w:rsidRPr="00F81BE8">
        <w:rPr>
          <w:rFonts w:asciiTheme="majorHAnsi" w:eastAsia="Calibri" w:hAnsiTheme="majorHAnsi" w:cs="Calibri"/>
          <w:i/>
          <w:szCs w:val="22"/>
        </w:rPr>
        <w:t xml:space="preserve">The controller shall take </w:t>
      </w:r>
      <w:r w:rsidRPr="0033509B">
        <w:rPr>
          <w:rFonts w:asciiTheme="majorHAnsi" w:eastAsia="Calibri" w:hAnsiTheme="majorHAnsi" w:cs="Calibri"/>
          <w:b/>
          <w:i/>
          <w:szCs w:val="22"/>
        </w:rPr>
        <w:t>appropriate measures</w:t>
      </w:r>
      <w:r w:rsidRPr="00F81BE8">
        <w:rPr>
          <w:rFonts w:asciiTheme="majorHAnsi" w:eastAsia="Calibri" w:hAnsiTheme="majorHAnsi" w:cs="Calibri"/>
          <w:i/>
          <w:szCs w:val="22"/>
        </w:rPr>
        <w:t xml:space="preserve"> to provide any information referred to in Articles 13 and 14 </w:t>
      </w:r>
      <w:r w:rsidR="0033509B">
        <w:rPr>
          <w:rFonts w:asciiTheme="majorHAnsi" w:eastAsia="Calibri" w:hAnsiTheme="majorHAnsi" w:cs="Calibri"/>
          <w:i/>
          <w:szCs w:val="22"/>
        </w:rPr>
        <w:t>…</w:t>
      </w:r>
      <w:r w:rsidRPr="00F81BE8">
        <w:rPr>
          <w:rFonts w:asciiTheme="majorHAnsi" w:eastAsia="Calibri" w:hAnsiTheme="majorHAnsi" w:cs="Calibri"/>
          <w:i/>
          <w:szCs w:val="22"/>
        </w:rPr>
        <w:t xml:space="preserve"> in a concise, transparent, intelligible and easily accessible form, using clear and plain language</w:t>
      </w:r>
      <w:r>
        <w:rPr>
          <w:rFonts w:asciiTheme="majorHAnsi" w:eastAsia="Calibri" w:hAnsiTheme="majorHAnsi" w:cs="Calibri"/>
          <w:szCs w:val="22"/>
        </w:rPr>
        <w:t>"</w:t>
      </w:r>
      <w:r w:rsidR="0033509B">
        <w:rPr>
          <w:rFonts w:asciiTheme="majorHAnsi" w:eastAsia="Calibri" w:hAnsiTheme="majorHAnsi" w:cs="Calibri"/>
          <w:szCs w:val="22"/>
        </w:rPr>
        <w:t xml:space="preserve"> (emphasis added)</w:t>
      </w:r>
      <w:r>
        <w:rPr>
          <w:rFonts w:asciiTheme="majorHAnsi" w:eastAsia="Calibri" w:hAnsiTheme="majorHAnsi" w:cs="Calibri"/>
          <w:szCs w:val="22"/>
        </w:rPr>
        <w:t>.</w:t>
      </w:r>
      <w:r w:rsidR="00257F08">
        <w:rPr>
          <w:rFonts w:asciiTheme="majorHAnsi" w:eastAsia="Calibri" w:hAnsiTheme="majorHAnsi" w:cs="Calibri"/>
          <w:szCs w:val="22"/>
        </w:rPr>
        <w:t xml:space="preserve"> </w:t>
      </w:r>
      <w:r w:rsidR="002861DF" w:rsidRPr="00257F08">
        <w:rPr>
          <w:rFonts w:asciiTheme="majorHAnsi" w:eastAsia="Calibri" w:hAnsiTheme="majorHAnsi" w:cs="Calibri"/>
          <w:szCs w:val="22"/>
        </w:rPr>
        <w:t>Also relevant to the query is the general obligation, set out in Article 24(1), “</w:t>
      </w:r>
      <w:r w:rsidR="002861DF" w:rsidRPr="00257F08">
        <w:rPr>
          <w:rFonts w:asciiTheme="majorHAnsi" w:eastAsia="Calibri" w:hAnsiTheme="majorHAnsi" w:cs="Calibri"/>
          <w:i/>
          <w:szCs w:val="22"/>
        </w:rPr>
        <w:t>to be able to demonstrate that processing is performed in accordance with this Regulation</w:t>
      </w:r>
      <w:r w:rsidR="002861DF" w:rsidRPr="00257F08">
        <w:rPr>
          <w:rFonts w:asciiTheme="majorHAnsi" w:eastAsia="Calibri" w:hAnsiTheme="majorHAnsi" w:cs="Calibri"/>
          <w:szCs w:val="22"/>
        </w:rPr>
        <w:t>”.</w:t>
      </w:r>
    </w:p>
    <w:p w14:paraId="7317B597" w14:textId="77777777" w:rsidR="002861DF" w:rsidRDefault="002861DF" w:rsidP="002861DF">
      <w:pPr>
        <w:autoSpaceDE w:val="0"/>
        <w:autoSpaceDN w:val="0"/>
        <w:spacing w:after="0"/>
        <w:rPr>
          <w:rFonts w:asciiTheme="majorHAnsi" w:eastAsia="Calibri" w:hAnsiTheme="majorHAnsi" w:cs="Calibri"/>
          <w:szCs w:val="22"/>
        </w:rPr>
      </w:pPr>
    </w:p>
    <w:p w14:paraId="613094EB" w14:textId="77777777" w:rsidR="00257F08" w:rsidRDefault="00257F08" w:rsidP="00863FA9">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Where the RNH provides the registrar with personal data concerning another person who will be the technical contact, Article 14 applies because the registrar will not receive the technical contact’s personal data from her directly.</w:t>
      </w:r>
    </w:p>
    <w:p w14:paraId="39284B62" w14:textId="77777777" w:rsidR="00257F08" w:rsidRDefault="00257F08" w:rsidP="00257F08">
      <w:pPr>
        <w:autoSpaceDE w:val="0"/>
        <w:autoSpaceDN w:val="0"/>
        <w:spacing w:after="0"/>
        <w:rPr>
          <w:rFonts w:asciiTheme="majorHAnsi" w:eastAsia="Calibri" w:hAnsiTheme="majorHAnsi" w:cs="Calibri"/>
          <w:szCs w:val="22"/>
        </w:rPr>
      </w:pPr>
    </w:p>
    <w:p w14:paraId="27563D9C" w14:textId="263F1740" w:rsidR="003C3AC7" w:rsidRPr="003C3AC7" w:rsidRDefault="00541EA5" w:rsidP="003C3AC7">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The proposal to require the RNH to provide notice to the technical contact on the registrar’s behalf will allow the registrar to satisfy its obligations under Article 14</w:t>
      </w:r>
      <w:r>
        <w:rPr>
          <w:rFonts w:asciiTheme="majorHAnsi" w:eastAsia="Calibri" w:hAnsiTheme="majorHAnsi" w:cs="Calibri"/>
          <w:szCs w:val="22"/>
        </w:rPr>
        <w:t>, but only if the notice is actually provided</w:t>
      </w:r>
      <w:r>
        <w:rPr>
          <w:rFonts w:asciiTheme="majorHAnsi" w:eastAsia="Calibri" w:hAnsiTheme="majorHAnsi" w:cs="Calibri"/>
          <w:szCs w:val="22"/>
        </w:rPr>
        <w:t xml:space="preserve">. </w:t>
      </w:r>
    </w:p>
    <w:p w14:paraId="5D6BA859" w14:textId="77777777" w:rsidR="003C3AC7" w:rsidRDefault="003C3AC7" w:rsidP="003C3AC7">
      <w:pPr>
        <w:autoSpaceDE w:val="0"/>
        <w:autoSpaceDN w:val="0"/>
        <w:spacing w:after="0"/>
        <w:ind w:left="720"/>
        <w:rPr>
          <w:rFonts w:asciiTheme="majorHAnsi" w:eastAsia="Calibri" w:hAnsiTheme="majorHAnsi" w:cs="Calibri"/>
          <w:szCs w:val="22"/>
        </w:rPr>
      </w:pPr>
    </w:p>
    <w:p w14:paraId="5CD046CB" w14:textId="0663E254" w:rsidR="00257F08" w:rsidRDefault="003C3AC7" w:rsidP="003C3AC7">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 xml:space="preserve">If the notice is not provided, the registrar may be able to file a claim against the RNH for non-compliance with a contractual duty, but it will not be able to show that Article 14 was met. The registrar would need to be able to demonstrate that its means of providing notice was an </w:t>
      </w:r>
      <w:r>
        <w:rPr>
          <w:rFonts w:asciiTheme="majorHAnsi" w:eastAsia="Calibri" w:hAnsiTheme="majorHAnsi" w:cs="Calibri"/>
          <w:szCs w:val="22"/>
        </w:rPr>
        <w:t>“</w:t>
      </w:r>
      <w:r w:rsidRPr="003C3AC7">
        <w:rPr>
          <w:rFonts w:asciiTheme="majorHAnsi" w:eastAsia="Calibri" w:hAnsiTheme="majorHAnsi" w:cs="Calibri"/>
          <w:i/>
          <w:szCs w:val="22"/>
        </w:rPr>
        <w:t>appropriate measure</w:t>
      </w:r>
      <w:r>
        <w:rPr>
          <w:rFonts w:asciiTheme="majorHAnsi" w:eastAsia="Calibri" w:hAnsiTheme="majorHAnsi" w:cs="Calibri"/>
          <w:szCs w:val="22"/>
        </w:rPr>
        <w:t>” under Article 12</w:t>
      </w:r>
      <w:r>
        <w:rPr>
          <w:rFonts w:asciiTheme="majorHAnsi" w:eastAsia="Calibri" w:hAnsiTheme="majorHAnsi" w:cs="Calibri"/>
          <w:szCs w:val="22"/>
        </w:rPr>
        <w:t xml:space="preserve">, which in </w:t>
      </w:r>
      <w:r>
        <w:rPr>
          <w:rFonts w:asciiTheme="majorHAnsi" w:eastAsia="Calibri" w:hAnsiTheme="majorHAnsi" w:cs="Calibri"/>
          <w:szCs w:val="22"/>
        </w:rPr>
        <w:t xml:space="preserve">our view </w:t>
      </w:r>
      <w:r>
        <w:rPr>
          <w:rFonts w:asciiTheme="majorHAnsi" w:eastAsia="Calibri" w:hAnsiTheme="majorHAnsi" w:cs="Calibri"/>
          <w:szCs w:val="22"/>
        </w:rPr>
        <w:t xml:space="preserve">will be difficult here given the high likelihood that RNHs will not comply. </w:t>
      </w:r>
    </w:p>
    <w:p w14:paraId="44430A07" w14:textId="77777777" w:rsidR="003C3AC7" w:rsidRDefault="003C3AC7" w:rsidP="003C3AC7">
      <w:pPr>
        <w:autoSpaceDE w:val="0"/>
        <w:autoSpaceDN w:val="0"/>
        <w:spacing w:after="0"/>
        <w:rPr>
          <w:rFonts w:asciiTheme="majorHAnsi" w:eastAsia="Calibri" w:hAnsiTheme="majorHAnsi" w:cs="Calibri"/>
          <w:szCs w:val="22"/>
        </w:rPr>
      </w:pPr>
    </w:p>
    <w:p w14:paraId="488F77E0" w14:textId="4712F713" w:rsidR="000E5B91" w:rsidRDefault="003C3AC7" w:rsidP="003C3AC7">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Moreover, even if the RNH does fulfil her duty,</w:t>
      </w:r>
      <w:r w:rsidR="000E5B91">
        <w:rPr>
          <w:rFonts w:asciiTheme="majorHAnsi" w:eastAsia="Calibri" w:hAnsiTheme="majorHAnsi" w:cs="Calibri"/>
          <w:szCs w:val="22"/>
        </w:rPr>
        <w:t xml:space="preserve"> the registrar will not be able to </w:t>
      </w:r>
      <w:r>
        <w:rPr>
          <w:rFonts w:asciiTheme="majorHAnsi" w:eastAsia="Calibri" w:hAnsiTheme="majorHAnsi" w:cs="Calibri"/>
          <w:szCs w:val="22"/>
        </w:rPr>
        <w:t>"</w:t>
      </w:r>
      <w:r w:rsidR="000E5B91" w:rsidRPr="003C3AC7">
        <w:rPr>
          <w:rFonts w:asciiTheme="majorHAnsi" w:eastAsia="Calibri" w:hAnsiTheme="majorHAnsi" w:cs="Calibri"/>
          <w:i/>
          <w:szCs w:val="22"/>
        </w:rPr>
        <w:t>demonstrate</w:t>
      </w:r>
      <w:r>
        <w:rPr>
          <w:rFonts w:asciiTheme="majorHAnsi" w:eastAsia="Calibri" w:hAnsiTheme="majorHAnsi" w:cs="Calibri"/>
          <w:szCs w:val="22"/>
        </w:rPr>
        <w:t>"</w:t>
      </w:r>
      <w:r w:rsidR="000E5B91">
        <w:rPr>
          <w:rFonts w:asciiTheme="majorHAnsi" w:eastAsia="Calibri" w:hAnsiTheme="majorHAnsi" w:cs="Calibri"/>
          <w:szCs w:val="22"/>
        </w:rPr>
        <w:t xml:space="preserve"> that it has </w:t>
      </w:r>
      <w:r>
        <w:rPr>
          <w:rFonts w:asciiTheme="majorHAnsi" w:eastAsia="Calibri" w:hAnsiTheme="majorHAnsi" w:cs="Calibri"/>
          <w:szCs w:val="22"/>
        </w:rPr>
        <w:t>met its obligations under Article 14</w:t>
      </w:r>
      <w:r w:rsidR="000E5B91">
        <w:rPr>
          <w:rFonts w:asciiTheme="majorHAnsi" w:eastAsia="Calibri" w:hAnsiTheme="majorHAnsi" w:cs="Calibri"/>
          <w:szCs w:val="22"/>
        </w:rPr>
        <w:t xml:space="preserve">. If an individual or data protection authority asked for evidence that notice was provided to a given data subject, the registrar would not be able to meet this burden. A controller relying on such an arrangement would likely seek to impose an obligation on the third-party to retain the relevant records and to permit the controller to audit the third-party’s processes. It is not practical for a registrar to impose this on RNHs. </w:t>
      </w:r>
    </w:p>
    <w:p w14:paraId="7821080F" w14:textId="77777777" w:rsidR="00257F08" w:rsidRDefault="00257F08" w:rsidP="00257F08">
      <w:pPr>
        <w:autoSpaceDE w:val="0"/>
        <w:autoSpaceDN w:val="0"/>
        <w:spacing w:after="0"/>
        <w:rPr>
          <w:rFonts w:asciiTheme="majorHAnsi" w:eastAsia="Calibri" w:hAnsiTheme="majorHAnsi" w:cs="Calibri"/>
          <w:szCs w:val="22"/>
        </w:rPr>
      </w:pPr>
    </w:p>
    <w:p w14:paraId="7E3D65AA" w14:textId="35ACF17A" w:rsidR="00257F08" w:rsidRDefault="000E5B91" w:rsidP="00863FA9">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Nor will registrars be exempt from providing notice due to impossibility or disproportionate effort.</w:t>
      </w:r>
    </w:p>
    <w:p w14:paraId="153A838F" w14:textId="77777777" w:rsidR="001C15FE" w:rsidRDefault="001C15FE" w:rsidP="001C15FE">
      <w:pPr>
        <w:autoSpaceDE w:val="0"/>
        <w:autoSpaceDN w:val="0"/>
        <w:spacing w:after="0"/>
        <w:ind w:left="720"/>
        <w:rPr>
          <w:rFonts w:asciiTheme="majorHAnsi" w:eastAsia="Calibri" w:hAnsiTheme="majorHAnsi" w:cs="Calibri"/>
          <w:szCs w:val="22"/>
        </w:rPr>
      </w:pPr>
    </w:p>
    <w:p w14:paraId="2EEE4BD5" w14:textId="4A483C82" w:rsidR="000330AA" w:rsidRDefault="0065775E" w:rsidP="000330AA">
      <w:pPr>
        <w:numPr>
          <w:ilvl w:val="1"/>
          <w:numId w:val="47"/>
        </w:numPr>
        <w:autoSpaceDE w:val="0"/>
        <w:autoSpaceDN w:val="0"/>
        <w:spacing w:after="0"/>
        <w:rPr>
          <w:rFonts w:asciiTheme="majorHAnsi" w:eastAsia="Calibri" w:hAnsiTheme="majorHAnsi" w:cs="Calibri"/>
          <w:szCs w:val="22"/>
          <w:lang w:val="en-US"/>
        </w:rPr>
      </w:pPr>
      <w:r>
        <w:rPr>
          <w:rFonts w:asciiTheme="majorHAnsi" w:eastAsia="Calibri" w:hAnsiTheme="majorHAnsi" w:cs="Calibri"/>
          <w:szCs w:val="22"/>
        </w:rPr>
        <w:t xml:space="preserve">Providing notice is not impossible. </w:t>
      </w:r>
      <w:r w:rsidR="000330AA">
        <w:rPr>
          <w:rFonts w:asciiTheme="majorHAnsi" w:eastAsia="Calibri" w:hAnsiTheme="majorHAnsi" w:cs="Calibri"/>
          <w:szCs w:val="22"/>
        </w:rPr>
        <w:t>To rely on the exemption for impossibility, the controller must demonstrate there are “</w:t>
      </w:r>
      <w:r w:rsidR="000330AA" w:rsidRPr="000330AA">
        <w:rPr>
          <w:rFonts w:asciiTheme="majorHAnsi" w:eastAsia="Calibri" w:hAnsiTheme="majorHAnsi" w:cs="Calibri"/>
          <w:i/>
          <w:szCs w:val="22"/>
          <w:lang w:val="en-US"/>
        </w:rPr>
        <w:t xml:space="preserve">factors that </w:t>
      </w:r>
      <w:r w:rsidR="000330AA" w:rsidRPr="000330AA">
        <w:rPr>
          <w:rFonts w:asciiTheme="majorHAnsi" w:eastAsia="Calibri" w:hAnsiTheme="majorHAnsi" w:cs="Calibri"/>
          <w:i/>
          <w:szCs w:val="22"/>
          <w:lang w:val="en-US"/>
        </w:rPr>
        <w:lastRenderedPageBreak/>
        <w:t>actually prevent it from providing the information in question to data subjects</w:t>
      </w:r>
      <w:r w:rsidR="000330AA">
        <w:rPr>
          <w:rFonts w:asciiTheme="majorHAnsi" w:eastAsia="Calibri" w:hAnsiTheme="majorHAnsi" w:cs="Calibri"/>
          <w:szCs w:val="22"/>
          <w:lang w:val="en-US"/>
        </w:rPr>
        <w:t>” (EDPB Guidelines on transparency). It is not impossible in this case for registrars to provide notice because they have contact details for the technical contacts on file.</w:t>
      </w:r>
    </w:p>
    <w:p w14:paraId="71564621" w14:textId="77777777" w:rsidR="000330AA" w:rsidRPr="000330AA" w:rsidRDefault="000330AA" w:rsidP="000330AA">
      <w:pPr>
        <w:autoSpaceDE w:val="0"/>
        <w:autoSpaceDN w:val="0"/>
        <w:spacing w:after="0"/>
        <w:ind w:left="1778"/>
        <w:rPr>
          <w:rFonts w:asciiTheme="majorHAnsi" w:eastAsia="Calibri" w:hAnsiTheme="majorHAnsi" w:cs="Calibri"/>
          <w:szCs w:val="22"/>
          <w:lang w:val="en-US"/>
        </w:rPr>
      </w:pPr>
    </w:p>
    <w:p w14:paraId="62DB1A14" w14:textId="31EF742A" w:rsidR="00B65D47" w:rsidRDefault="000330AA" w:rsidP="00B65D47">
      <w:pPr>
        <w:numPr>
          <w:ilvl w:val="1"/>
          <w:numId w:val="47"/>
        </w:numPr>
        <w:autoSpaceDE w:val="0"/>
        <w:autoSpaceDN w:val="0"/>
        <w:spacing w:after="0"/>
        <w:rPr>
          <w:rFonts w:asciiTheme="majorHAnsi" w:eastAsia="Calibri" w:hAnsiTheme="majorHAnsi" w:cs="Calibri"/>
          <w:szCs w:val="22"/>
          <w:lang w:val="en-US"/>
        </w:rPr>
      </w:pPr>
      <w:r>
        <w:rPr>
          <w:rFonts w:asciiTheme="majorHAnsi" w:eastAsia="Calibri" w:hAnsiTheme="majorHAnsi" w:cs="Calibri"/>
          <w:szCs w:val="22"/>
        </w:rPr>
        <w:t xml:space="preserve">The EDPB Guidelines interpret the exemption for disproportionate effort very narrowly. </w:t>
      </w:r>
      <w:r w:rsidR="00B65D47">
        <w:rPr>
          <w:rFonts w:asciiTheme="majorHAnsi" w:eastAsia="Calibri" w:hAnsiTheme="majorHAnsi" w:cs="Calibri"/>
          <w:szCs w:val="22"/>
        </w:rPr>
        <w:t>Citing the reference in Article 14(5) to research purposes, t</w:t>
      </w:r>
      <w:r>
        <w:rPr>
          <w:rFonts w:asciiTheme="majorHAnsi" w:eastAsia="Calibri" w:hAnsiTheme="majorHAnsi" w:cs="Calibri"/>
          <w:szCs w:val="22"/>
        </w:rPr>
        <w:t xml:space="preserve">he guidelines state that </w:t>
      </w:r>
      <w:r w:rsidR="00B65D47">
        <w:rPr>
          <w:rFonts w:asciiTheme="majorHAnsi" w:eastAsia="Calibri" w:hAnsiTheme="majorHAnsi" w:cs="Calibri"/>
          <w:szCs w:val="22"/>
        </w:rPr>
        <w:t>“</w:t>
      </w:r>
      <w:r w:rsidR="00B65D47" w:rsidRPr="0065775E">
        <w:rPr>
          <w:rFonts w:asciiTheme="majorHAnsi" w:eastAsia="Calibri" w:hAnsiTheme="majorHAnsi" w:cs="Calibri"/>
          <w:i/>
          <w:szCs w:val="22"/>
          <w:lang w:val="en-US"/>
        </w:rPr>
        <w:t xml:space="preserve">this exception should not be </w:t>
      </w:r>
      <w:r w:rsidR="00B65D47" w:rsidRPr="0065775E">
        <w:rPr>
          <w:rFonts w:asciiTheme="majorHAnsi" w:eastAsia="Calibri" w:hAnsiTheme="majorHAnsi" w:cs="Calibri"/>
          <w:b/>
          <w:i/>
          <w:szCs w:val="22"/>
          <w:lang w:val="en-US"/>
        </w:rPr>
        <w:t>routinely</w:t>
      </w:r>
      <w:r w:rsidR="00B65D47" w:rsidRPr="0065775E">
        <w:rPr>
          <w:rFonts w:asciiTheme="majorHAnsi" w:eastAsia="Calibri" w:hAnsiTheme="majorHAnsi" w:cs="Calibri"/>
          <w:i/>
          <w:szCs w:val="22"/>
          <w:lang w:val="en-US"/>
        </w:rPr>
        <w:t xml:space="preserve"> relied upon by data controllers who are not processing personal data for the purposes of archiving in the public interest, for scientific or historical research purposes or statistical purposes</w:t>
      </w:r>
      <w:r w:rsidR="00B65D47">
        <w:rPr>
          <w:rFonts w:asciiTheme="majorHAnsi" w:eastAsia="Calibri" w:hAnsiTheme="majorHAnsi" w:cs="Calibri"/>
          <w:szCs w:val="22"/>
          <w:lang w:val="en-US"/>
        </w:rPr>
        <w:t>”</w:t>
      </w:r>
      <w:r w:rsidR="0065775E">
        <w:rPr>
          <w:rFonts w:asciiTheme="majorHAnsi" w:eastAsia="Calibri" w:hAnsiTheme="majorHAnsi" w:cs="Calibri"/>
          <w:szCs w:val="22"/>
          <w:lang w:val="en-US"/>
        </w:rPr>
        <w:t>.</w:t>
      </w:r>
    </w:p>
    <w:p w14:paraId="2EFEE8DF" w14:textId="77777777" w:rsidR="0065775E" w:rsidRDefault="0065775E" w:rsidP="0065775E">
      <w:pPr>
        <w:autoSpaceDE w:val="0"/>
        <w:autoSpaceDN w:val="0"/>
        <w:spacing w:after="0"/>
        <w:rPr>
          <w:rFonts w:asciiTheme="majorHAnsi" w:eastAsia="Calibri" w:hAnsiTheme="majorHAnsi" w:cs="Calibri"/>
          <w:szCs w:val="22"/>
          <w:lang w:val="en-US"/>
        </w:rPr>
      </w:pPr>
    </w:p>
    <w:p w14:paraId="67828523" w14:textId="6364B7C6" w:rsidR="001C15FE" w:rsidRPr="0065775E" w:rsidRDefault="004B4C47" w:rsidP="0065775E">
      <w:pPr>
        <w:numPr>
          <w:ilvl w:val="1"/>
          <w:numId w:val="47"/>
        </w:numPr>
        <w:autoSpaceDE w:val="0"/>
        <w:autoSpaceDN w:val="0"/>
        <w:spacing w:after="0"/>
        <w:rPr>
          <w:rFonts w:asciiTheme="majorHAnsi" w:eastAsia="Calibri" w:hAnsiTheme="majorHAnsi" w:cs="Calibri"/>
          <w:szCs w:val="22"/>
          <w:lang w:val="en-US"/>
        </w:rPr>
      </w:pPr>
      <w:r>
        <w:rPr>
          <w:rFonts w:asciiTheme="majorHAnsi" w:eastAsia="Calibri" w:hAnsiTheme="majorHAnsi" w:cs="Calibri"/>
          <w:szCs w:val="22"/>
          <w:lang w:val="en-US"/>
        </w:rPr>
        <w:t>As the intended processing in this case is not for any of the listed purposes, registrars will not be able to rely on the exemption. While i</w:t>
      </w:r>
      <w:r w:rsidR="009F4341">
        <w:rPr>
          <w:rFonts w:asciiTheme="majorHAnsi" w:eastAsia="Calibri" w:hAnsiTheme="majorHAnsi" w:cs="Calibri"/>
          <w:szCs w:val="22"/>
          <w:lang w:val="en-US"/>
        </w:rPr>
        <w:t xml:space="preserve">n our view, </w:t>
      </w:r>
      <w:r w:rsidR="00CF4F7C">
        <w:rPr>
          <w:rFonts w:asciiTheme="majorHAnsi" w:eastAsia="Calibri" w:hAnsiTheme="majorHAnsi" w:cs="Calibri"/>
          <w:szCs w:val="22"/>
          <w:lang w:val="en-US"/>
        </w:rPr>
        <w:t xml:space="preserve">there is scope to argue that </w:t>
      </w:r>
      <w:r>
        <w:rPr>
          <w:rFonts w:asciiTheme="majorHAnsi" w:eastAsia="Calibri" w:hAnsiTheme="majorHAnsi" w:cs="Calibri"/>
          <w:szCs w:val="22"/>
          <w:lang w:val="en-US"/>
        </w:rPr>
        <w:t xml:space="preserve">the EDPB’s interpretation is overly restrictive – a plain reading of the relevant section suggests that research purposes would be </w:t>
      </w:r>
      <w:r w:rsidRPr="004B4C47">
        <w:rPr>
          <w:rFonts w:asciiTheme="majorHAnsi" w:eastAsia="Calibri" w:hAnsiTheme="majorHAnsi" w:cs="Calibri"/>
          <w:i/>
          <w:szCs w:val="22"/>
          <w:lang w:val="en-US"/>
        </w:rPr>
        <w:t>an</w:t>
      </w:r>
      <w:r>
        <w:rPr>
          <w:rFonts w:asciiTheme="majorHAnsi" w:eastAsia="Calibri" w:hAnsiTheme="majorHAnsi" w:cs="Calibri"/>
          <w:szCs w:val="22"/>
          <w:lang w:val="en-US"/>
        </w:rPr>
        <w:t xml:space="preserve"> example of when the exception would apply, not the </w:t>
      </w:r>
      <w:r>
        <w:rPr>
          <w:rFonts w:asciiTheme="majorHAnsi" w:eastAsia="Calibri" w:hAnsiTheme="majorHAnsi" w:cs="Calibri"/>
          <w:i/>
          <w:szCs w:val="22"/>
          <w:lang w:val="en-US"/>
        </w:rPr>
        <w:t>only</w:t>
      </w:r>
      <w:r>
        <w:rPr>
          <w:rFonts w:asciiTheme="majorHAnsi" w:eastAsia="Calibri" w:hAnsiTheme="majorHAnsi" w:cs="Calibri"/>
          <w:szCs w:val="22"/>
          <w:lang w:val="en-US"/>
        </w:rPr>
        <w:t xml:space="preserve"> example</w:t>
      </w:r>
      <w:r w:rsidR="00EA34A3">
        <w:rPr>
          <w:rFonts w:asciiTheme="majorHAnsi" w:eastAsia="Calibri" w:hAnsiTheme="majorHAnsi" w:cs="Calibri"/>
          <w:szCs w:val="22"/>
          <w:lang w:val="en-US"/>
        </w:rPr>
        <w:t xml:space="preserve"> – we do not recommend raising this point here</w:t>
      </w:r>
      <w:r>
        <w:rPr>
          <w:rFonts w:asciiTheme="majorHAnsi" w:eastAsia="Calibri" w:hAnsiTheme="majorHAnsi" w:cs="Calibri"/>
          <w:szCs w:val="22"/>
          <w:lang w:val="en-US"/>
        </w:rPr>
        <w:t xml:space="preserve">. </w:t>
      </w:r>
      <w:r w:rsidR="00EA34A3">
        <w:rPr>
          <w:rFonts w:asciiTheme="majorHAnsi" w:eastAsia="Calibri" w:hAnsiTheme="majorHAnsi" w:cs="Calibri"/>
          <w:szCs w:val="22"/>
          <w:lang w:val="en-US"/>
        </w:rPr>
        <w:t>T</w:t>
      </w:r>
      <w:r>
        <w:rPr>
          <w:rFonts w:asciiTheme="majorHAnsi" w:eastAsia="Calibri" w:hAnsiTheme="majorHAnsi" w:cs="Calibri"/>
          <w:szCs w:val="22"/>
          <w:lang w:val="en-US"/>
        </w:rPr>
        <w:t xml:space="preserve">he effort required by registrars to provide notice likely would not meet the standard of disproportionate effort </w:t>
      </w:r>
      <w:r w:rsidR="00EA34A3">
        <w:rPr>
          <w:rFonts w:asciiTheme="majorHAnsi" w:eastAsia="Calibri" w:hAnsiTheme="majorHAnsi" w:cs="Calibri"/>
          <w:szCs w:val="22"/>
          <w:lang w:val="en-US"/>
        </w:rPr>
        <w:t>even under a more flexible interpretation</w:t>
      </w:r>
      <w:r>
        <w:rPr>
          <w:rFonts w:asciiTheme="majorHAnsi" w:eastAsia="Calibri" w:hAnsiTheme="majorHAnsi" w:cs="Calibri"/>
          <w:szCs w:val="22"/>
          <w:lang w:val="en-US"/>
        </w:rPr>
        <w:t>.</w:t>
      </w:r>
      <w:r>
        <w:rPr>
          <w:rStyle w:val="FootnoteReference"/>
          <w:rFonts w:asciiTheme="majorHAnsi" w:eastAsia="Calibri" w:hAnsiTheme="majorHAnsi" w:cs="Calibri"/>
          <w:szCs w:val="22"/>
          <w:lang w:val="en-US"/>
        </w:rPr>
        <w:footnoteReference w:id="1"/>
      </w:r>
    </w:p>
    <w:p w14:paraId="5ACDE226" w14:textId="77777777" w:rsidR="001C15FE" w:rsidRDefault="001C15FE" w:rsidP="001C15FE">
      <w:pPr>
        <w:autoSpaceDE w:val="0"/>
        <w:autoSpaceDN w:val="0"/>
        <w:spacing w:after="0"/>
        <w:rPr>
          <w:rFonts w:asciiTheme="majorHAnsi" w:eastAsia="Calibri" w:hAnsiTheme="majorHAnsi" w:cs="Calibri"/>
          <w:szCs w:val="22"/>
        </w:rPr>
      </w:pPr>
    </w:p>
    <w:p w14:paraId="00D5B163" w14:textId="40D55662" w:rsidR="001C15FE" w:rsidRDefault="00712E7A" w:rsidP="00863FA9">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In summary, if RNHs are required to provide notice to technical contacts on behalf of registrars, this will only meet the GDPR’s transparency requirements if such notice is actually provided. Given that there is reason to believe RNHs will not always meet this obligation and registrars will have no means of demonstrating that notice has in fact been provided, this approach will not allow registrars to meet their obligations.</w:t>
      </w:r>
      <w:r w:rsidR="00CB6B0F">
        <w:rPr>
          <w:rFonts w:asciiTheme="majorHAnsi" w:eastAsia="Calibri" w:hAnsiTheme="majorHAnsi" w:cs="Calibri"/>
          <w:szCs w:val="22"/>
        </w:rPr>
        <w:t xml:space="preserve"> To meet Article 14, registrars will need to provide notice to the technical contact within the earlier of one month or first communication with the data subject.</w:t>
      </w:r>
    </w:p>
    <w:p w14:paraId="3E49E94B" w14:textId="77777777" w:rsidR="00712E7A" w:rsidRDefault="00712E7A" w:rsidP="00712E7A">
      <w:pPr>
        <w:autoSpaceDE w:val="0"/>
        <w:autoSpaceDN w:val="0"/>
        <w:spacing w:after="0"/>
        <w:ind w:left="720"/>
        <w:rPr>
          <w:rFonts w:asciiTheme="majorHAnsi" w:eastAsia="Calibri" w:hAnsiTheme="majorHAnsi" w:cs="Calibri"/>
          <w:szCs w:val="22"/>
        </w:rPr>
      </w:pPr>
    </w:p>
    <w:p w14:paraId="78642EDD" w14:textId="77777777" w:rsidR="00E853A8" w:rsidRDefault="00E853A8" w:rsidP="00863FA9">
      <w:pPr>
        <w:numPr>
          <w:ilvl w:val="0"/>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 xml:space="preserve">If notice is not provided effectively, this could also affect the legal basis for processing. </w:t>
      </w:r>
    </w:p>
    <w:p w14:paraId="75A19140" w14:textId="77777777" w:rsidR="00E853A8" w:rsidRDefault="00E853A8" w:rsidP="00E853A8">
      <w:pPr>
        <w:autoSpaceDE w:val="0"/>
        <w:autoSpaceDN w:val="0"/>
        <w:spacing w:after="0"/>
        <w:ind w:left="720"/>
        <w:rPr>
          <w:rFonts w:asciiTheme="majorHAnsi" w:eastAsia="Calibri" w:hAnsiTheme="majorHAnsi" w:cs="Calibri"/>
          <w:szCs w:val="22"/>
        </w:rPr>
      </w:pPr>
    </w:p>
    <w:p w14:paraId="42AC4263" w14:textId="49B6AE42" w:rsidR="00240C0F" w:rsidRDefault="00E853A8" w:rsidP="00E853A8">
      <w:pPr>
        <w:numPr>
          <w:ilvl w:val="1"/>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If registrars will rely on consent, then there is an obligation to "</w:t>
      </w:r>
      <w:r>
        <w:rPr>
          <w:rFonts w:asciiTheme="majorHAnsi" w:eastAsia="Calibri" w:hAnsiTheme="majorHAnsi" w:cs="Calibri"/>
          <w:i/>
          <w:szCs w:val="22"/>
        </w:rPr>
        <w:t>demonstrate</w:t>
      </w:r>
      <w:r>
        <w:rPr>
          <w:rFonts w:asciiTheme="majorHAnsi" w:eastAsia="Calibri" w:hAnsiTheme="majorHAnsi" w:cs="Calibri"/>
          <w:szCs w:val="22"/>
        </w:rPr>
        <w:t>" that consent has been obtained in compliance with GDPR. For the reasons explained above in relation to notice, it will be difficu</w:t>
      </w:r>
      <w:r w:rsidR="00240C0F">
        <w:rPr>
          <w:rFonts w:asciiTheme="majorHAnsi" w:eastAsia="Calibri" w:hAnsiTheme="majorHAnsi" w:cs="Calibri"/>
          <w:szCs w:val="22"/>
        </w:rPr>
        <w:t>lt for registrars to do this if RNHs obtain consent on their behalf.</w:t>
      </w:r>
    </w:p>
    <w:p w14:paraId="561F5F22" w14:textId="77777777" w:rsidR="00240C0F" w:rsidRDefault="00240C0F" w:rsidP="00240C0F">
      <w:pPr>
        <w:autoSpaceDE w:val="0"/>
        <w:autoSpaceDN w:val="0"/>
        <w:spacing w:after="0"/>
        <w:ind w:left="1778"/>
        <w:rPr>
          <w:rFonts w:asciiTheme="majorHAnsi" w:eastAsia="Calibri" w:hAnsiTheme="majorHAnsi" w:cs="Calibri"/>
          <w:szCs w:val="22"/>
        </w:rPr>
      </w:pPr>
    </w:p>
    <w:p w14:paraId="3487BFC2" w14:textId="233E9D7B" w:rsidR="00712E7A" w:rsidRDefault="00240C0F" w:rsidP="00E853A8">
      <w:pPr>
        <w:numPr>
          <w:ilvl w:val="1"/>
          <w:numId w:val="47"/>
        </w:numPr>
        <w:autoSpaceDE w:val="0"/>
        <w:autoSpaceDN w:val="0"/>
        <w:spacing w:after="0"/>
        <w:rPr>
          <w:rFonts w:asciiTheme="majorHAnsi" w:eastAsia="Calibri" w:hAnsiTheme="majorHAnsi" w:cs="Calibri"/>
          <w:szCs w:val="22"/>
        </w:rPr>
      </w:pPr>
      <w:r>
        <w:rPr>
          <w:rFonts w:asciiTheme="majorHAnsi" w:eastAsia="Calibri" w:hAnsiTheme="majorHAnsi" w:cs="Calibri"/>
          <w:szCs w:val="22"/>
        </w:rPr>
        <w:t xml:space="preserve">If registrars will rely on legitimate interests, then the effective provision of notice will also have an impact. </w:t>
      </w:r>
      <w:r>
        <w:rPr>
          <w:rFonts w:asciiTheme="majorHAnsi" w:eastAsia="Calibri" w:hAnsiTheme="majorHAnsi" w:cs="Calibri"/>
          <w:szCs w:val="22"/>
        </w:rPr>
        <w:t>Recital 47 of the GDPR states, “</w:t>
      </w:r>
      <w:proofErr w:type="gramStart"/>
      <w:r w:rsidRPr="005D4668">
        <w:rPr>
          <w:rFonts w:asciiTheme="majorHAnsi" w:eastAsia="Calibri" w:hAnsiTheme="majorHAnsi" w:cs="Calibri"/>
          <w:i/>
          <w:szCs w:val="22"/>
          <w:lang w:val="en-US"/>
        </w:rPr>
        <w:t>the</w:t>
      </w:r>
      <w:proofErr w:type="gramEnd"/>
      <w:r w:rsidRPr="005D4668">
        <w:rPr>
          <w:rFonts w:asciiTheme="majorHAnsi" w:eastAsia="Calibri" w:hAnsiTheme="majorHAnsi" w:cs="Calibri"/>
          <w:i/>
          <w:szCs w:val="22"/>
          <w:lang w:val="en-US"/>
        </w:rPr>
        <w:t xml:space="preserve"> existence of a legitimate interest would need careful assessment including whether a data subject can </w:t>
      </w:r>
      <w:r w:rsidRPr="00240C0F">
        <w:rPr>
          <w:rFonts w:asciiTheme="majorHAnsi" w:eastAsia="Calibri" w:hAnsiTheme="majorHAnsi" w:cs="Calibri"/>
          <w:b/>
          <w:i/>
          <w:szCs w:val="22"/>
          <w:lang w:val="en-US"/>
        </w:rPr>
        <w:t>reasonably expect</w:t>
      </w:r>
      <w:r w:rsidRPr="005D4668">
        <w:rPr>
          <w:rFonts w:asciiTheme="majorHAnsi" w:eastAsia="Calibri" w:hAnsiTheme="majorHAnsi" w:cs="Calibri"/>
          <w:i/>
          <w:szCs w:val="22"/>
          <w:lang w:val="en-US"/>
        </w:rPr>
        <w:t xml:space="preserve"> at the time and in the context of the collection of the personal data that processing for that purpose may take place</w:t>
      </w:r>
      <w:r>
        <w:rPr>
          <w:rFonts w:asciiTheme="majorHAnsi" w:eastAsia="Calibri" w:hAnsiTheme="majorHAnsi" w:cs="Calibri"/>
          <w:szCs w:val="22"/>
          <w:lang w:val="en-US"/>
        </w:rPr>
        <w:t>”</w:t>
      </w:r>
      <w:r w:rsidR="00A01B7C">
        <w:rPr>
          <w:rFonts w:asciiTheme="majorHAnsi" w:eastAsia="Calibri" w:hAnsiTheme="majorHAnsi" w:cs="Calibri"/>
          <w:szCs w:val="22"/>
          <w:lang w:val="en-US"/>
        </w:rPr>
        <w:t xml:space="preserve"> (emphasis added)</w:t>
      </w:r>
      <w:r w:rsidRPr="005D4668">
        <w:rPr>
          <w:rFonts w:asciiTheme="majorHAnsi" w:eastAsia="Calibri" w:hAnsiTheme="majorHAnsi" w:cs="Calibri"/>
          <w:szCs w:val="22"/>
          <w:lang w:val="en-US"/>
        </w:rPr>
        <w:t>.</w:t>
      </w:r>
      <w:r>
        <w:rPr>
          <w:rFonts w:asciiTheme="majorHAnsi" w:eastAsia="Calibri" w:hAnsiTheme="majorHAnsi" w:cs="Calibri"/>
          <w:szCs w:val="22"/>
          <w:lang w:val="en-US"/>
        </w:rPr>
        <w:t xml:space="preserve"> </w:t>
      </w:r>
      <w:r>
        <w:rPr>
          <w:rFonts w:asciiTheme="majorHAnsi" w:eastAsia="Calibri" w:hAnsiTheme="majorHAnsi" w:cs="Calibri"/>
          <w:szCs w:val="22"/>
        </w:rPr>
        <w:t xml:space="preserve">In its Guidance on legitimate interests under the equivalent provision of the Data Protection Directive, the Article 29 Working Party recognised that effective transparency is an </w:t>
      </w:r>
      <w:r>
        <w:rPr>
          <w:rFonts w:asciiTheme="majorHAnsi" w:eastAsia="Calibri" w:hAnsiTheme="majorHAnsi" w:cs="Calibri"/>
          <w:szCs w:val="22"/>
        </w:rPr>
        <w:lastRenderedPageBreak/>
        <w:t xml:space="preserve">element to consider when analysing a data subject’s reasonable expectations: </w:t>
      </w:r>
      <w:r w:rsidRPr="00074B5C">
        <w:rPr>
          <w:rFonts w:asciiTheme="majorHAnsi" w:eastAsia="Calibri" w:hAnsiTheme="majorHAnsi" w:cs="Calibri"/>
          <w:szCs w:val="22"/>
        </w:rPr>
        <w:t>“</w:t>
      </w:r>
      <w:r w:rsidRPr="00074B5C">
        <w:rPr>
          <w:rFonts w:asciiTheme="majorHAnsi" w:eastAsia="Calibri" w:hAnsiTheme="majorHAnsi" w:cs="Calibri"/>
          <w:i/>
          <w:szCs w:val="22"/>
          <w:lang w:val="en-US"/>
        </w:rPr>
        <w:t>it is necessary to take account of the factual context rather than simply rely on text in small print</w:t>
      </w:r>
      <w:r w:rsidRPr="00074B5C">
        <w:rPr>
          <w:rFonts w:asciiTheme="majorHAnsi" w:eastAsia="Calibri" w:hAnsiTheme="majorHAnsi" w:cs="Calibri"/>
          <w:szCs w:val="22"/>
          <w:lang w:val="en-US"/>
        </w:rPr>
        <w:t>”</w:t>
      </w:r>
      <w:r>
        <w:rPr>
          <w:rFonts w:asciiTheme="majorHAnsi" w:eastAsia="Calibri" w:hAnsiTheme="majorHAnsi" w:cs="Calibri"/>
          <w:szCs w:val="22"/>
          <w:lang w:val="en-US"/>
        </w:rPr>
        <w:t>.</w:t>
      </w:r>
      <w:r>
        <w:rPr>
          <w:rFonts w:asciiTheme="majorHAnsi" w:eastAsia="Calibri" w:hAnsiTheme="majorHAnsi" w:cs="Calibri"/>
          <w:szCs w:val="22"/>
          <w:lang w:val="en-US"/>
        </w:rPr>
        <w:t xml:space="preserve"> </w:t>
      </w:r>
      <w:r w:rsidRPr="00074B5C">
        <w:rPr>
          <w:rFonts w:asciiTheme="majorHAnsi" w:eastAsia="Calibri" w:hAnsiTheme="majorHAnsi" w:cs="Calibri"/>
          <w:szCs w:val="22"/>
        </w:rPr>
        <w:t xml:space="preserve">Therefore, in our view, the manner in which notice is provided could affect the registrar’s ability to rely on legitimate interests as the legal basis for processing. </w:t>
      </w:r>
      <w:r>
        <w:rPr>
          <w:rFonts w:asciiTheme="majorHAnsi" w:eastAsia="Calibri" w:hAnsiTheme="majorHAnsi" w:cs="Calibri"/>
          <w:szCs w:val="22"/>
        </w:rPr>
        <w:t>In particular, if notice cannot be provided in a manner that is effective, this would undermine the argument for legitimate interests with respect to those data subjects.</w:t>
      </w:r>
    </w:p>
    <w:p w14:paraId="032547CE" w14:textId="5D525F09" w:rsidR="004B0F29" w:rsidRPr="00C34C1B" w:rsidRDefault="004B0F29" w:rsidP="004707F7">
      <w:pPr>
        <w:autoSpaceDE w:val="0"/>
        <w:autoSpaceDN w:val="0"/>
        <w:spacing w:after="0"/>
        <w:rPr>
          <w:rFonts w:asciiTheme="majorHAnsi" w:eastAsia="Calibri" w:hAnsiTheme="majorHAnsi" w:cs="Calibri"/>
          <w:iCs/>
          <w:szCs w:val="22"/>
        </w:rPr>
      </w:pPr>
      <w:bookmarkStart w:id="9" w:name="_GoBack"/>
      <w:bookmarkEnd w:id="9"/>
    </w:p>
    <w:sectPr w:rsidR="004B0F29" w:rsidRPr="00C34C1B" w:rsidSect="00E853A8">
      <w:headerReference w:type="even" r:id="rId9"/>
      <w:headerReference w:type="default" r:id="rId10"/>
      <w:footerReference w:type="even" r:id="rId11"/>
      <w:footerReference w:type="default" r:id="rId12"/>
      <w:headerReference w:type="first" r:id="rId13"/>
      <w:footerReference w:type="first" r:id="rId14"/>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FC40" w14:textId="77777777" w:rsidR="00C630A7" w:rsidRDefault="00C630A7" w:rsidP="00F13581">
      <w:pPr>
        <w:spacing w:after="0"/>
      </w:pPr>
      <w:r>
        <w:separator/>
      </w:r>
    </w:p>
  </w:endnote>
  <w:endnote w:type="continuationSeparator" w:id="0">
    <w:p w14:paraId="19FDA860" w14:textId="77777777" w:rsidR="00C630A7" w:rsidRDefault="00C630A7"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2FF27" w14:textId="77777777" w:rsidR="00D25952" w:rsidRDefault="00D25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CDAF" w14:textId="77777777" w:rsidR="00F028D1" w:rsidRDefault="00F028D1" w:rsidP="00E27172">
    <w:pPr>
      <w:pStyle w:val="Footer"/>
      <w:spacing w:after="120"/>
      <w:rPr>
        <w:noProof/>
      </w:rPr>
    </w:pPr>
    <w:r>
      <w:fldChar w:fldCharType="begin"/>
    </w:r>
    <w:r>
      <w:instrText xml:space="preserve"> PAGE   \* MERGEFORMAT</w:instrText>
    </w:r>
    <w:r>
      <w:fldChar w:fldCharType="separate"/>
    </w:r>
    <w:r w:rsidR="004707F7">
      <w:rPr>
        <w:noProof/>
      </w:rPr>
      <w:t>4</w:t>
    </w:r>
    <w:r>
      <w:rPr>
        <w:noProof/>
      </w:rPr>
      <w:fldChar w:fldCharType="end"/>
    </w:r>
  </w:p>
  <w:p w14:paraId="48A17077" w14:textId="77777777" w:rsidR="00364763" w:rsidRPr="00E27172" w:rsidRDefault="00D2479F" w:rsidP="00E27172">
    <w:pPr>
      <w:pStyle w:val="Footer"/>
      <w:spacing w:after="120"/>
      <w:jc w:val="right"/>
      <w:rPr>
        <w:sz w:val="16"/>
        <w:szCs w:val="16"/>
      </w:rPr>
    </w:pPr>
    <w:r>
      <w:rPr>
        <w:sz w:val="16"/>
        <w:szCs w:val="16"/>
      </w:rPr>
      <w:t>Matters\45269922.1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53A7" w14:textId="77777777" w:rsidR="00433155" w:rsidRDefault="00176258" w:rsidP="00E27172">
    <w:pPr>
      <w:pStyle w:val="Footer"/>
      <w:spacing w:after="120"/>
    </w:pPr>
    <w:bookmarkStart w:id="13" w:name="bmkFooterLogo"/>
    <w:r>
      <w:rPr>
        <w:noProof/>
        <w:lang w:eastAsia="en-GB"/>
      </w:rPr>
      <w:drawing>
        <wp:inline distT="0" distB="0" distL="0" distR="0" wp14:anchorId="024E09AE" wp14:editId="06D614FB">
          <wp:extent cx="5759450" cy="7124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712470"/>
                  </a:xfrm>
                  <a:prstGeom prst="rect">
                    <a:avLst/>
                  </a:prstGeom>
                </pic:spPr>
              </pic:pic>
            </a:graphicData>
          </a:graphic>
        </wp:inline>
      </w:drawing>
    </w:r>
    <w:bookmarkEnd w:id="13"/>
  </w:p>
  <w:p w14:paraId="7FE31A63" w14:textId="77777777" w:rsidR="00DD28ED" w:rsidRPr="00E27172" w:rsidRDefault="00D2479F" w:rsidP="00E27172">
    <w:pPr>
      <w:pStyle w:val="Footer"/>
      <w:spacing w:after="120"/>
      <w:jc w:val="right"/>
      <w:rPr>
        <w:sz w:val="16"/>
      </w:rPr>
    </w:pPr>
    <w:r>
      <w:rPr>
        <w:sz w:val="16"/>
      </w:rPr>
      <w:t>Matters\45269922.1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C389" w14:textId="77777777" w:rsidR="00C630A7" w:rsidRDefault="00C630A7" w:rsidP="00F13581">
      <w:pPr>
        <w:spacing w:after="0"/>
      </w:pPr>
      <w:r>
        <w:separator/>
      </w:r>
    </w:p>
  </w:footnote>
  <w:footnote w:type="continuationSeparator" w:id="0">
    <w:p w14:paraId="47CAAF97" w14:textId="77777777" w:rsidR="00C630A7" w:rsidRDefault="00C630A7" w:rsidP="00F13581">
      <w:pPr>
        <w:spacing w:after="0"/>
      </w:pPr>
      <w:r>
        <w:continuationSeparator/>
      </w:r>
    </w:p>
  </w:footnote>
  <w:footnote w:id="1">
    <w:p w14:paraId="30166E57" w14:textId="3FE382D6" w:rsidR="004B4C47" w:rsidRPr="004B4C47" w:rsidRDefault="004B4C47">
      <w:pPr>
        <w:pStyle w:val="FootnoteText"/>
        <w:rPr>
          <w:lang w:val="en-CA"/>
        </w:rPr>
      </w:pPr>
      <w:r>
        <w:rPr>
          <w:rStyle w:val="FootnoteReference"/>
        </w:rPr>
        <w:footnoteRef/>
      </w:r>
      <w:r>
        <w:t xml:space="preserve"> </w:t>
      </w:r>
      <w:r>
        <w:rPr>
          <w:i/>
        </w:rPr>
        <w:t xml:space="preserve">See, e.g., </w:t>
      </w:r>
      <w:r w:rsidRPr="00C87446">
        <w:rPr>
          <w:rFonts w:ascii="Georgia" w:hAnsi="Georgia"/>
          <w:i/>
          <w:szCs w:val="22"/>
          <w:lang w:val="en-US"/>
        </w:rPr>
        <w:t>Dawson-</w:t>
      </w:r>
      <w:proofErr w:type="spellStart"/>
      <w:r w:rsidRPr="00C87446">
        <w:rPr>
          <w:rFonts w:ascii="Georgia" w:hAnsi="Georgia"/>
          <w:i/>
          <w:szCs w:val="22"/>
          <w:lang w:val="en-US"/>
        </w:rPr>
        <w:t>Damer</w:t>
      </w:r>
      <w:proofErr w:type="spellEnd"/>
      <w:r w:rsidRPr="00C87446">
        <w:rPr>
          <w:rFonts w:ascii="Georgia" w:hAnsi="Georgia"/>
          <w:i/>
          <w:szCs w:val="22"/>
          <w:lang w:val="en-US"/>
        </w:rPr>
        <w:t xml:space="preserve"> &amp; </w:t>
      </w:r>
      <w:proofErr w:type="spellStart"/>
      <w:r w:rsidRPr="00C87446">
        <w:rPr>
          <w:rFonts w:ascii="Georgia" w:hAnsi="Georgia"/>
          <w:i/>
          <w:szCs w:val="22"/>
          <w:lang w:val="en-US"/>
        </w:rPr>
        <w:t>Ors</w:t>
      </w:r>
      <w:proofErr w:type="spellEnd"/>
      <w:r w:rsidRPr="00C87446">
        <w:rPr>
          <w:rFonts w:ascii="Georgia" w:hAnsi="Georgia"/>
          <w:i/>
          <w:szCs w:val="22"/>
          <w:lang w:val="en-US"/>
        </w:rPr>
        <w:t xml:space="preserve"> v Taylor </w:t>
      </w:r>
      <w:proofErr w:type="spellStart"/>
      <w:r w:rsidRPr="00C87446">
        <w:rPr>
          <w:rFonts w:ascii="Georgia" w:hAnsi="Georgia"/>
          <w:i/>
          <w:szCs w:val="22"/>
          <w:lang w:val="en-US"/>
        </w:rPr>
        <w:t>Wessing</w:t>
      </w:r>
      <w:proofErr w:type="spellEnd"/>
      <w:r w:rsidRPr="00C87446">
        <w:rPr>
          <w:rFonts w:ascii="Georgia" w:hAnsi="Georgia"/>
          <w:i/>
          <w:szCs w:val="22"/>
          <w:lang w:val="en-US"/>
        </w:rPr>
        <w:t xml:space="preserve"> LLP [2017] EWCA </w:t>
      </w:r>
      <w:proofErr w:type="spellStart"/>
      <w:r w:rsidRPr="00C87446">
        <w:rPr>
          <w:rFonts w:ascii="Georgia" w:hAnsi="Georgia"/>
          <w:i/>
          <w:szCs w:val="22"/>
          <w:lang w:val="en-US"/>
        </w:rPr>
        <w:t>Civ</w:t>
      </w:r>
      <w:proofErr w:type="spellEnd"/>
      <w:r w:rsidRPr="00C87446">
        <w:rPr>
          <w:rFonts w:ascii="Georgia" w:hAnsi="Georgia"/>
          <w:i/>
          <w:szCs w:val="22"/>
          <w:lang w:val="en-US"/>
        </w:rPr>
        <w:t xml:space="preserve"> 74</w:t>
      </w:r>
      <w:r w:rsidRPr="00C87446">
        <w:rPr>
          <w:rFonts w:ascii="Georgia" w:hAnsi="Georgia"/>
          <w:szCs w:val="22"/>
          <w:lang w:val="en-US"/>
        </w:rPr>
        <w:t>,</w:t>
      </w:r>
      <w:r>
        <w:rPr>
          <w:rFonts w:ascii="Georgia" w:hAnsi="Georgia"/>
          <w:szCs w:val="22"/>
          <w:lang w:val="en-US"/>
        </w:rPr>
        <w:t xml:space="preserve"> in which, the UK Court of Appeal addressed the concept of disproportionate effort in in the context of a subject access request. While the court recognized that </w:t>
      </w:r>
      <w:r w:rsidRPr="00C87446">
        <w:rPr>
          <w:rFonts w:ascii="Georgia" w:hAnsi="Georgia"/>
          <w:szCs w:val="22"/>
          <w:lang w:val="en-US"/>
        </w:rPr>
        <w:t xml:space="preserve">disproportionate effort implies a balancing test between </w:t>
      </w:r>
      <w:r>
        <w:rPr>
          <w:rFonts w:ascii="Georgia" w:hAnsi="Georgia"/>
          <w:szCs w:val="22"/>
          <w:lang w:val="en-US"/>
        </w:rPr>
        <w:t xml:space="preserve">the controller’s </w:t>
      </w:r>
      <w:r w:rsidRPr="00C87446">
        <w:rPr>
          <w:rFonts w:ascii="Georgia" w:hAnsi="Georgia"/>
          <w:szCs w:val="22"/>
          <w:lang w:val="en-US"/>
        </w:rPr>
        <w:t>interests and the interests of the data subject</w:t>
      </w:r>
      <w:r>
        <w:rPr>
          <w:rFonts w:ascii="Georgia" w:hAnsi="Georgia"/>
          <w:szCs w:val="22"/>
          <w:lang w:val="en-US"/>
        </w:rPr>
        <w:t>, it held that economic costs on the controller alone are not sufficient to show a disproportionate burden</w:t>
      </w:r>
      <w:r w:rsidRPr="00C87446">
        <w:rPr>
          <w:rFonts w:ascii="Georgia" w:hAnsi="Georgia"/>
          <w:szCs w:val="22"/>
          <w:lang w:val="en-US"/>
        </w:rPr>
        <w:t xml:space="preserve">. </w:t>
      </w:r>
      <w:r>
        <w:rPr>
          <w:rFonts w:ascii="Georgia" w:hAnsi="Georgia"/>
          <w:szCs w:val="22"/>
          <w:lang w:val="en-US"/>
        </w:rPr>
        <w:t>T</w:t>
      </w:r>
      <w:r w:rsidRPr="00C87446">
        <w:rPr>
          <w:rFonts w:ascii="Georgia" w:hAnsi="Georgia"/>
          <w:szCs w:val="22"/>
          <w:lang w:val="en-US"/>
        </w:rPr>
        <w:t xml:space="preserve">he controller’s effort </w:t>
      </w:r>
      <w:r>
        <w:rPr>
          <w:rFonts w:ascii="Georgia" w:hAnsi="Georgia"/>
          <w:szCs w:val="22"/>
          <w:lang w:val="en-US"/>
        </w:rPr>
        <w:t xml:space="preserve">in addition </w:t>
      </w:r>
      <w:r w:rsidRPr="00C87446">
        <w:rPr>
          <w:rFonts w:ascii="Georgia" w:hAnsi="Georgia"/>
          <w:szCs w:val="22"/>
          <w:lang w:val="en-US"/>
        </w:rPr>
        <w:t>must be balanced against the “</w:t>
      </w:r>
      <w:r w:rsidRPr="00C87446">
        <w:rPr>
          <w:rFonts w:ascii="Georgia" w:hAnsi="Georgia"/>
          <w:i/>
          <w:szCs w:val="22"/>
          <w:lang w:val="en-US"/>
        </w:rPr>
        <w:t>potential benefit that the supply of the information might bring to the data subject</w:t>
      </w:r>
      <w:r w:rsidRPr="00C87446">
        <w:rPr>
          <w:rFonts w:ascii="Georgia" w:hAnsi="Georgia"/>
          <w:szCs w:val="22"/>
          <w:lang w:val="en-US"/>
        </w:rPr>
        <w:t>”.</w:t>
      </w:r>
      <w:r>
        <w:rPr>
          <w:rFonts w:ascii="Georgia" w:hAnsi="Georgia"/>
          <w:szCs w:val="22"/>
          <w:lang w:val="en-US"/>
        </w:rPr>
        <w:t xml:space="preserve"> In the words of the court, “</w:t>
      </w:r>
      <w:r w:rsidRPr="00A01246">
        <w:rPr>
          <w:rFonts w:ascii="Georgia" w:hAnsi="Georgia"/>
          <w:i/>
          <w:szCs w:val="22"/>
          <w:lang w:val="en-US"/>
        </w:rPr>
        <w:t>it is not open to a data controller to avoid substantive compliance by arguing that work would be expensive or time-consuming. The cost of compliance is the price data controllers pay for processing data</w:t>
      </w:r>
      <w:r>
        <w:rPr>
          <w:rFonts w:ascii="Georgia" w:hAnsi="Georgia"/>
          <w:szCs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2336" w14:textId="77777777" w:rsidR="00D25952" w:rsidRDefault="00D25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F028D1" w14:paraId="38424B55" w14:textId="77777777" w:rsidTr="00225B04">
      <w:tc>
        <w:tcPr>
          <w:tcW w:w="9286" w:type="dxa"/>
        </w:tcPr>
        <w:p w14:paraId="7B599F54" w14:textId="77777777" w:rsidR="00F028D1" w:rsidRDefault="00176258" w:rsidP="00176258">
          <w:pPr>
            <w:pStyle w:val="Header"/>
          </w:pPr>
          <w:bookmarkStart w:id="10" w:name="bmkLogo1"/>
          <w:r>
            <w:rPr>
              <w:noProof/>
              <w:lang w:eastAsia="en-GB"/>
            </w:rPr>
            <w:drawing>
              <wp:inline distT="0" distB="0" distL="0" distR="0" wp14:anchorId="29082E00" wp14:editId="39D978E9">
                <wp:extent cx="1505715" cy="265177"/>
                <wp:effectExtent l="0" t="0" r="0" b="190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0"/>
        </w:p>
      </w:tc>
    </w:tr>
  </w:tbl>
  <w:p w14:paraId="6250D26B" w14:textId="77777777" w:rsidR="00F13581" w:rsidRPr="00F028D1" w:rsidRDefault="00F13581" w:rsidP="00F02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07" w:type="dxa"/>
      <w:tblInd w:w="-851" w:type="dxa"/>
      <w:tblLook w:val="04A0" w:firstRow="1" w:lastRow="0" w:firstColumn="1" w:lastColumn="0" w:noHBand="0" w:noVBand="1"/>
    </w:tblPr>
    <w:tblGrid>
      <w:gridCol w:w="8614"/>
      <w:gridCol w:w="2693"/>
    </w:tblGrid>
    <w:tr w:rsidR="005513B1" w14:paraId="759CCA99" w14:textId="77777777" w:rsidTr="00894459">
      <w:tc>
        <w:tcPr>
          <w:tcW w:w="8614" w:type="dxa"/>
        </w:tcPr>
        <w:p w14:paraId="49D3C4E2" w14:textId="77777777" w:rsidR="005513B1" w:rsidRPr="008F63DB" w:rsidRDefault="00176258" w:rsidP="00894459">
          <w:pPr>
            <w:pStyle w:val="Header"/>
            <w:tabs>
              <w:tab w:val="clear" w:pos="4513"/>
              <w:tab w:val="clear" w:pos="9026"/>
            </w:tabs>
            <w:ind w:right="-3335"/>
          </w:pPr>
          <w:bookmarkStart w:id="11" w:name="bmkLogo"/>
          <w:r>
            <w:rPr>
              <w:noProof/>
              <w:lang w:eastAsia="en-GB"/>
            </w:rPr>
            <w:drawing>
              <wp:inline distT="0" distB="0" distL="0" distR="0" wp14:anchorId="67006459" wp14:editId="1516A524">
                <wp:extent cx="1505715" cy="265177"/>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1"/>
          <w:r w:rsidR="005513B1">
            <w:rPr>
              <w:noProof/>
              <w:lang w:eastAsia="en-GB"/>
            </w:rPr>
            <mc:AlternateContent>
              <mc:Choice Requires="wps">
                <w:drawing>
                  <wp:anchor distT="0" distB="0" distL="114300" distR="114300" simplePos="0" relativeHeight="251659264" behindDoc="1" locked="0" layoutInCell="1" allowOverlap="1" wp14:anchorId="20CA24C1" wp14:editId="05F0CF51">
                    <wp:simplePos x="0" y="0"/>
                    <wp:positionH relativeFrom="column">
                      <wp:posOffset>5393055</wp:posOffset>
                    </wp:positionH>
                    <wp:positionV relativeFrom="paragraph">
                      <wp:posOffset>-17145</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14:paraId="5DEFA093" w14:textId="77777777" w:rsidR="005513B1" w:rsidRDefault="00176258" w:rsidP="005513B1">
                                <w:bookmarkStart w:id="12" w:name="bmkOfficeAddress"/>
                                <w:r>
                                  <w:rPr>
                                    <w:noProof/>
                                    <w:lang w:eastAsia="en-GB"/>
                                  </w:rPr>
                                  <w:drawing>
                                    <wp:inline distT="0" distB="0" distL="0" distR="0" wp14:anchorId="08571664" wp14:editId="1002ABDC">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15745" cy="1264285"/>
                                              </a:xfrm>
                                              <a:prstGeom prst="rect">
                                                <a:avLst/>
                                              </a:prstGeom>
                                            </pic:spPr>
                                          </pic:pic>
                                        </a:graphicData>
                                      </a:graphic>
                                    </wp:inline>
                                  </w:drawing>
                                </w:r>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0CA24C1" id="_x0000_t202" coordsize="21600,21600" o:spt="202" path="m0,0l0,21600,21600,21600,21600,0xe">
                    <v:stroke joinstyle="miter"/>
                    <v:path gradientshapeok="t" o:connecttype="rect"/>
                  </v:shapetype>
                  <v:shape id="Text Box 2" o:spid="_x0000_s1026" type="#_x0000_t202" style="position:absolute;margin-left:424.65pt;margin-top:-1.3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" stroked="f">
                    <v:textbox>
                      <w:txbxContent>
                        <w:p w14:paraId="5DEFA093" w14:textId="77777777" w:rsidR="005513B1" w:rsidRDefault="00176258" w:rsidP="005513B1">
                          <w:bookmarkStart w:id="13" w:name="bmkOfficeAddress"/>
                          <w:r>
                            <w:rPr>
                              <w:noProof/>
                              <w:lang w:val="en-US"/>
                            </w:rPr>
                            <w:drawing>
                              <wp:inline distT="0" distB="0" distL="0" distR="0" wp14:anchorId="08571664" wp14:editId="1002ABDC">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515745" cy="1264285"/>
                                        </a:xfrm>
                                        <a:prstGeom prst="rect">
                                          <a:avLst/>
                                        </a:prstGeom>
                                      </pic:spPr>
                                    </pic:pic>
                                  </a:graphicData>
                                </a:graphic>
                              </wp:inline>
                            </w:drawing>
                          </w:r>
                          <w:bookmarkEnd w:id="13"/>
                        </w:p>
                      </w:txbxContent>
                    </v:textbox>
                  </v:shape>
                </w:pict>
              </mc:Fallback>
            </mc:AlternateContent>
          </w:r>
        </w:p>
      </w:tc>
      <w:tc>
        <w:tcPr>
          <w:tcW w:w="2693" w:type="dxa"/>
        </w:tcPr>
        <w:p w14:paraId="5C34EE0A" w14:textId="77777777" w:rsidR="005513B1" w:rsidRDefault="005513B1" w:rsidP="00894459">
          <w:pPr>
            <w:pStyle w:val="Header"/>
            <w:tabs>
              <w:tab w:val="clear" w:pos="4513"/>
              <w:tab w:val="clear" w:pos="9026"/>
            </w:tabs>
            <w:ind w:right="-1136"/>
          </w:pPr>
        </w:p>
      </w:tc>
    </w:tr>
  </w:tbl>
  <w:p w14:paraId="1B154F0A" w14:textId="77777777" w:rsidR="00DD28ED" w:rsidRPr="005513B1" w:rsidRDefault="00DD28ED" w:rsidP="0055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nsid w:val="0ACF4A5A"/>
    <w:multiLevelType w:val="multilevel"/>
    <w:tmpl w:val="22B85D12"/>
    <w:numStyleLink w:val="NumberingSchedules"/>
  </w:abstractNum>
  <w:abstractNum w:abstractNumId="2">
    <w:nsid w:val="182D1E23"/>
    <w:multiLevelType w:val="hybridMultilevel"/>
    <w:tmpl w:val="32348662"/>
    <w:lvl w:ilvl="0" w:tplc="E3D054C0">
      <w:start w:val="1"/>
      <w:numFmt w:val="decimal"/>
      <w:lvlText w:val="%1."/>
      <w:lvlJc w:val="left"/>
      <w:pPr>
        <w:ind w:left="720" w:hanging="360"/>
      </w:pPr>
      <w:rPr>
        <w:b w:val="0"/>
      </w:r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58929C5"/>
    <w:multiLevelType w:val="multilevel"/>
    <w:tmpl w:val="2D08F10E"/>
    <w:numStyleLink w:val="NumberingMain"/>
  </w:abstractNum>
  <w:abstractNum w:abstractNumId="4">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nsid w:val="416A30EA"/>
    <w:multiLevelType w:val="multilevel"/>
    <w:tmpl w:val="77080A38"/>
    <w:numStyleLink w:val="BulletList"/>
  </w:abstractNum>
  <w:abstractNum w:abstractNumId="7">
    <w:nsid w:val="4C077BFA"/>
    <w:multiLevelType w:val="multilevel"/>
    <w:tmpl w:val="2D08F10E"/>
    <w:numStyleLink w:val="NumberingMain"/>
  </w:abstractNum>
  <w:abstractNum w:abstractNumId="8">
    <w:nsid w:val="55FA1686"/>
    <w:multiLevelType w:val="hybridMultilevel"/>
    <w:tmpl w:val="DD50043C"/>
    <w:lvl w:ilvl="0" w:tplc="0809001B">
      <w:start w:val="1"/>
      <w:numFmt w:val="lowerRoman"/>
      <w:lvlText w:val="%1."/>
      <w:lvlJc w:val="righ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07D20"/>
    <w:multiLevelType w:val="multilevel"/>
    <w:tmpl w:val="22B85D12"/>
    <w:numStyleLink w:val="NumberingSchedules"/>
  </w:abstractNum>
  <w:abstractNum w:abstractNumId="10">
    <w:nsid w:val="77A14002"/>
    <w:multiLevelType w:val="multilevel"/>
    <w:tmpl w:val="98F2F0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4"/>
  </w:num>
  <w:num w:numId="2">
    <w:abstractNumId w:val="5"/>
  </w:num>
  <w:num w:numId="3">
    <w:abstractNumId w:val="7"/>
  </w:num>
  <w:num w:numId="4">
    <w:abstractNumId w:val="0"/>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0"/>
  </w:num>
  <w:num w:numId="26">
    <w:abstractNumId w:val="3"/>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4"/>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8"/>
  </w:num>
  <w:num w:numId="5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F"/>
    <w:rsid w:val="00007C88"/>
    <w:rsid w:val="00011068"/>
    <w:rsid w:val="00027C51"/>
    <w:rsid w:val="000330AA"/>
    <w:rsid w:val="00034B47"/>
    <w:rsid w:val="00037934"/>
    <w:rsid w:val="00042DC9"/>
    <w:rsid w:val="00046814"/>
    <w:rsid w:val="0006369B"/>
    <w:rsid w:val="00072F39"/>
    <w:rsid w:val="00074B5C"/>
    <w:rsid w:val="000A0CBE"/>
    <w:rsid w:val="000B5371"/>
    <w:rsid w:val="000C0ADC"/>
    <w:rsid w:val="000E5B91"/>
    <w:rsid w:val="000E69F2"/>
    <w:rsid w:val="001064A5"/>
    <w:rsid w:val="001178E2"/>
    <w:rsid w:val="00131065"/>
    <w:rsid w:val="00143878"/>
    <w:rsid w:val="001451E7"/>
    <w:rsid w:val="00151BCE"/>
    <w:rsid w:val="00163E79"/>
    <w:rsid w:val="001664E6"/>
    <w:rsid w:val="00167770"/>
    <w:rsid w:val="00176258"/>
    <w:rsid w:val="00192851"/>
    <w:rsid w:val="001A242F"/>
    <w:rsid w:val="001A6A99"/>
    <w:rsid w:val="001B1800"/>
    <w:rsid w:val="001B35BD"/>
    <w:rsid w:val="001C15FE"/>
    <w:rsid w:val="001E64E3"/>
    <w:rsid w:val="00207DB5"/>
    <w:rsid w:val="00217374"/>
    <w:rsid w:val="00225B04"/>
    <w:rsid w:val="00240C0F"/>
    <w:rsid w:val="00257F08"/>
    <w:rsid w:val="00265DBD"/>
    <w:rsid w:val="002861DF"/>
    <w:rsid w:val="002B6038"/>
    <w:rsid w:val="002B69EA"/>
    <w:rsid w:val="002B7CFB"/>
    <w:rsid w:val="002D45EF"/>
    <w:rsid w:val="002D5D7F"/>
    <w:rsid w:val="002E23C5"/>
    <w:rsid w:val="003143EB"/>
    <w:rsid w:val="0033509B"/>
    <w:rsid w:val="003621A7"/>
    <w:rsid w:val="00364763"/>
    <w:rsid w:val="00374581"/>
    <w:rsid w:val="00377D74"/>
    <w:rsid w:val="003A0280"/>
    <w:rsid w:val="003A199A"/>
    <w:rsid w:val="003B288B"/>
    <w:rsid w:val="003C3AC7"/>
    <w:rsid w:val="004037C8"/>
    <w:rsid w:val="00421F0A"/>
    <w:rsid w:val="004233B8"/>
    <w:rsid w:val="00433155"/>
    <w:rsid w:val="00443E87"/>
    <w:rsid w:val="00460753"/>
    <w:rsid w:val="004707F7"/>
    <w:rsid w:val="004930BB"/>
    <w:rsid w:val="004A66DE"/>
    <w:rsid w:val="004B0F29"/>
    <w:rsid w:val="004B4C47"/>
    <w:rsid w:val="004C165B"/>
    <w:rsid w:val="004C5260"/>
    <w:rsid w:val="004F2633"/>
    <w:rsid w:val="0050328C"/>
    <w:rsid w:val="00541EA5"/>
    <w:rsid w:val="005513B1"/>
    <w:rsid w:val="005733A3"/>
    <w:rsid w:val="00582B7E"/>
    <w:rsid w:val="005952EA"/>
    <w:rsid w:val="00596B95"/>
    <w:rsid w:val="005A2F00"/>
    <w:rsid w:val="005B0710"/>
    <w:rsid w:val="005C7E90"/>
    <w:rsid w:val="005D4668"/>
    <w:rsid w:val="005D51BF"/>
    <w:rsid w:val="005D72E8"/>
    <w:rsid w:val="005D7FA5"/>
    <w:rsid w:val="005E0445"/>
    <w:rsid w:val="00640DCF"/>
    <w:rsid w:val="0065775E"/>
    <w:rsid w:val="00667A13"/>
    <w:rsid w:val="006725BC"/>
    <w:rsid w:val="0068072C"/>
    <w:rsid w:val="006A7B3D"/>
    <w:rsid w:val="006C0408"/>
    <w:rsid w:val="006E5498"/>
    <w:rsid w:val="006F6FFC"/>
    <w:rsid w:val="00712E7A"/>
    <w:rsid w:val="00716A3C"/>
    <w:rsid w:val="00720E51"/>
    <w:rsid w:val="007269AB"/>
    <w:rsid w:val="00766013"/>
    <w:rsid w:val="00771490"/>
    <w:rsid w:val="00774996"/>
    <w:rsid w:val="00782183"/>
    <w:rsid w:val="00782E1C"/>
    <w:rsid w:val="007A55C9"/>
    <w:rsid w:val="007B548F"/>
    <w:rsid w:val="007D6D65"/>
    <w:rsid w:val="00837363"/>
    <w:rsid w:val="00852CC1"/>
    <w:rsid w:val="00852CD5"/>
    <w:rsid w:val="00863FA9"/>
    <w:rsid w:val="008833F3"/>
    <w:rsid w:val="00892F0A"/>
    <w:rsid w:val="008B0518"/>
    <w:rsid w:val="008B5C15"/>
    <w:rsid w:val="008C2354"/>
    <w:rsid w:val="008F42C7"/>
    <w:rsid w:val="009237CE"/>
    <w:rsid w:val="00931FFE"/>
    <w:rsid w:val="009322FE"/>
    <w:rsid w:val="00971EE3"/>
    <w:rsid w:val="009729A5"/>
    <w:rsid w:val="00975DDE"/>
    <w:rsid w:val="00990113"/>
    <w:rsid w:val="009909A9"/>
    <w:rsid w:val="009A227E"/>
    <w:rsid w:val="009D1611"/>
    <w:rsid w:val="009F4341"/>
    <w:rsid w:val="009F6EAB"/>
    <w:rsid w:val="00A01B7C"/>
    <w:rsid w:val="00A36ADA"/>
    <w:rsid w:val="00A640F1"/>
    <w:rsid w:val="00A72C00"/>
    <w:rsid w:val="00A770A3"/>
    <w:rsid w:val="00A83D92"/>
    <w:rsid w:val="00AA0E03"/>
    <w:rsid w:val="00AA3723"/>
    <w:rsid w:val="00AA51A5"/>
    <w:rsid w:val="00AB01AF"/>
    <w:rsid w:val="00AB16E8"/>
    <w:rsid w:val="00AC096A"/>
    <w:rsid w:val="00AE0152"/>
    <w:rsid w:val="00AF327B"/>
    <w:rsid w:val="00AF613E"/>
    <w:rsid w:val="00B146A7"/>
    <w:rsid w:val="00B260EF"/>
    <w:rsid w:val="00B45553"/>
    <w:rsid w:val="00B64626"/>
    <w:rsid w:val="00B65D47"/>
    <w:rsid w:val="00B86CCD"/>
    <w:rsid w:val="00B90375"/>
    <w:rsid w:val="00B9688E"/>
    <w:rsid w:val="00BA279D"/>
    <w:rsid w:val="00BA67B9"/>
    <w:rsid w:val="00BA7D81"/>
    <w:rsid w:val="00BD1217"/>
    <w:rsid w:val="00C028B3"/>
    <w:rsid w:val="00C14BFD"/>
    <w:rsid w:val="00C15716"/>
    <w:rsid w:val="00C34C1B"/>
    <w:rsid w:val="00C630A7"/>
    <w:rsid w:val="00C7686B"/>
    <w:rsid w:val="00C96AD1"/>
    <w:rsid w:val="00CB6B0F"/>
    <w:rsid w:val="00CC362E"/>
    <w:rsid w:val="00CE5E56"/>
    <w:rsid w:val="00CF4F7C"/>
    <w:rsid w:val="00D16785"/>
    <w:rsid w:val="00D2479F"/>
    <w:rsid w:val="00D25952"/>
    <w:rsid w:val="00D425F3"/>
    <w:rsid w:val="00D42BAE"/>
    <w:rsid w:val="00D66878"/>
    <w:rsid w:val="00D756B2"/>
    <w:rsid w:val="00DB0F49"/>
    <w:rsid w:val="00DD0737"/>
    <w:rsid w:val="00DD28ED"/>
    <w:rsid w:val="00DD4E75"/>
    <w:rsid w:val="00DD59E6"/>
    <w:rsid w:val="00E029AC"/>
    <w:rsid w:val="00E1483E"/>
    <w:rsid w:val="00E25B1D"/>
    <w:rsid w:val="00E27172"/>
    <w:rsid w:val="00E44BA5"/>
    <w:rsid w:val="00E6643B"/>
    <w:rsid w:val="00E74AC5"/>
    <w:rsid w:val="00E8324F"/>
    <w:rsid w:val="00E853A8"/>
    <w:rsid w:val="00EA34A3"/>
    <w:rsid w:val="00EC084B"/>
    <w:rsid w:val="00ED7262"/>
    <w:rsid w:val="00EF3880"/>
    <w:rsid w:val="00F028D1"/>
    <w:rsid w:val="00F13581"/>
    <w:rsid w:val="00F220F3"/>
    <w:rsid w:val="00F33B2A"/>
    <w:rsid w:val="00F81BE8"/>
    <w:rsid w:val="00F85AE8"/>
    <w:rsid w:val="00F923CF"/>
    <w:rsid w:val="00F93584"/>
    <w:rsid w:val="00F97E3A"/>
    <w:rsid w:val="00FA0EAF"/>
    <w:rsid w:val="00FC5E8A"/>
    <w:rsid w:val="00FD2D64"/>
    <w:rsid w:val="00FD68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3A0280"/>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semiHidden/>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36"/>
      </w:numPr>
    </w:pPr>
  </w:style>
  <w:style w:type="paragraph" w:customStyle="1" w:styleId="BBBullet2">
    <w:name w:val="B&amp;B Bullet 2"/>
    <w:basedOn w:val="BodyText"/>
    <w:uiPriority w:val="39"/>
    <w:rsid w:val="003A0280"/>
    <w:pPr>
      <w:numPr>
        <w:ilvl w:val="2"/>
        <w:numId w:val="36"/>
      </w:numPr>
    </w:pPr>
  </w:style>
  <w:style w:type="paragraph" w:customStyle="1" w:styleId="BBBullet3">
    <w:name w:val="B&amp;B Bullet 3"/>
    <w:basedOn w:val="BodyText"/>
    <w:uiPriority w:val="39"/>
    <w:rsid w:val="003A0280"/>
    <w:pPr>
      <w:numPr>
        <w:ilvl w:val="3"/>
        <w:numId w:val="36"/>
      </w:numPr>
    </w:pPr>
  </w:style>
  <w:style w:type="paragraph" w:customStyle="1" w:styleId="BBBullet4">
    <w:name w:val="B&amp;B Bullet 4"/>
    <w:basedOn w:val="BodyText"/>
    <w:uiPriority w:val="39"/>
    <w:rsid w:val="003A0280"/>
    <w:pPr>
      <w:numPr>
        <w:ilvl w:val="4"/>
        <w:numId w:val="36"/>
      </w:numPr>
    </w:pPr>
  </w:style>
  <w:style w:type="paragraph" w:customStyle="1" w:styleId="BBBullet5">
    <w:name w:val="B&amp;B Bullet 5"/>
    <w:basedOn w:val="BodyText"/>
    <w:uiPriority w:val="39"/>
    <w:rsid w:val="003A0280"/>
    <w:pPr>
      <w:numPr>
        <w:ilvl w:val="5"/>
        <w:numId w:val="36"/>
      </w:numPr>
    </w:pPr>
  </w:style>
  <w:style w:type="paragraph" w:customStyle="1" w:styleId="BBBullet6">
    <w:name w:val="B&amp;B Bullet 6"/>
    <w:basedOn w:val="BodyText"/>
    <w:uiPriority w:val="39"/>
    <w:rsid w:val="003A0280"/>
    <w:pPr>
      <w:numPr>
        <w:ilvl w:val="6"/>
        <w:numId w:val="36"/>
      </w:numPr>
    </w:pPr>
  </w:style>
  <w:style w:type="paragraph" w:customStyle="1" w:styleId="BBBullet7">
    <w:name w:val="B&amp;B Bullet 7"/>
    <w:basedOn w:val="BodyText"/>
    <w:uiPriority w:val="39"/>
    <w:rsid w:val="003A0280"/>
    <w:pPr>
      <w:numPr>
        <w:ilvl w:val="7"/>
        <w:numId w:val="36"/>
      </w:numPr>
    </w:pPr>
  </w:style>
  <w:style w:type="paragraph" w:customStyle="1" w:styleId="BBBullet8">
    <w:name w:val="B&amp;B Bullet 8"/>
    <w:basedOn w:val="Body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46"/>
      </w:numPr>
    </w:pPr>
  </w:style>
  <w:style w:type="paragraph" w:customStyle="1" w:styleId="BBClause3">
    <w:name w:val="B&amp;B Clause 3"/>
    <w:basedOn w:val="BodyText"/>
    <w:uiPriority w:val="29"/>
    <w:qFormat/>
    <w:rsid w:val="003A0280"/>
    <w:pPr>
      <w:numPr>
        <w:ilvl w:val="2"/>
        <w:numId w:val="46"/>
      </w:numPr>
    </w:pPr>
  </w:style>
  <w:style w:type="paragraph" w:customStyle="1" w:styleId="BBClause4">
    <w:name w:val="B&amp;B Clause 4"/>
    <w:basedOn w:val="BodyText"/>
    <w:uiPriority w:val="29"/>
    <w:qFormat/>
    <w:rsid w:val="003A0280"/>
    <w:pPr>
      <w:numPr>
        <w:ilvl w:val="3"/>
        <w:numId w:val="46"/>
      </w:numPr>
    </w:pPr>
  </w:style>
  <w:style w:type="paragraph" w:customStyle="1" w:styleId="BBClause5">
    <w:name w:val="B&amp;B Clause 5"/>
    <w:basedOn w:val="BodyText"/>
    <w:uiPriority w:val="29"/>
    <w:rsid w:val="003A0280"/>
    <w:pPr>
      <w:numPr>
        <w:ilvl w:val="4"/>
        <w:numId w:val="46"/>
      </w:numPr>
    </w:pPr>
  </w:style>
  <w:style w:type="paragraph" w:customStyle="1" w:styleId="BBClause6">
    <w:name w:val="B&amp;B Clause 6"/>
    <w:basedOn w:val="BodyText"/>
    <w:uiPriority w:val="29"/>
    <w:rsid w:val="003A0280"/>
    <w:pPr>
      <w:numPr>
        <w:ilvl w:val="5"/>
        <w:numId w:val="46"/>
      </w:numPr>
    </w:pPr>
  </w:style>
  <w:style w:type="paragraph" w:customStyle="1" w:styleId="BBClause7">
    <w:name w:val="B&amp;B Clause 7"/>
    <w:basedOn w:val="BodyText"/>
    <w:uiPriority w:val="29"/>
    <w:rsid w:val="003A0280"/>
    <w:pPr>
      <w:numPr>
        <w:ilvl w:val="6"/>
        <w:numId w:val="46"/>
      </w:numPr>
    </w:pPr>
  </w:style>
  <w:style w:type="paragraph" w:customStyle="1" w:styleId="BBClause8">
    <w:name w:val="B&amp;B Clause 8"/>
    <w:basedOn w:val="BodyText"/>
    <w:uiPriority w:val="29"/>
    <w:rsid w:val="003A0280"/>
    <w:pPr>
      <w:numPr>
        <w:ilvl w:val="7"/>
        <w:numId w:val="46"/>
      </w:numPr>
    </w:pPr>
  </w:style>
  <w:style w:type="paragraph" w:customStyle="1" w:styleId="BBClause9">
    <w:name w:val="B&amp;B Clause 9"/>
    <w:basedOn w:val="Body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25"/>
      </w:numPr>
    </w:pPr>
  </w:style>
  <w:style w:type="paragraph" w:customStyle="1" w:styleId="BBSchedule3">
    <w:name w:val="B&amp;B Schedule 3"/>
    <w:basedOn w:val="BodyText"/>
    <w:uiPriority w:val="59"/>
    <w:rsid w:val="00971EE3"/>
    <w:pPr>
      <w:numPr>
        <w:ilvl w:val="2"/>
        <w:numId w:val="25"/>
      </w:numPr>
    </w:pPr>
  </w:style>
  <w:style w:type="paragraph" w:customStyle="1" w:styleId="BBSchedule4">
    <w:name w:val="B&amp;B Schedule 4"/>
    <w:basedOn w:val="BodyText"/>
    <w:uiPriority w:val="59"/>
    <w:rsid w:val="00971EE3"/>
    <w:pPr>
      <w:numPr>
        <w:ilvl w:val="3"/>
        <w:numId w:val="25"/>
      </w:numPr>
    </w:pPr>
  </w:style>
  <w:style w:type="paragraph" w:customStyle="1" w:styleId="BBSchedule5">
    <w:name w:val="B&amp;B Schedule 5"/>
    <w:basedOn w:val="BodyText"/>
    <w:uiPriority w:val="59"/>
    <w:rsid w:val="00971EE3"/>
    <w:pPr>
      <w:numPr>
        <w:ilvl w:val="4"/>
        <w:numId w:val="25"/>
      </w:numPr>
    </w:pPr>
  </w:style>
  <w:style w:type="paragraph" w:customStyle="1" w:styleId="BBSchedule6">
    <w:name w:val="B&amp;B Schedule 6"/>
    <w:basedOn w:val="BodyText"/>
    <w:uiPriority w:val="59"/>
    <w:rsid w:val="00971EE3"/>
    <w:pPr>
      <w:numPr>
        <w:ilvl w:val="5"/>
        <w:numId w:val="25"/>
      </w:numPr>
    </w:pPr>
  </w:style>
  <w:style w:type="paragraph" w:customStyle="1" w:styleId="BBSchedule7">
    <w:name w:val="B&amp;B Schedule 7"/>
    <w:basedOn w:val="BodyText"/>
    <w:uiPriority w:val="59"/>
    <w:rsid w:val="00971EE3"/>
    <w:pPr>
      <w:numPr>
        <w:ilvl w:val="6"/>
        <w:numId w:val="25"/>
      </w:numPr>
    </w:pPr>
  </w:style>
  <w:style w:type="paragraph" w:customStyle="1" w:styleId="BBSchedule8">
    <w:name w:val="B&amp;B Schedule 8"/>
    <w:basedOn w:val="BodyText"/>
    <w:uiPriority w:val="59"/>
    <w:rsid w:val="00971EE3"/>
    <w:pPr>
      <w:numPr>
        <w:ilvl w:val="7"/>
        <w:numId w:val="25"/>
      </w:numPr>
    </w:pPr>
  </w:style>
  <w:style w:type="paragraph" w:customStyle="1" w:styleId="BBSchedule9">
    <w:name w:val="B&amp;B Schedule 9"/>
    <w:basedOn w:val="Body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semiHidden/>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9692">
      <w:bodyDiv w:val="1"/>
      <w:marLeft w:val="0"/>
      <w:marRight w:val="0"/>
      <w:marTop w:val="0"/>
      <w:marBottom w:val="0"/>
      <w:divBdr>
        <w:top w:val="none" w:sz="0" w:space="0" w:color="auto"/>
        <w:left w:val="none" w:sz="0" w:space="0" w:color="auto"/>
        <w:bottom w:val="none" w:sz="0" w:space="0" w:color="auto"/>
        <w:right w:val="none" w:sz="0" w:space="0" w:color="auto"/>
      </w:divBdr>
    </w:div>
    <w:div w:id="221404122">
      <w:bodyDiv w:val="1"/>
      <w:marLeft w:val="0"/>
      <w:marRight w:val="0"/>
      <w:marTop w:val="0"/>
      <w:marBottom w:val="0"/>
      <w:divBdr>
        <w:top w:val="none" w:sz="0" w:space="0" w:color="auto"/>
        <w:left w:val="none" w:sz="0" w:space="0" w:color="auto"/>
        <w:bottom w:val="none" w:sz="0" w:space="0" w:color="auto"/>
        <w:right w:val="none" w:sz="0" w:space="0" w:color="auto"/>
      </w:divBdr>
    </w:div>
    <w:div w:id="388571777">
      <w:bodyDiv w:val="1"/>
      <w:marLeft w:val="0"/>
      <w:marRight w:val="0"/>
      <w:marTop w:val="0"/>
      <w:marBottom w:val="0"/>
      <w:divBdr>
        <w:top w:val="none" w:sz="0" w:space="0" w:color="auto"/>
        <w:left w:val="none" w:sz="0" w:space="0" w:color="auto"/>
        <w:bottom w:val="none" w:sz="0" w:space="0" w:color="auto"/>
        <w:right w:val="none" w:sz="0" w:space="0" w:color="auto"/>
      </w:divBdr>
    </w:div>
    <w:div w:id="522134100">
      <w:bodyDiv w:val="1"/>
      <w:marLeft w:val="0"/>
      <w:marRight w:val="0"/>
      <w:marTop w:val="0"/>
      <w:marBottom w:val="0"/>
      <w:divBdr>
        <w:top w:val="none" w:sz="0" w:space="0" w:color="auto"/>
        <w:left w:val="none" w:sz="0" w:space="0" w:color="auto"/>
        <w:bottom w:val="none" w:sz="0" w:space="0" w:color="auto"/>
        <w:right w:val="none" w:sz="0" w:space="0" w:color="auto"/>
      </w:divBdr>
    </w:div>
    <w:div w:id="750468902">
      <w:bodyDiv w:val="1"/>
      <w:marLeft w:val="0"/>
      <w:marRight w:val="0"/>
      <w:marTop w:val="0"/>
      <w:marBottom w:val="0"/>
      <w:divBdr>
        <w:top w:val="none" w:sz="0" w:space="0" w:color="auto"/>
        <w:left w:val="none" w:sz="0" w:space="0" w:color="auto"/>
        <w:bottom w:val="none" w:sz="0" w:space="0" w:color="auto"/>
        <w:right w:val="none" w:sz="0" w:space="0" w:color="auto"/>
      </w:divBdr>
    </w:div>
    <w:div w:id="1161849238">
      <w:bodyDiv w:val="1"/>
      <w:marLeft w:val="0"/>
      <w:marRight w:val="0"/>
      <w:marTop w:val="0"/>
      <w:marBottom w:val="0"/>
      <w:divBdr>
        <w:top w:val="none" w:sz="0" w:space="0" w:color="auto"/>
        <w:left w:val="none" w:sz="0" w:space="0" w:color="auto"/>
        <w:bottom w:val="none" w:sz="0" w:space="0" w:color="auto"/>
        <w:right w:val="none" w:sz="0" w:space="0" w:color="auto"/>
      </w:divBdr>
    </w:div>
    <w:div w:id="1287925250">
      <w:bodyDiv w:val="1"/>
      <w:marLeft w:val="0"/>
      <w:marRight w:val="0"/>
      <w:marTop w:val="0"/>
      <w:marBottom w:val="0"/>
      <w:divBdr>
        <w:top w:val="none" w:sz="0" w:space="0" w:color="auto"/>
        <w:left w:val="none" w:sz="0" w:space="0" w:color="auto"/>
        <w:bottom w:val="none" w:sz="0" w:space="0" w:color="auto"/>
        <w:right w:val="none" w:sz="0" w:space="0" w:color="auto"/>
      </w:divBdr>
    </w:div>
    <w:div w:id="1344280318">
      <w:bodyDiv w:val="1"/>
      <w:marLeft w:val="0"/>
      <w:marRight w:val="0"/>
      <w:marTop w:val="0"/>
      <w:marBottom w:val="0"/>
      <w:divBdr>
        <w:top w:val="none" w:sz="0" w:space="0" w:color="auto"/>
        <w:left w:val="none" w:sz="0" w:space="0" w:color="auto"/>
        <w:bottom w:val="none" w:sz="0" w:space="0" w:color="auto"/>
        <w:right w:val="none" w:sz="0" w:space="0" w:color="auto"/>
      </w:divBdr>
    </w:div>
    <w:div w:id="1462000394">
      <w:bodyDiv w:val="1"/>
      <w:marLeft w:val="0"/>
      <w:marRight w:val="0"/>
      <w:marTop w:val="0"/>
      <w:marBottom w:val="0"/>
      <w:divBdr>
        <w:top w:val="none" w:sz="0" w:space="0" w:color="auto"/>
        <w:left w:val="none" w:sz="0" w:space="0" w:color="auto"/>
        <w:bottom w:val="none" w:sz="0" w:space="0" w:color="auto"/>
        <w:right w:val="none" w:sz="0" w:space="0" w:color="auto"/>
      </w:divBdr>
    </w:div>
    <w:div w:id="1528524001">
      <w:bodyDiv w:val="1"/>
      <w:marLeft w:val="0"/>
      <w:marRight w:val="0"/>
      <w:marTop w:val="0"/>
      <w:marBottom w:val="0"/>
      <w:divBdr>
        <w:top w:val="none" w:sz="0" w:space="0" w:color="auto"/>
        <w:left w:val="none" w:sz="0" w:space="0" w:color="auto"/>
        <w:bottom w:val="none" w:sz="0" w:space="0" w:color="auto"/>
        <w:right w:val="none" w:sz="0" w:space="0" w:color="auto"/>
      </w:divBdr>
    </w:div>
    <w:div w:id="1599681110">
      <w:bodyDiv w:val="1"/>
      <w:marLeft w:val="0"/>
      <w:marRight w:val="0"/>
      <w:marTop w:val="0"/>
      <w:marBottom w:val="0"/>
      <w:divBdr>
        <w:top w:val="none" w:sz="0" w:space="0" w:color="auto"/>
        <w:left w:val="none" w:sz="0" w:space="0" w:color="auto"/>
        <w:bottom w:val="none" w:sz="0" w:space="0" w:color="auto"/>
        <w:right w:val="none" w:sz="0" w:space="0" w:color="auto"/>
      </w:divBdr>
    </w:div>
    <w:div w:id="1957253712">
      <w:bodyDiv w:val="1"/>
      <w:marLeft w:val="0"/>
      <w:marRight w:val="0"/>
      <w:marTop w:val="0"/>
      <w:marBottom w:val="0"/>
      <w:divBdr>
        <w:top w:val="none" w:sz="0" w:space="0" w:color="auto"/>
        <w:left w:val="none" w:sz="0" w:space="0" w:color="auto"/>
        <w:bottom w:val="none" w:sz="0" w:space="0" w:color="auto"/>
        <w:right w:val="none" w:sz="0" w:space="0" w:color="auto"/>
      </w:divBdr>
    </w:div>
    <w:div w:id="2059238288">
      <w:bodyDiv w:val="1"/>
      <w:marLeft w:val="0"/>
      <w:marRight w:val="0"/>
      <w:marTop w:val="0"/>
      <w:marBottom w:val="0"/>
      <w:divBdr>
        <w:top w:val="none" w:sz="0" w:space="0" w:color="auto"/>
        <w:left w:val="none" w:sz="0" w:space="0" w:color="auto"/>
        <w:bottom w:val="none" w:sz="0" w:space="0" w:color="auto"/>
        <w:right w:val="none" w:sz="0" w:space="0" w:color="auto"/>
      </w:divBdr>
    </w:div>
    <w:div w:id="2109697092">
      <w:bodyDiv w:val="1"/>
      <w:marLeft w:val="0"/>
      <w:marRight w:val="0"/>
      <w:marTop w:val="0"/>
      <w:marBottom w:val="0"/>
      <w:divBdr>
        <w:top w:val="none" w:sz="0" w:space="0" w:color="auto"/>
        <w:left w:val="none" w:sz="0" w:space="0" w:color="auto"/>
        <w:bottom w:val="none" w:sz="0" w:space="0" w:color="auto"/>
        <w:right w:val="none" w:sz="0" w:space="0" w:color="auto"/>
      </w:divBdr>
    </w:div>
    <w:div w:id="21136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8C04-4BF9-4356-BF5D-4C174783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7930</Characters>
  <Application>Microsoft Office Word</Application>
  <DocSecurity>0</DocSecurity>
  <Lines>161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Bird &amp; Bird</cp:lastModifiedBy>
  <cp:revision>2</cp:revision>
  <dcterms:created xsi:type="dcterms:W3CDTF">2019-01-23T12:35:00Z</dcterms:created>
  <dcterms:modified xsi:type="dcterms:W3CDTF">2019-01-23T12:35:00Z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Matters\45304927.1</vt:lpwstr>
  </property>
  <property fmtid="{D5CDD505-2E9C-101B-9397-08002B2CF9AE}" pid="3" name="bbFooterStyle">
    <vt:lpwstr>SHORT</vt:lpwstr>
  </property>
</Properties>
</file>