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31CA9" w14:textId="77777777" w:rsidR="00364763" w:rsidRDefault="00176258" w:rsidP="00A56645">
      <w:pPr>
        <w:pStyle w:val="MemoHeading"/>
        <w:widowControl w:val="0"/>
        <w:spacing w:after="0"/>
        <w:rPr>
          <w:rFonts w:asciiTheme="majorHAnsi" w:hAnsiTheme="majorHAnsi"/>
        </w:rPr>
      </w:pPr>
      <w:bookmarkStart w:id="0" w:name="bmkMemoHeading"/>
      <w:r w:rsidRPr="00AA3723">
        <w:rPr>
          <w:rFonts w:asciiTheme="majorHAnsi" w:hAnsiTheme="majorHAnsi"/>
        </w:rPr>
        <w:t>MEMORANDUM</w:t>
      </w:r>
      <w:bookmarkEnd w:id="0"/>
    </w:p>
    <w:p w14:paraId="5452347C" w14:textId="77777777" w:rsidR="0076518C" w:rsidRDefault="0076518C" w:rsidP="0076518C">
      <w:pPr>
        <w:pStyle w:val="BodyText"/>
      </w:pPr>
    </w:p>
    <w:p w14:paraId="70B44CBD" w14:textId="77777777" w:rsidR="0076518C" w:rsidRPr="0076518C" w:rsidRDefault="0076518C" w:rsidP="0076518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236"/>
      </w:tblGrid>
      <w:tr w:rsidR="00027C51" w:rsidRPr="00AA3723" w14:paraId="1354A0F1" w14:textId="77777777" w:rsidTr="00176258">
        <w:tc>
          <w:tcPr>
            <w:tcW w:w="2050" w:type="dxa"/>
          </w:tcPr>
          <w:p w14:paraId="3C6F3B1D" w14:textId="77777777" w:rsidR="00364763" w:rsidRPr="00AA3723" w:rsidRDefault="00176258" w:rsidP="00A56645">
            <w:pPr>
              <w:pStyle w:val="BBBodyTextNoSpacing"/>
              <w:widowControl w:val="0"/>
              <w:rPr>
                <w:rFonts w:asciiTheme="majorHAnsi" w:hAnsiTheme="majorHAnsi"/>
                <w:b/>
              </w:rPr>
            </w:pPr>
            <w:bookmarkStart w:id="1" w:name="labTo"/>
            <w:r w:rsidRPr="00AA3723">
              <w:rPr>
                <w:rFonts w:asciiTheme="majorHAnsi" w:hAnsiTheme="majorHAnsi"/>
                <w:b/>
              </w:rPr>
              <w:t>To</w:t>
            </w:r>
            <w:bookmarkEnd w:id="1"/>
            <w:r w:rsidR="00364763" w:rsidRPr="00AA3723">
              <w:rPr>
                <w:rFonts w:asciiTheme="majorHAnsi" w:hAnsiTheme="majorHAnsi"/>
                <w:b/>
              </w:rPr>
              <w:t>:</w:t>
            </w:r>
          </w:p>
        </w:tc>
        <w:tc>
          <w:tcPr>
            <w:tcW w:w="7236" w:type="dxa"/>
          </w:tcPr>
          <w:p w14:paraId="123B9876" w14:textId="77777777" w:rsidR="00364763" w:rsidRPr="00AA3723" w:rsidRDefault="00176258" w:rsidP="00A56645">
            <w:pPr>
              <w:pStyle w:val="BBBodyTextNoSpacing"/>
              <w:widowControl w:val="0"/>
              <w:rPr>
                <w:rFonts w:asciiTheme="majorHAnsi" w:hAnsiTheme="majorHAnsi"/>
              </w:rPr>
            </w:pPr>
            <w:bookmarkStart w:id="2" w:name="bmkTo"/>
            <w:r w:rsidRPr="00AA3723">
              <w:rPr>
                <w:rFonts w:asciiTheme="majorHAnsi" w:hAnsiTheme="majorHAnsi"/>
              </w:rPr>
              <w:t>Internet Corporation for Assigned Names and Numbers</w:t>
            </w:r>
            <w:bookmarkEnd w:id="2"/>
            <w:r w:rsidR="00B64626" w:rsidRPr="00AA3723">
              <w:rPr>
                <w:rFonts w:asciiTheme="majorHAnsi" w:hAnsiTheme="majorHAnsi"/>
              </w:rPr>
              <w:t>, EPDP Team</w:t>
            </w:r>
          </w:p>
        </w:tc>
      </w:tr>
      <w:tr w:rsidR="00027C51" w:rsidRPr="00AA3723" w14:paraId="482C912A" w14:textId="77777777" w:rsidTr="00176258">
        <w:tc>
          <w:tcPr>
            <w:tcW w:w="2050" w:type="dxa"/>
          </w:tcPr>
          <w:p w14:paraId="30AEE843" w14:textId="77777777" w:rsidR="00364763" w:rsidRPr="001B35BD" w:rsidRDefault="00176258" w:rsidP="00A56645">
            <w:pPr>
              <w:pStyle w:val="BBBodyTextNoSpacing"/>
              <w:widowControl w:val="0"/>
              <w:rPr>
                <w:rFonts w:asciiTheme="majorHAnsi" w:hAnsiTheme="majorHAnsi"/>
                <w:b/>
              </w:rPr>
            </w:pPr>
            <w:bookmarkStart w:id="3" w:name="labFrom"/>
            <w:r w:rsidRPr="00AA3723">
              <w:rPr>
                <w:rFonts w:asciiTheme="majorHAnsi" w:hAnsiTheme="majorHAnsi"/>
                <w:b/>
              </w:rPr>
              <w:t>From</w:t>
            </w:r>
            <w:bookmarkEnd w:id="3"/>
            <w:r w:rsidR="00364763" w:rsidRPr="00AA3723">
              <w:rPr>
                <w:rFonts w:asciiTheme="majorHAnsi" w:hAnsiTheme="majorHAnsi"/>
                <w:b/>
              </w:rPr>
              <w:t>:</w:t>
            </w:r>
          </w:p>
        </w:tc>
        <w:tc>
          <w:tcPr>
            <w:tcW w:w="7236" w:type="dxa"/>
          </w:tcPr>
          <w:p w14:paraId="41111A59" w14:textId="77777777" w:rsidR="00364763" w:rsidRPr="00AA3723" w:rsidRDefault="00176258" w:rsidP="00A56645">
            <w:pPr>
              <w:pStyle w:val="BBBodyTextNoSpacing"/>
              <w:widowControl w:val="0"/>
              <w:rPr>
                <w:rFonts w:asciiTheme="majorHAnsi" w:hAnsiTheme="majorHAnsi"/>
              </w:rPr>
            </w:pPr>
            <w:bookmarkStart w:id="4" w:name="bmkFrom"/>
            <w:r w:rsidRPr="00AA3723">
              <w:rPr>
                <w:rFonts w:asciiTheme="majorHAnsi" w:hAnsiTheme="majorHAnsi"/>
              </w:rPr>
              <w:t>Ruth Boardman</w:t>
            </w:r>
            <w:bookmarkEnd w:id="4"/>
            <w:r w:rsidR="00B64626" w:rsidRPr="00AA3723">
              <w:rPr>
                <w:rFonts w:asciiTheme="majorHAnsi" w:hAnsiTheme="majorHAnsi"/>
              </w:rPr>
              <w:t xml:space="preserve"> &amp; Gabe Maldoff</w:t>
            </w:r>
          </w:p>
        </w:tc>
      </w:tr>
      <w:tr w:rsidR="00027C51" w:rsidRPr="00AA3723" w14:paraId="6B57A894" w14:textId="77777777" w:rsidTr="00176258">
        <w:tc>
          <w:tcPr>
            <w:tcW w:w="2050" w:type="dxa"/>
          </w:tcPr>
          <w:p w14:paraId="70C9C103" w14:textId="77777777" w:rsidR="00364763" w:rsidRPr="001B35BD" w:rsidRDefault="00176258" w:rsidP="00A56645">
            <w:pPr>
              <w:pStyle w:val="BBBodyTextNoSpacing"/>
              <w:widowControl w:val="0"/>
              <w:rPr>
                <w:rFonts w:asciiTheme="majorHAnsi" w:hAnsiTheme="majorHAnsi"/>
                <w:b/>
              </w:rPr>
            </w:pPr>
            <w:bookmarkStart w:id="5" w:name="labDate"/>
            <w:r w:rsidRPr="00AA3723">
              <w:rPr>
                <w:rFonts w:asciiTheme="majorHAnsi" w:hAnsiTheme="majorHAnsi"/>
                <w:b/>
              </w:rPr>
              <w:t>Date</w:t>
            </w:r>
            <w:bookmarkEnd w:id="5"/>
            <w:r w:rsidR="00364763" w:rsidRPr="00AA3723">
              <w:rPr>
                <w:rFonts w:asciiTheme="majorHAnsi" w:hAnsiTheme="majorHAnsi"/>
                <w:b/>
              </w:rPr>
              <w:t>:</w:t>
            </w:r>
          </w:p>
        </w:tc>
        <w:tc>
          <w:tcPr>
            <w:tcW w:w="7236" w:type="dxa"/>
          </w:tcPr>
          <w:p w14:paraId="06FE783E" w14:textId="34311AB0" w:rsidR="00364763" w:rsidRPr="00AA3723" w:rsidRDefault="001178E2" w:rsidP="0076518C">
            <w:pPr>
              <w:pStyle w:val="BBBodyTextNoSpacing"/>
              <w:widowControl w:val="0"/>
              <w:rPr>
                <w:rFonts w:asciiTheme="majorHAnsi" w:hAnsiTheme="majorHAnsi"/>
              </w:rPr>
            </w:pPr>
            <w:bookmarkStart w:id="6" w:name="bmkDate"/>
            <w:r>
              <w:rPr>
                <w:rFonts w:asciiTheme="majorHAnsi" w:hAnsiTheme="majorHAnsi"/>
              </w:rPr>
              <w:t>2</w:t>
            </w:r>
            <w:r w:rsidR="005101B0">
              <w:rPr>
                <w:rFonts w:asciiTheme="majorHAnsi" w:hAnsiTheme="majorHAnsi"/>
              </w:rPr>
              <w:t>5</w:t>
            </w:r>
            <w:r w:rsidR="00176258" w:rsidRPr="00AA3723">
              <w:rPr>
                <w:rFonts w:asciiTheme="majorHAnsi" w:hAnsiTheme="majorHAnsi"/>
              </w:rPr>
              <w:t xml:space="preserve"> January 2019</w:t>
            </w:r>
            <w:bookmarkEnd w:id="6"/>
          </w:p>
        </w:tc>
      </w:tr>
      <w:tr w:rsidR="00027C51" w:rsidRPr="00AA3723" w14:paraId="30069BA1" w14:textId="77777777" w:rsidTr="00176258">
        <w:tc>
          <w:tcPr>
            <w:tcW w:w="2050" w:type="dxa"/>
          </w:tcPr>
          <w:p w14:paraId="1CEB2F9A" w14:textId="77777777" w:rsidR="00364763" w:rsidRPr="001B35BD" w:rsidRDefault="00176258" w:rsidP="00A56645">
            <w:pPr>
              <w:pStyle w:val="BBBodyTextNoSpacing"/>
              <w:widowControl w:val="0"/>
              <w:rPr>
                <w:rFonts w:asciiTheme="majorHAnsi" w:hAnsiTheme="majorHAnsi"/>
                <w:b/>
              </w:rPr>
            </w:pPr>
            <w:bookmarkStart w:id="7" w:name="labRe"/>
            <w:r w:rsidRPr="00AA3723">
              <w:rPr>
                <w:rFonts w:asciiTheme="majorHAnsi" w:hAnsiTheme="majorHAnsi"/>
                <w:b/>
              </w:rPr>
              <w:t>Subject</w:t>
            </w:r>
            <w:bookmarkEnd w:id="7"/>
            <w:r w:rsidR="00364763" w:rsidRPr="00AA3723">
              <w:rPr>
                <w:rFonts w:asciiTheme="majorHAnsi" w:hAnsiTheme="majorHAnsi"/>
                <w:b/>
              </w:rPr>
              <w:t>:</w:t>
            </w:r>
          </w:p>
        </w:tc>
        <w:tc>
          <w:tcPr>
            <w:tcW w:w="7236" w:type="dxa"/>
          </w:tcPr>
          <w:p w14:paraId="058DE7E9" w14:textId="686A4D11" w:rsidR="00364763" w:rsidRPr="00AA3723" w:rsidRDefault="00176258" w:rsidP="0076518C">
            <w:pPr>
              <w:pStyle w:val="BBBodyTextNoSpacing"/>
              <w:widowControl w:val="0"/>
              <w:rPr>
                <w:rFonts w:asciiTheme="majorHAnsi" w:hAnsiTheme="majorHAnsi"/>
              </w:rPr>
            </w:pPr>
            <w:bookmarkStart w:id="8" w:name="bmkRe"/>
            <w:r w:rsidRPr="00AA3723">
              <w:rPr>
                <w:rFonts w:asciiTheme="majorHAnsi" w:hAnsiTheme="majorHAnsi"/>
              </w:rPr>
              <w:t xml:space="preserve">Advice on </w:t>
            </w:r>
            <w:r w:rsidR="009F729E">
              <w:rPr>
                <w:rFonts w:asciiTheme="majorHAnsi" w:hAnsiTheme="majorHAnsi"/>
              </w:rPr>
              <w:t xml:space="preserve">liability in connection with a registrant's self-identification as </w:t>
            </w:r>
            <w:r w:rsidR="0076518C">
              <w:rPr>
                <w:rFonts w:asciiTheme="majorHAnsi" w:hAnsiTheme="majorHAnsi"/>
              </w:rPr>
              <w:t>a natural or non-natural person</w:t>
            </w:r>
            <w:r w:rsidR="009F729E">
              <w:rPr>
                <w:rFonts w:asciiTheme="majorHAnsi" w:hAnsiTheme="majorHAnsi"/>
              </w:rPr>
              <w:t xml:space="preserve"> </w:t>
            </w:r>
            <w:r w:rsidR="009322FE">
              <w:rPr>
                <w:rFonts w:asciiTheme="majorHAnsi" w:hAnsiTheme="majorHAnsi"/>
              </w:rPr>
              <w:t xml:space="preserve">pursuant to </w:t>
            </w:r>
            <w:r w:rsidRPr="00AA3723">
              <w:rPr>
                <w:rFonts w:asciiTheme="majorHAnsi" w:hAnsiTheme="majorHAnsi"/>
              </w:rPr>
              <w:t>the General Data Protection Regul</w:t>
            </w:r>
            <w:r w:rsidR="00207DB5">
              <w:rPr>
                <w:rFonts w:asciiTheme="majorHAnsi" w:hAnsiTheme="majorHAnsi"/>
              </w:rPr>
              <w:t>ation (Regulation (EU) 2016/679)</w:t>
            </w:r>
            <w:r w:rsidRPr="00AA3723">
              <w:rPr>
                <w:rFonts w:asciiTheme="majorHAnsi" w:hAnsiTheme="majorHAnsi"/>
              </w:rPr>
              <w:t xml:space="preserve"> </w:t>
            </w:r>
            <w:r w:rsidR="00207DB5">
              <w:rPr>
                <w:rFonts w:asciiTheme="majorHAnsi" w:hAnsiTheme="majorHAnsi"/>
              </w:rPr>
              <w:t>(</w:t>
            </w:r>
            <w:r w:rsidRPr="00AA3723">
              <w:rPr>
                <w:rFonts w:asciiTheme="majorHAnsi" w:hAnsiTheme="majorHAnsi"/>
              </w:rPr>
              <w:t>"GDPR")</w:t>
            </w:r>
            <w:bookmarkEnd w:id="8"/>
          </w:p>
        </w:tc>
      </w:tr>
    </w:tbl>
    <w:p w14:paraId="088D3BFE" w14:textId="77777777" w:rsidR="00D42BAE" w:rsidRPr="00AA3723" w:rsidRDefault="00D42BAE" w:rsidP="00A56645">
      <w:pPr>
        <w:widowControl w:val="0"/>
        <w:pBdr>
          <w:bottom w:val="single" w:sz="12" w:space="1" w:color="auto"/>
        </w:pBdr>
        <w:spacing w:after="0"/>
        <w:rPr>
          <w:rFonts w:asciiTheme="majorHAnsi" w:eastAsia="Calibri" w:hAnsiTheme="majorHAnsi" w:cs="Calibri"/>
          <w:sz w:val="20"/>
        </w:rPr>
      </w:pPr>
    </w:p>
    <w:p w14:paraId="2D434435" w14:textId="77777777" w:rsidR="007A55C9" w:rsidRPr="00AA3723" w:rsidRDefault="007A55C9" w:rsidP="00A56645">
      <w:pPr>
        <w:widowControl w:val="0"/>
        <w:autoSpaceDE w:val="0"/>
        <w:autoSpaceDN w:val="0"/>
        <w:spacing w:after="0"/>
        <w:rPr>
          <w:rFonts w:asciiTheme="majorHAnsi" w:eastAsia="Calibri" w:hAnsiTheme="majorHAnsi" w:cs="Calibri"/>
          <w:szCs w:val="22"/>
        </w:rPr>
      </w:pPr>
    </w:p>
    <w:p w14:paraId="089C834B" w14:textId="77777777" w:rsidR="007A55C9" w:rsidRPr="00AA3723" w:rsidRDefault="007A55C9" w:rsidP="00A56645">
      <w:pPr>
        <w:widowControl w:val="0"/>
        <w:autoSpaceDE w:val="0"/>
        <w:autoSpaceDN w:val="0"/>
        <w:spacing w:after="0"/>
        <w:rPr>
          <w:rFonts w:asciiTheme="majorHAnsi" w:eastAsia="Calibri" w:hAnsiTheme="majorHAnsi" w:cs="Calibri"/>
          <w:szCs w:val="22"/>
        </w:rPr>
      </w:pPr>
    </w:p>
    <w:p w14:paraId="77658625" w14:textId="77777777" w:rsidR="007A55C9" w:rsidRPr="00AA3723" w:rsidRDefault="007A55C9" w:rsidP="00A56645">
      <w:pPr>
        <w:widowControl w:val="0"/>
        <w:autoSpaceDE w:val="0"/>
        <w:autoSpaceDN w:val="0"/>
        <w:spacing w:after="0"/>
        <w:rPr>
          <w:rFonts w:asciiTheme="majorHAnsi" w:eastAsia="Calibri" w:hAnsiTheme="majorHAnsi" w:cs="Calibri"/>
          <w:b/>
          <w:szCs w:val="22"/>
        </w:rPr>
      </w:pPr>
      <w:r w:rsidRPr="00AA3723">
        <w:rPr>
          <w:rFonts w:asciiTheme="majorHAnsi" w:eastAsia="Calibri" w:hAnsiTheme="majorHAnsi" w:cs="Calibri"/>
          <w:b/>
          <w:szCs w:val="22"/>
        </w:rPr>
        <w:t>Background</w:t>
      </w:r>
    </w:p>
    <w:p w14:paraId="0CD83899" w14:textId="77777777" w:rsidR="007A55C9" w:rsidRPr="00AA3723" w:rsidRDefault="007A55C9" w:rsidP="00A56645">
      <w:pPr>
        <w:widowControl w:val="0"/>
        <w:autoSpaceDE w:val="0"/>
        <w:autoSpaceDN w:val="0"/>
        <w:spacing w:after="0"/>
        <w:rPr>
          <w:rFonts w:asciiTheme="majorHAnsi" w:eastAsia="Calibri" w:hAnsiTheme="majorHAnsi" w:cs="Calibri"/>
          <w:b/>
          <w:szCs w:val="22"/>
        </w:rPr>
      </w:pPr>
    </w:p>
    <w:p w14:paraId="5D9913AC" w14:textId="68B4E655" w:rsidR="00754280" w:rsidRDefault="00EE0FF5" w:rsidP="00A56645">
      <w:pPr>
        <w:widowControl w:val="0"/>
        <w:numPr>
          <w:ilvl w:val="0"/>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Where registrants are natural persons, most</w:t>
      </w:r>
      <w:r w:rsidR="00934436">
        <w:rPr>
          <w:rFonts w:asciiTheme="majorHAnsi" w:eastAsia="Calibri" w:hAnsiTheme="majorHAnsi" w:cs="Calibri"/>
          <w:iCs/>
          <w:szCs w:val="22"/>
        </w:rPr>
        <w:t>, or all,</w:t>
      </w:r>
      <w:r>
        <w:rPr>
          <w:rFonts w:asciiTheme="majorHAnsi" w:eastAsia="Calibri" w:hAnsiTheme="majorHAnsi" w:cs="Calibri"/>
          <w:iCs/>
          <w:szCs w:val="22"/>
        </w:rPr>
        <w:t xml:space="preserve"> of the information they provide at registration is personal data. However, </w:t>
      </w:r>
      <w:r w:rsidR="005101B0">
        <w:rPr>
          <w:rFonts w:asciiTheme="majorHAnsi" w:eastAsia="Calibri" w:hAnsiTheme="majorHAnsi" w:cs="Calibri"/>
          <w:iCs/>
          <w:szCs w:val="22"/>
        </w:rPr>
        <w:t>many</w:t>
      </w:r>
      <w:r>
        <w:rPr>
          <w:rFonts w:asciiTheme="majorHAnsi" w:eastAsia="Calibri" w:hAnsiTheme="majorHAnsi" w:cs="Calibri"/>
          <w:iCs/>
          <w:szCs w:val="22"/>
        </w:rPr>
        <w:t xml:space="preserve"> registrants are corporate entities. For these registrants, the registration data only includes personal data if the registrant </w:t>
      </w:r>
      <w:r w:rsidR="005D23E9">
        <w:rPr>
          <w:rFonts w:asciiTheme="majorHAnsi" w:eastAsia="Calibri" w:hAnsiTheme="majorHAnsi" w:cs="Calibri"/>
          <w:iCs/>
          <w:szCs w:val="22"/>
        </w:rPr>
        <w:t>provides contact details relating</w:t>
      </w:r>
      <w:r>
        <w:rPr>
          <w:rFonts w:asciiTheme="majorHAnsi" w:eastAsia="Calibri" w:hAnsiTheme="majorHAnsi" w:cs="Calibri"/>
          <w:iCs/>
          <w:szCs w:val="22"/>
        </w:rPr>
        <w:t xml:space="preserve"> to a natural person (e.g. </w:t>
      </w:r>
      <w:hyperlink r:id="rId9" w:history="1">
        <w:r w:rsidRPr="003E77F5">
          <w:rPr>
            <w:rStyle w:val="Hyperlink"/>
            <w:rFonts w:asciiTheme="majorHAnsi" w:eastAsia="Calibri" w:hAnsiTheme="majorHAnsi" w:cs="Calibri"/>
            <w:i/>
            <w:iCs/>
            <w:szCs w:val="22"/>
          </w:rPr>
          <w:t>firstname.lastname@company.com</w:t>
        </w:r>
      </w:hyperlink>
      <w:r>
        <w:rPr>
          <w:rFonts w:asciiTheme="majorHAnsi" w:eastAsia="Calibri" w:hAnsiTheme="majorHAnsi" w:cs="Calibri"/>
          <w:iCs/>
          <w:szCs w:val="22"/>
        </w:rPr>
        <w:t>)</w:t>
      </w:r>
      <w:r w:rsidR="00754280">
        <w:rPr>
          <w:rFonts w:asciiTheme="majorHAnsi" w:eastAsia="Calibri" w:hAnsiTheme="majorHAnsi" w:cs="Calibri"/>
          <w:iCs/>
          <w:szCs w:val="22"/>
        </w:rPr>
        <w:t xml:space="preserve">. </w:t>
      </w:r>
      <w:r w:rsidRPr="00754280">
        <w:rPr>
          <w:rFonts w:asciiTheme="majorHAnsi" w:eastAsia="Calibri" w:hAnsiTheme="majorHAnsi" w:cs="Calibri"/>
          <w:iCs/>
          <w:szCs w:val="22"/>
        </w:rPr>
        <w:t>If contact</w:t>
      </w:r>
      <w:r w:rsidR="005D23E9">
        <w:rPr>
          <w:rFonts w:asciiTheme="majorHAnsi" w:eastAsia="Calibri" w:hAnsiTheme="majorHAnsi" w:cs="Calibri"/>
          <w:iCs/>
          <w:szCs w:val="22"/>
        </w:rPr>
        <w:t xml:space="preserve"> details are generic</w:t>
      </w:r>
      <w:r w:rsidRPr="00754280">
        <w:rPr>
          <w:rFonts w:asciiTheme="majorHAnsi" w:eastAsia="Calibri" w:hAnsiTheme="majorHAnsi" w:cs="Calibri"/>
          <w:iCs/>
          <w:szCs w:val="22"/>
        </w:rPr>
        <w:t xml:space="preserve">, such as </w:t>
      </w:r>
      <w:hyperlink r:id="rId10" w:history="1">
        <w:r w:rsidRPr="00754280">
          <w:rPr>
            <w:rStyle w:val="Hyperlink"/>
            <w:rFonts w:asciiTheme="majorHAnsi" w:eastAsia="Calibri" w:hAnsiTheme="majorHAnsi" w:cs="Calibri"/>
            <w:i/>
            <w:iCs/>
            <w:szCs w:val="22"/>
          </w:rPr>
          <w:t>info@company.com</w:t>
        </w:r>
      </w:hyperlink>
      <w:r w:rsidRPr="00754280">
        <w:rPr>
          <w:rFonts w:asciiTheme="majorHAnsi" w:eastAsia="Calibri" w:hAnsiTheme="majorHAnsi" w:cs="Calibri"/>
          <w:iCs/>
          <w:szCs w:val="22"/>
        </w:rPr>
        <w:t xml:space="preserve">, then the registration data will not include personal data. </w:t>
      </w:r>
      <w:r w:rsidR="006A378B">
        <w:rPr>
          <w:rFonts w:asciiTheme="majorHAnsi" w:eastAsia="Calibri" w:hAnsiTheme="majorHAnsi" w:cs="Calibri"/>
          <w:iCs/>
          <w:szCs w:val="22"/>
        </w:rPr>
        <w:t xml:space="preserve">For the purposes of this memo, we will refer to </w:t>
      </w:r>
      <w:r w:rsidR="005D23E9">
        <w:rPr>
          <w:rFonts w:asciiTheme="majorHAnsi" w:eastAsia="Calibri" w:hAnsiTheme="majorHAnsi" w:cs="Calibri"/>
          <w:iCs/>
          <w:szCs w:val="22"/>
        </w:rPr>
        <w:t>registrants that do not supply personal data</w:t>
      </w:r>
      <w:r w:rsidR="006A378B">
        <w:rPr>
          <w:rFonts w:asciiTheme="majorHAnsi" w:eastAsia="Calibri" w:hAnsiTheme="majorHAnsi" w:cs="Calibri"/>
          <w:iCs/>
          <w:szCs w:val="22"/>
        </w:rPr>
        <w:t xml:space="preserve"> as "non-personal registrants".</w:t>
      </w:r>
    </w:p>
    <w:p w14:paraId="6109ED78" w14:textId="77777777" w:rsidR="00754280" w:rsidRDefault="00754280" w:rsidP="00A56645">
      <w:pPr>
        <w:widowControl w:val="0"/>
        <w:autoSpaceDE w:val="0"/>
        <w:autoSpaceDN w:val="0"/>
        <w:spacing w:after="0"/>
        <w:ind w:left="720"/>
        <w:rPr>
          <w:rFonts w:asciiTheme="majorHAnsi" w:eastAsia="Calibri" w:hAnsiTheme="majorHAnsi" w:cs="Calibri"/>
          <w:iCs/>
          <w:szCs w:val="22"/>
        </w:rPr>
      </w:pPr>
    </w:p>
    <w:p w14:paraId="65D7EAD3" w14:textId="4568DB13" w:rsidR="00EE0FF5" w:rsidRDefault="00754280" w:rsidP="00A56645">
      <w:pPr>
        <w:widowControl w:val="0"/>
        <w:numPr>
          <w:ilvl w:val="0"/>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 xml:space="preserve">The current approach is to treat all registrations as if </w:t>
      </w:r>
      <w:bookmarkStart w:id="9" w:name="_GoBack"/>
      <w:bookmarkEnd w:id="9"/>
      <w:r>
        <w:rPr>
          <w:rFonts w:asciiTheme="majorHAnsi" w:eastAsia="Calibri" w:hAnsiTheme="majorHAnsi" w:cs="Calibri"/>
          <w:iCs/>
          <w:szCs w:val="22"/>
        </w:rPr>
        <w:t xml:space="preserve">they may contain personal data. However, </w:t>
      </w:r>
      <w:r w:rsidR="00934436">
        <w:rPr>
          <w:rFonts w:asciiTheme="majorHAnsi" w:eastAsia="Calibri" w:hAnsiTheme="majorHAnsi" w:cs="Calibri"/>
          <w:iCs/>
          <w:szCs w:val="22"/>
        </w:rPr>
        <w:t xml:space="preserve">seeing as non-personal registrants make up a substantial portion of registrants, one solution being discussed is to distinguish these registrants from those that provide personal data. Under this approach, registration details would be made publicly available by default for </w:t>
      </w:r>
      <w:r w:rsidR="005D23E9">
        <w:rPr>
          <w:rFonts w:asciiTheme="majorHAnsi" w:eastAsia="Calibri" w:hAnsiTheme="majorHAnsi" w:cs="Calibri"/>
          <w:iCs/>
          <w:szCs w:val="22"/>
        </w:rPr>
        <w:t xml:space="preserve">non-personal </w:t>
      </w:r>
      <w:r w:rsidR="006A378B">
        <w:rPr>
          <w:rFonts w:asciiTheme="majorHAnsi" w:eastAsia="Calibri" w:hAnsiTheme="majorHAnsi" w:cs="Calibri"/>
          <w:iCs/>
          <w:szCs w:val="22"/>
        </w:rPr>
        <w:t>registrants</w:t>
      </w:r>
      <w:r w:rsidR="00934436">
        <w:rPr>
          <w:rFonts w:asciiTheme="majorHAnsi" w:eastAsia="Calibri" w:hAnsiTheme="majorHAnsi" w:cs="Calibri"/>
          <w:iCs/>
          <w:szCs w:val="22"/>
        </w:rPr>
        <w:t xml:space="preserve">. </w:t>
      </w:r>
    </w:p>
    <w:p w14:paraId="26BF2BAD" w14:textId="77777777" w:rsidR="006A378B" w:rsidRDefault="006A378B" w:rsidP="00A56645">
      <w:pPr>
        <w:widowControl w:val="0"/>
        <w:autoSpaceDE w:val="0"/>
        <w:autoSpaceDN w:val="0"/>
        <w:spacing w:after="0"/>
        <w:rPr>
          <w:rFonts w:asciiTheme="majorHAnsi" w:eastAsia="Calibri" w:hAnsiTheme="majorHAnsi" w:cs="Calibri"/>
          <w:iCs/>
          <w:szCs w:val="22"/>
        </w:rPr>
      </w:pPr>
    </w:p>
    <w:p w14:paraId="78E5EE40" w14:textId="5AA89607" w:rsidR="006A378B" w:rsidRPr="00754280" w:rsidRDefault="00934436" w:rsidP="00A56645">
      <w:pPr>
        <w:widowControl w:val="0"/>
        <w:numPr>
          <w:ilvl w:val="0"/>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N</w:t>
      </w:r>
      <w:r w:rsidR="006A378B">
        <w:rPr>
          <w:rFonts w:asciiTheme="majorHAnsi" w:eastAsia="Calibri" w:hAnsiTheme="majorHAnsi" w:cs="Calibri"/>
          <w:iCs/>
          <w:szCs w:val="22"/>
        </w:rPr>
        <w:t xml:space="preserve">on-personal registrants </w:t>
      </w:r>
      <w:r>
        <w:rPr>
          <w:rFonts w:asciiTheme="majorHAnsi" w:eastAsia="Calibri" w:hAnsiTheme="majorHAnsi" w:cs="Calibri"/>
          <w:iCs/>
          <w:szCs w:val="22"/>
        </w:rPr>
        <w:t xml:space="preserve">would be distinguished </w:t>
      </w:r>
      <w:r w:rsidR="006A378B">
        <w:rPr>
          <w:rFonts w:asciiTheme="majorHAnsi" w:eastAsia="Calibri" w:hAnsiTheme="majorHAnsi" w:cs="Calibri"/>
          <w:iCs/>
          <w:szCs w:val="22"/>
        </w:rPr>
        <w:t xml:space="preserve">by asking registrants to self-identify as such at the time of registration. The EPDP team has concerns that some registrants may mistakenly self-identify as non-personal, even if </w:t>
      </w:r>
      <w:r>
        <w:rPr>
          <w:rFonts w:asciiTheme="majorHAnsi" w:eastAsia="Calibri" w:hAnsiTheme="majorHAnsi" w:cs="Calibri"/>
          <w:iCs/>
          <w:szCs w:val="22"/>
        </w:rPr>
        <w:t xml:space="preserve">either they are registering as a natural person or </w:t>
      </w:r>
      <w:r w:rsidR="006A378B">
        <w:rPr>
          <w:rFonts w:asciiTheme="majorHAnsi" w:eastAsia="Calibri" w:hAnsiTheme="majorHAnsi" w:cs="Calibri"/>
          <w:iCs/>
          <w:szCs w:val="22"/>
        </w:rPr>
        <w:t>they provide personal contact details</w:t>
      </w:r>
      <w:r w:rsidR="00646EEA">
        <w:rPr>
          <w:rFonts w:asciiTheme="majorHAnsi" w:eastAsia="Calibri" w:hAnsiTheme="majorHAnsi" w:cs="Calibri"/>
          <w:iCs/>
          <w:szCs w:val="22"/>
        </w:rPr>
        <w:t xml:space="preserve"> on behalf of a corporate entity</w:t>
      </w:r>
      <w:r w:rsidR="006A378B">
        <w:rPr>
          <w:rFonts w:asciiTheme="majorHAnsi" w:eastAsia="Calibri" w:hAnsiTheme="majorHAnsi" w:cs="Calibri"/>
          <w:iCs/>
          <w:szCs w:val="22"/>
        </w:rPr>
        <w:t>.</w:t>
      </w:r>
    </w:p>
    <w:p w14:paraId="2B3D952D" w14:textId="77777777" w:rsidR="00074B5C" w:rsidRDefault="00074B5C" w:rsidP="00A56645">
      <w:pPr>
        <w:widowControl w:val="0"/>
        <w:autoSpaceDE w:val="0"/>
        <w:autoSpaceDN w:val="0"/>
        <w:spacing w:after="0"/>
        <w:ind w:left="720"/>
        <w:rPr>
          <w:rFonts w:asciiTheme="majorHAnsi" w:eastAsia="Calibri" w:hAnsiTheme="majorHAnsi" w:cs="Calibri"/>
          <w:iCs/>
          <w:szCs w:val="22"/>
        </w:rPr>
      </w:pPr>
    </w:p>
    <w:p w14:paraId="43C8200A" w14:textId="1D1EC3E2" w:rsidR="009F729E" w:rsidRDefault="00186923" w:rsidP="00A56645">
      <w:pPr>
        <w:widowControl w:val="0"/>
        <w:numPr>
          <w:ilvl w:val="0"/>
          <w:numId w:val="47"/>
        </w:numPr>
        <w:autoSpaceDE w:val="0"/>
        <w:autoSpaceDN w:val="0"/>
        <w:spacing w:after="0"/>
        <w:rPr>
          <w:rFonts w:asciiTheme="majorHAnsi" w:eastAsia="Calibri" w:hAnsiTheme="majorHAnsi" w:cs="Calibri"/>
          <w:szCs w:val="22"/>
        </w:rPr>
      </w:pPr>
      <w:r w:rsidRPr="00AA3723">
        <w:rPr>
          <w:rFonts w:asciiTheme="majorHAnsi" w:eastAsia="Calibri" w:hAnsiTheme="majorHAnsi" w:cs="Calibri"/>
          <w:szCs w:val="22"/>
        </w:rPr>
        <w:t xml:space="preserve">The EPDP Team has asked </w:t>
      </w:r>
      <w:r w:rsidR="009F729E">
        <w:rPr>
          <w:rFonts w:asciiTheme="majorHAnsi" w:eastAsia="Calibri" w:hAnsiTheme="majorHAnsi" w:cs="Calibri"/>
          <w:szCs w:val="22"/>
        </w:rPr>
        <w:t xml:space="preserve">Bird &amp; Bird to </w:t>
      </w:r>
      <w:proofErr w:type="gramStart"/>
      <w:r w:rsidR="009F729E">
        <w:rPr>
          <w:rFonts w:asciiTheme="majorHAnsi" w:eastAsia="Calibri" w:hAnsiTheme="majorHAnsi" w:cs="Calibri"/>
          <w:szCs w:val="22"/>
        </w:rPr>
        <w:t>advise</w:t>
      </w:r>
      <w:proofErr w:type="gramEnd"/>
      <w:r w:rsidR="009F729E">
        <w:rPr>
          <w:rFonts w:asciiTheme="majorHAnsi" w:eastAsia="Calibri" w:hAnsiTheme="majorHAnsi" w:cs="Calibri"/>
          <w:szCs w:val="22"/>
        </w:rPr>
        <w:t xml:space="preserve"> on whether the relevant parties could be subject to liability under GDPR if they rely on the registrant's inaccurate self-identification. If the answer is yes, the EPDP team has asked us to consider whether there are </w:t>
      </w:r>
      <w:r w:rsidRPr="00186923">
        <w:rPr>
          <w:rFonts w:asciiTheme="majorHAnsi" w:eastAsia="Calibri" w:hAnsiTheme="majorHAnsi" w:cs="Calibri"/>
          <w:szCs w:val="22"/>
        </w:rPr>
        <w:t>ways t</w:t>
      </w:r>
      <w:r w:rsidR="009F729E">
        <w:rPr>
          <w:rFonts w:asciiTheme="majorHAnsi" w:eastAsia="Calibri" w:hAnsiTheme="majorHAnsi" w:cs="Calibri"/>
          <w:szCs w:val="22"/>
        </w:rPr>
        <w:t>o reduce the risk of liability.</w:t>
      </w:r>
    </w:p>
    <w:p w14:paraId="548EFAFF" w14:textId="77777777" w:rsidR="009F729E" w:rsidRDefault="009F729E" w:rsidP="00A56645">
      <w:pPr>
        <w:widowControl w:val="0"/>
        <w:autoSpaceDE w:val="0"/>
        <w:autoSpaceDN w:val="0"/>
        <w:spacing w:after="0"/>
        <w:rPr>
          <w:rFonts w:asciiTheme="majorHAnsi" w:eastAsia="Calibri" w:hAnsiTheme="majorHAnsi" w:cs="Calibri"/>
          <w:szCs w:val="22"/>
        </w:rPr>
      </w:pPr>
    </w:p>
    <w:p w14:paraId="5FD567E1" w14:textId="0C3FDE5C" w:rsidR="00186923" w:rsidRDefault="009F729E" w:rsidP="00A56645">
      <w:pPr>
        <w:widowControl w:val="0"/>
        <w:autoSpaceDE w:val="0"/>
        <w:autoSpaceDN w:val="0"/>
        <w:spacing w:after="0"/>
        <w:rPr>
          <w:rFonts w:asciiTheme="majorHAnsi" w:eastAsia="Calibri" w:hAnsiTheme="majorHAnsi" w:cs="Calibri"/>
          <w:szCs w:val="22"/>
        </w:rPr>
      </w:pPr>
      <w:r>
        <w:rPr>
          <w:rFonts w:asciiTheme="majorHAnsi" w:eastAsia="Calibri" w:hAnsiTheme="majorHAnsi" w:cs="Calibri"/>
          <w:b/>
          <w:szCs w:val="22"/>
        </w:rPr>
        <w:t>Analysis</w:t>
      </w:r>
      <w:r w:rsidR="00186923" w:rsidRPr="00186923">
        <w:rPr>
          <w:rFonts w:asciiTheme="majorHAnsi" w:eastAsia="Calibri" w:hAnsiTheme="majorHAnsi" w:cs="Calibri"/>
          <w:szCs w:val="22"/>
        </w:rPr>
        <w:t xml:space="preserve"> </w:t>
      </w:r>
    </w:p>
    <w:p w14:paraId="18FF1D40" w14:textId="77777777" w:rsidR="00186923" w:rsidRPr="00186923" w:rsidRDefault="00186923" w:rsidP="00A56645">
      <w:pPr>
        <w:widowControl w:val="0"/>
        <w:autoSpaceDE w:val="0"/>
        <w:autoSpaceDN w:val="0"/>
        <w:spacing w:after="0"/>
        <w:rPr>
          <w:rFonts w:asciiTheme="majorHAnsi" w:eastAsia="Calibri" w:hAnsiTheme="majorHAnsi" w:cs="Calibri"/>
          <w:szCs w:val="22"/>
        </w:rPr>
      </w:pPr>
    </w:p>
    <w:p w14:paraId="07741427" w14:textId="16F385F0" w:rsidR="00074B5C" w:rsidRDefault="00074B5C" w:rsidP="00A56645">
      <w:pPr>
        <w:widowControl w:val="0"/>
        <w:numPr>
          <w:ilvl w:val="0"/>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As a starting point, we agree that</w:t>
      </w:r>
      <w:r w:rsidR="002B69EA">
        <w:rPr>
          <w:rFonts w:asciiTheme="majorHAnsi" w:eastAsia="Calibri" w:hAnsiTheme="majorHAnsi" w:cs="Calibri"/>
          <w:iCs/>
          <w:szCs w:val="22"/>
        </w:rPr>
        <w:t xml:space="preserve"> information concerning legal persons </w:t>
      </w:r>
      <w:r w:rsidR="005C7E90">
        <w:rPr>
          <w:rFonts w:asciiTheme="majorHAnsi" w:eastAsia="Calibri" w:hAnsiTheme="majorHAnsi" w:cs="Calibri"/>
          <w:iCs/>
          <w:szCs w:val="22"/>
        </w:rPr>
        <w:t>(</w:t>
      </w:r>
      <w:r w:rsidR="002B69EA">
        <w:rPr>
          <w:rFonts w:asciiTheme="majorHAnsi" w:eastAsia="Calibri" w:hAnsiTheme="majorHAnsi" w:cs="Calibri"/>
          <w:iCs/>
          <w:szCs w:val="22"/>
        </w:rPr>
        <w:t xml:space="preserve">and not </w:t>
      </w:r>
      <w:r w:rsidR="005C7E90">
        <w:rPr>
          <w:rFonts w:asciiTheme="majorHAnsi" w:eastAsia="Calibri" w:hAnsiTheme="majorHAnsi" w:cs="Calibri"/>
          <w:iCs/>
          <w:szCs w:val="22"/>
        </w:rPr>
        <w:t xml:space="preserve">relating to </w:t>
      </w:r>
      <w:r w:rsidR="002B69EA">
        <w:rPr>
          <w:rFonts w:asciiTheme="majorHAnsi" w:eastAsia="Calibri" w:hAnsiTheme="majorHAnsi" w:cs="Calibri"/>
          <w:iCs/>
          <w:szCs w:val="22"/>
        </w:rPr>
        <w:t>natural persons</w:t>
      </w:r>
      <w:r w:rsidR="005C7E90">
        <w:rPr>
          <w:rFonts w:asciiTheme="majorHAnsi" w:eastAsia="Calibri" w:hAnsiTheme="majorHAnsi" w:cs="Calibri"/>
          <w:iCs/>
          <w:szCs w:val="22"/>
        </w:rPr>
        <w:t xml:space="preserve">) </w:t>
      </w:r>
      <w:r w:rsidR="002B69EA">
        <w:rPr>
          <w:rFonts w:asciiTheme="majorHAnsi" w:eastAsia="Calibri" w:hAnsiTheme="majorHAnsi" w:cs="Calibri"/>
          <w:iCs/>
          <w:szCs w:val="22"/>
        </w:rPr>
        <w:t xml:space="preserve">is not personal data under the GDPR. Therefore, </w:t>
      </w:r>
      <w:r w:rsidR="008B6263">
        <w:rPr>
          <w:rFonts w:asciiTheme="majorHAnsi" w:eastAsia="Calibri" w:hAnsiTheme="majorHAnsi" w:cs="Calibri"/>
          <w:iCs/>
          <w:szCs w:val="22"/>
        </w:rPr>
        <w:t xml:space="preserve">the relevant parties </w:t>
      </w:r>
      <w:r w:rsidR="002B69EA">
        <w:rPr>
          <w:rFonts w:asciiTheme="majorHAnsi" w:eastAsia="Calibri" w:hAnsiTheme="majorHAnsi" w:cs="Calibri"/>
          <w:iCs/>
          <w:szCs w:val="22"/>
        </w:rPr>
        <w:t>could make such data publicly available without triggering GDPR</w:t>
      </w:r>
      <w:r w:rsidR="005C7E90">
        <w:rPr>
          <w:rFonts w:asciiTheme="majorHAnsi" w:eastAsia="Calibri" w:hAnsiTheme="majorHAnsi" w:cs="Calibri"/>
          <w:iCs/>
          <w:szCs w:val="22"/>
        </w:rPr>
        <w:t xml:space="preserve"> concerns</w:t>
      </w:r>
      <w:r w:rsidR="002B69EA">
        <w:rPr>
          <w:rFonts w:asciiTheme="majorHAnsi" w:eastAsia="Calibri" w:hAnsiTheme="majorHAnsi" w:cs="Calibri"/>
          <w:iCs/>
          <w:szCs w:val="22"/>
        </w:rPr>
        <w:t xml:space="preserve">. </w:t>
      </w:r>
    </w:p>
    <w:p w14:paraId="0AB2C09C" w14:textId="77777777" w:rsidR="00074B5C" w:rsidRDefault="00074B5C" w:rsidP="00A56645">
      <w:pPr>
        <w:widowControl w:val="0"/>
        <w:autoSpaceDE w:val="0"/>
        <w:autoSpaceDN w:val="0"/>
        <w:spacing w:after="0"/>
        <w:rPr>
          <w:rFonts w:asciiTheme="majorHAnsi" w:eastAsia="Calibri" w:hAnsiTheme="majorHAnsi" w:cs="Calibri"/>
          <w:iCs/>
          <w:szCs w:val="22"/>
        </w:rPr>
      </w:pPr>
    </w:p>
    <w:p w14:paraId="22294239" w14:textId="23AEE110" w:rsidR="007C300A" w:rsidRDefault="005C7E90" w:rsidP="00A56645">
      <w:pPr>
        <w:widowControl w:val="0"/>
        <w:numPr>
          <w:ilvl w:val="0"/>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However,</w:t>
      </w:r>
      <w:r w:rsidR="00074B5C">
        <w:rPr>
          <w:rFonts w:asciiTheme="majorHAnsi" w:eastAsia="Calibri" w:hAnsiTheme="majorHAnsi" w:cs="Calibri"/>
          <w:iCs/>
          <w:szCs w:val="22"/>
        </w:rPr>
        <w:t xml:space="preserve"> </w:t>
      </w:r>
      <w:r w:rsidR="00F220F3">
        <w:rPr>
          <w:rFonts w:asciiTheme="majorHAnsi" w:eastAsia="Calibri" w:hAnsiTheme="majorHAnsi" w:cs="Calibri"/>
          <w:iCs/>
          <w:szCs w:val="22"/>
        </w:rPr>
        <w:t xml:space="preserve">some registrants </w:t>
      </w:r>
      <w:r>
        <w:rPr>
          <w:rFonts w:asciiTheme="majorHAnsi" w:eastAsia="Calibri" w:hAnsiTheme="majorHAnsi" w:cs="Calibri"/>
          <w:iCs/>
          <w:szCs w:val="22"/>
        </w:rPr>
        <w:t>may</w:t>
      </w:r>
      <w:r w:rsidR="00F220F3">
        <w:rPr>
          <w:rFonts w:asciiTheme="majorHAnsi" w:eastAsia="Calibri" w:hAnsiTheme="majorHAnsi" w:cs="Calibri"/>
          <w:iCs/>
          <w:szCs w:val="22"/>
        </w:rPr>
        <w:t xml:space="preserve"> incorrectly characterise </w:t>
      </w:r>
      <w:r w:rsidR="00646EEA">
        <w:rPr>
          <w:rFonts w:asciiTheme="majorHAnsi" w:eastAsia="Calibri" w:hAnsiTheme="majorHAnsi" w:cs="Calibri"/>
          <w:iCs/>
          <w:szCs w:val="22"/>
        </w:rPr>
        <w:t>their data</w:t>
      </w:r>
      <w:r w:rsidR="008B6263">
        <w:rPr>
          <w:rFonts w:asciiTheme="majorHAnsi" w:eastAsia="Calibri" w:hAnsiTheme="majorHAnsi" w:cs="Calibri"/>
          <w:iCs/>
          <w:szCs w:val="22"/>
        </w:rPr>
        <w:t xml:space="preserve">. </w:t>
      </w:r>
      <w:r w:rsidR="00646EEA">
        <w:rPr>
          <w:rFonts w:asciiTheme="majorHAnsi" w:eastAsia="Calibri" w:hAnsiTheme="majorHAnsi" w:cs="Calibri"/>
          <w:iCs/>
          <w:szCs w:val="22"/>
        </w:rPr>
        <w:t>T</w:t>
      </w:r>
      <w:r w:rsidR="008B6263">
        <w:rPr>
          <w:rFonts w:asciiTheme="majorHAnsi" w:eastAsia="Calibri" w:hAnsiTheme="majorHAnsi" w:cs="Calibri"/>
          <w:iCs/>
          <w:szCs w:val="22"/>
        </w:rPr>
        <w:t>his would cause personal data to be disclosed as if it had been provided from non-personal registrants.</w:t>
      </w:r>
      <w:r w:rsidR="00BA279D">
        <w:rPr>
          <w:rFonts w:asciiTheme="majorHAnsi" w:eastAsia="Calibri" w:hAnsiTheme="majorHAnsi" w:cs="Calibri"/>
          <w:iCs/>
          <w:szCs w:val="22"/>
        </w:rPr>
        <w:t xml:space="preserve"> </w:t>
      </w:r>
    </w:p>
    <w:p w14:paraId="434E149F" w14:textId="77777777" w:rsidR="007C300A" w:rsidRDefault="007C300A" w:rsidP="00A56645">
      <w:pPr>
        <w:widowControl w:val="0"/>
        <w:autoSpaceDE w:val="0"/>
        <w:autoSpaceDN w:val="0"/>
        <w:spacing w:after="0"/>
        <w:ind w:left="720"/>
        <w:rPr>
          <w:rFonts w:asciiTheme="majorHAnsi" w:eastAsia="Calibri" w:hAnsiTheme="majorHAnsi" w:cs="Calibri"/>
          <w:iCs/>
          <w:szCs w:val="22"/>
        </w:rPr>
      </w:pPr>
    </w:p>
    <w:p w14:paraId="2579F43A" w14:textId="06FCF084" w:rsidR="007C300A" w:rsidRDefault="007C300A" w:rsidP="00A56645">
      <w:pPr>
        <w:widowControl w:val="0"/>
        <w:numPr>
          <w:ilvl w:val="0"/>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lastRenderedPageBreak/>
        <w:t xml:space="preserve">Where registrants provide personal data, the relevant parties will "process" it within the meaning of GDPR. </w:t>
      </w:r>
      <w:r w:rsidR="00266E11">
        <w:rPr>
          <w:rFonts w:asciiTheme="majorHAnsi" w:eastAsia="Calibri" w:hAnsiTheme="majorHAnsi" w:cs="Calibri"/>
          <w:iCs/>
          <w:szCs w:val="22"/>
        </w:rPr>
        <w:t>The definition of personal data under the GDPR does not depend on whether a controller or processor believes the data it is processing to constitute personal data. Rather, the GDPR</w:t>
      </w:r>
      <w:r w:rsidR="005D23E9">
        <w:rPr>
          <w:rFonts w:asciiTheme="majorHAnsi" w:eastAsia="Calibri" w:hAnsiTheme="majorHAnsi" w:cs="Calibri"/>
          <w:iCs/>
          <w:szCs w:val="22"/>
        </w:rPr>
        <w:t>'s application depends on the fact that personal data is processed, irrespective of any party's intent to process such data.</w:t>
      </w:r>
      <w:r w:rsidR="00266E11">
        <w:rPr>
          <w:rFonts w:asciiTheme="majorHAnsi" w:eastAsia="Calibri" w:hAnsiTheme="majorHAnsi" w:cs="Calibri"/>
          <w:iCs/>
          <w:szCs w:val="22"/>
        </w:rPr>
        <w:t xml:space="preserve"> </w:t>
      </w:r>
    </w:p>
    <w:p w14:paraId="4CD59B46" w14:textId="77777777" w:rsidR="007C300A" w:rsidRDefault="007C300A" w:rsidP="00A56645">
      <w:pPr>
        <w:pStyle w:val="ListParagraph"/>
        <w:widowControl w:val="0"/>
        <w:spacing w:after="0"/>
        <w:contextualSpacing w:val="0"/>
        <w:rPr>
          <w:rFonts w:asciiTheme="majorHAnsi" w:eastAsia="Calibri" w:hAnsiTheme="majorHAnsi" w:cs="Calibri"/>
          <w:iCs/>
          <w:szCs w:val="22"/>
        </w:rPr>
      </w:pPr>
    </w:p>
    <w:p w14:paraId="08816789" w14:textId="30A25EEA" w:rsidR="00FF6673" w:rsidRDefault="00266E11" w:rsidP="00A56645">
      <w:pPr>
        <w:widowControl w:val="0"/>
        <w:numPr>
          <w:ilvl w:val="0"/>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 xml:space="preserve">The EPDP's question, therefore, is whether the GDPR will recognise it as reasonable to base a decision on how to process personal data on a technical designation provided by the </w:t>
      </w:r>
      <w:r w:rsidR="00E63D46">
        <w:rPr>
          <w:rFonts w:asciiTheme="majorHAnsi" w:eastAsia="Calibri" w:hAnsiTheme="majorHAnsi" w:cs="Calibri"/>
          <w:iCs/>
          <w:szCs w:val="22"/>
        </w:rPr>
        <w:t>registrant</w:t>
      </w:r>
      <w:r>
        <w:rPr>
          <w:rFonts w:asciiTheme="majorHAnsi" w:eastAsia="Calibri" w:hAnsiTheme="majorHAnsi" w:cs="Calibri"/>
          <w:iCs/>
          <w:szCs w:val="22"/>
        </w:rPr>
        <w:t xml:space="preserve">, which may in some circumstances be erroneous. </w:t>
      </w:r>
      <w:r w:rsidR="00FF6673">
        <w:rPr>
          <w:rFonts w:asciiTheme="majorHAnsi" w:eastAsia="Calibri" w:hAnsiTheme="majorHAnsi" w:cs="Calibri"/>
          <w:iCs/>
          <w:szCs w:val="22"/>
        </w:rPr>
        <w:t xml:space="preserve">As we acknowledge that the relevant parties </w:t>
      </w:r>
      <w:r w:rsidR="00FF6673">
        <w:rPr>
          <w:rFonts w:asciiTheme="majorHAnsi" w:eastAsia="Calibri" w:hAnsiTheme="majorHAnsi" w:cs="Calibri"/>
          <w:i/>
          <w:iCs/>
          <w:szCs w:val="22"/>
        </w:rPr>
        <w:t>are</w:t>
      </w:r>
      <w:r w:rsidR="00FF6673">
        <w:rPr>
          <w:rFonts w:asciiTheme="majorHAnsi" w:eastAsia="Calibri" w:hAnsiTheme="majorHAnsi" w:cs="Calibri"/>
          <w:iCs/>
          <w:szCs w:val="22"/>
        </w:rPr>
        <w:t xml:space="preserve"> permitted to treat non-personal data differently, in our view, this question requires us to consider whether reliance on the </w:t>
      </w:r>
      <w:r w:rsidR="000801C1">
        <w:rPr>
          <w:rFonts w:asciiTheme="majorHAnsi" w:eastAsia="Calibri" w:hAnsiTheme="majorHAnsi" w:cs="Calibri"/>
          <w:iCs/>
          <w:szCs w:val="22"/>
        </w:rPr>
        <w:t xml:space="preserve">inaccurate </w:t>
      </w:r>
      <w:r w:rsidR="00FF6673">
        <w:rPr>
          <w:rFonts w:asciiTheme="majorHAnsi" w:eastAsia="Calibri" w:hAnsiTheme="majorHAnsi" w:cs="Calibri"/>
          <w:iCs/>
          <w:szCs w:val="22"/>
        </w:rPr>
        <w:t>designation would violate the Accuracy Principle</w:t>
      </w:r>
      <w:r w:rsidR="000801C1">
        <w:rPr>
          <w:rFonts w:asciiTheme="majorHAnsi" w:eastAsia="Calibri" w:hAnsiTheme="majorHAnsi" w:cs="Calibri"/>
          <w:iCs/>
          <w:szCs w:val="22"/>
        </w:rPr>
        <w:t xml:space="preserve"> </w:t>
      </w:r>
      <w:r w:rsidR="00FF6673">
        <w:rPr>
          <w:rFonts w:asciiTheme="majorHAnsi" w:eastAsia="Calibri" w:hAnsiTheme="majorHAnsi" w:cs="Calibri"/>
          <w:iCs/>
          <w:szCs w:val="22"/>
        </w:rPr>
        <w:t>set out in Article 5 of the GDPR.</w:t>
      </w:r>
      <w:r w:rsidR="00E63D46">
        <w:rPr>
          <w:rFonts w:asciiTheme="majorHAnsi" w:eastAsia="Calibri" w:hAnsiTheme="majorHAnsi" w:cs="Calibri"/>
          <w:iCs/>
          <w:szCs w:val="22"/>
        </w:rPr>
        <w:t xml:space="preserve"> In addition, we consider what level of transparency is required to enable the parties to rely on the designation</w:t>
      </w:r>
      <w:r w:rsidR="0069544B">
        <w:rPr>
          <w:rFonts w:asciiTheme="majorHAnsi" w:eastAsia="Calibri" w:hAnsiTheme="majorHAnsi" w:cs="Calibri"/>
          <w:iCs/>
          <w:szCs w:val="22"/>
        </w:rPr>
        <w:t xml:space="preserve"> in accordance with the Lawfulness, Fairness and Transparency Principle of Article 5(1</w:t>
      </w:r>
      <w:proofErr w:type="gramStart"/>
      <w:r w:rsidR="0069544B">
        <w:rPr>
          <w:rFonts w:asciiTheme="majorHAnsi" w:eastAsia="Calibri" w:hAnsiTheme="majorHAnsi" w:cs="Calibri"/>
          <w:iCs/>
          <w:szCs w:val="22"/>
        </w:rPr>
        <w:t>)(</w:t>
      </w:r>
      <w:proofErr w:type="gramEnd"/>
      <w:r w:rsidR="0069544B">
        <w:rPr>
          <w:rFonts w:asciiTheme="majorHAnsi" w:eastAsia="Calibri" w:hAnsiTheme="majorHAnsi" w:cs="Calibri"/>
          <w:iCs/>
          <w:szCs w:val="22"/>
        </w:rPr>
        <w:t>a)</w:t>
      </w:r>
      <w:r w:rsidR="00E63D46">
        <w:rPr>
          <w:rFonts w:asciiTheme="majorHAnsi" w:eastAsia="Calibri" w:hAnsiTheme="majorHAnsi" w:cs="Calibri"/>
          <w:iCs/>
          <w:szCs w:val="22"/>
        </w:rPr>
        <w:t>.</w:t>
      </w:r>
    </w:p>
    <w:p w14:paraId="18871DFA" w14:textId="77777777" w:rsidR="00BA7D81" w:rsidRDefault="00BA7D81" w:rsidP="00A56645">
      <w:pPr>
        <w:widowControl w:val="0"/>
        <w:autoSpaceDE w:val="0"/>
        <w:autoSpaceDN w:val="0"/>
        <w:spacing w:after="0"/>
        <w:rPr>
          <w:rFonts w:asciiTheme="majorHAnsi" w:eastAsia="Calibri" w:hAnsiTheme="majorHAnsi" w:cs="Calibri"/>
          <w:iCs/>
          <w:szCs w:val="22"/>
        </w:rPr>
      </w:pPr>
    </w:p>
    <w:p w14:paraId="72C206AD" w14:textId="5E512E32" w:rsidR="00BA7D81" w:rsidRPr="00BA7D81" w:rsidRDefault="00BA7D81" w:rsidP="00A56645">
      <w:pPr>
        <w:widowControl w:val="0"/>
        <w:autoSpaceDE w:val="0"/>
        <w:autoSpaceDN w:val="0"/>
        <w:spacing w:after="0"/>
        <w:ind w:left="720"/>
        <w:rPr>
          <w:rFonts w:asciiTheme="majorHAnsi" w:eastAsia="Calibri" w:hAnsiTheme="majorHAnsi" w:cs="Calibri"/>
          <w:iCs/>
          <w:szCs w:val="22"/>
          <w:u w:val="single"/>
        </w:rPr>
      </w:pPr>
      <w:r>
        <w:rPr>
          <w:rFonts w:asciiTheme="majorHAnsi" w:eastAsia="Calibri" w:hAnsiTheme="majorHAnsi" w:cs="Calibri"/>
          <w:iCs/>
          <w:szCs w:val="22"/>
          <w:u w:val="single"/>
        </w:rPr>
        <w:t>Accuracy</w:t>
      </w:r>
      <w:r w:rsidR="000801C1">
        <w:rPr>
          <w:rFonts w:asciiTheme="majorHAnsi" w:eastAsia="Calibri" w:hAnsiTheme="majorHAnsi" w:cs="Calibri"/>
          <w:iCs/>
          <w:szCs w:val="22"/>
          <w:u w:val="single"/>
        </w:rPr>
        <w:t xml:space="preserve"> Principle</w:t>
      </w:r>
    </w:p>
    <w:p w14:paraId="0596AA16" w14:textId="77777777" w:rsidR="00F220F3" w:rsidRDefault="00F220F3" w:rsidP="00A56645">
      <w:pPr>
        <w:widowControl w:val="0"/>
        <w:autoSpaceDE w:val="0"/>
        <w:autoSpaceDN w:val="0"/>
        <w:spacing w:after="0"/>
        <w:rPr>
          <w:rFonts w:asciiTheme="majorHAnsi" w:eastAsia="Calibri" w:hAnsiTheme="majorHAnsi" w:cs="Calibri"/>
          <w:iCs/>
          <w:szCs w:val="22"/>
        </w:rPr>
      </w:pPr>
    </w:p>
    <w:p w14:paraId="6EEF7FAB" w14:textId="2309182B" w:rsidR="00BA7D81" w:rsidRDefault="00BA7D81" w:rsidP="00A56645">
      <w:pPr>
        <w:widowControl w:val="0"/>
        <w:numPr>
          <w:ilvl w:val="0"/>
          <w:numId w:val="47"/>
        </w:numPr>
        <w:autoSpaceDE w:val="0"/>
        <w:autoSpaceDN w:val="0"/>
        <w:spacing w:after="0"/>
        <w:rPr>
          <w:rFonts w:asciiTheme="majorHAnsi" w:eastAsia="Calibri" w:hAnsiTheme="majorHAnsi" w:cs="Calibri"/>
          <w:iCs/>
          <w:szCs w:val="22"/>
          <w:lang w:val="en-US"/>
        </w:rPr>
      </w:pPr>
      <w:r>
        <w:rPr>
          <w:rFonts w:asciiTheme="majorHAnsi" w:eastAsia="Calibri" w:hAnsiTheme="majorHAnsi" w:cs="Calibri"/>
          <w:iCs/>
          <w:szCs w:val="22"/>
        </w:rPr>
        <w:t>Article 5(1)(d) states that personal data must be “</w:t>
      </w:r>
      <w:r w:rsidRPr="00BA7D81">
        <w:rPr>
          <w:rFonts w:asciiTheme="majorHAnsi" w:eastAsia="Calibri" w:hAnsiTheme="majorHAnsi" w:cs="Calibri"/>
          <w:i/>
          <w:iCs/>
          <w:szCs w:val="22"/>
          <w:lang w:val="en-US"/>
        </w:rPr>
        <w:t>accurate and, where necessary, kept up to date; every reasonable step must be taken to ensure that personal data that are inaccurate, having regard to the purposes for which they are processed, are erased or rectified without delay</w:t>
      </w:r>
      <w:r>
        <w:rPr>
          <w:rFonts w:asciiTheme="majorHAnsi" w:eastAsia="Calibri" w:hAnsiTheme="majorHAnsi" w:cs="Calibri"/>
          <w:iCs/>
          <w:szCs w:val="22"/>
          <w:lang w:val="en-US"/>
        </w:rPr>
        <w:t>”.</w:t>
      </w:r>
    </w:p>
    <w:p w14:paraId="2EF0DF6C" w14:textId="77777777" w:rsidR="00BA7D81" w:rsidRPr="00BA7D81" w:rsidRDefault="00BA7D81" w:rsidP="00A56645">
      <w:pPr>
        <w:widowControl w:val="0"/>
        <w:autoSpaceDE w:val="0"/>
        <w:autoSpaceDN w:val="0"/>
        <w:spacing w:after="0"/>
        <w:ind w:left="720"/>
        <w:rPr>
          <w:rFonts w:asciiTheme="majorHAnsi" w:eastAsia="Calibri" w:hAnsiTheme="majorHAnsi" w:cs="Calibri"/>
          <w:iCs/>
          <w:szCs w:val="22"/>
          <w:lang w:val="en-US"/>
        </w:rPr>
      </w:pPr>
    </w:p>
    <w:p w14:paraId="13544490" w14:textId="4B5AC80D" w:rsidR="00BA7D81" w:rsidRPr="00EF3880" w:rsidRDefault="00EF3880" w:rsidP="00A56645">
      <w:pPr>
        <w:widowControl w:val="0"/>
        <w:numPr>
          <w:ilvl w:val="0"/>
          <w:numId w:val="47"/>
        </w:numPr>
        <w:autoSpaceDE w:val="0"/>
        <w:autoSpaceDN w:val="0"/>
        <w:spacing w:after="0"/>
        <w:rPr>
          <w:rFonts w:asciiTheme="majorHAnsi" w:eastAsia="Calibri" w:hAnsiTheme="majorHAnsi" w:cs="Calibri"/>
          <w:iCs/>
          <w:szCs w:val="22"/>
          <w:lang w:val="en-US"/>
        </w:rPr>
      </w:pPr>
      <w:r>
        <w:rPr>
          <w:rFonts w:asciiTheme="majorHAnsi" w:eastAsia="Calibri" w:hAnsiTheme="majorHAnsi" w:cs="Calibri"/>
          <w:iCs/>
          <w:szCs w:val="22"/>
        </w:rPr>
        <w:t>In Opinion 02/2016 on the publication of personal data for transparency purposes in the public sector,</w:t>
      </w:r>
      <w:r w:rsidR="000D4F62">
        <w:rPr>
          <w:rStyle w:val="FootnoteReference"/>
          <w:rFonts w:asciiTheme="majorHAnsi" w:eastAsia="Calibri" w:hAnsiTheme="majorHAnsi" w:cs="Calibri"/>
          <w:iCs/>
          <w:szCs w:val="22"/>
        </w:rPr>
        <w:footnoteReference w:id="1"/>
      </w:r>
      <w:r>
        <w:rPr>
          <w:rFonts w:asciiTheme="majorHAnsi" w:eastAsia="Calibri" w:hAnsiTheme="majorHAnsi" w:cs="Calibri"/>
          <w:iCs/>
          <w:szCs w:val="22"/>
        </w:rPr>
        <w:t xml:space="preserve"> the Article 29 Working Party defined the equivalent principle of the Data Protection Directive</w:t>
      </w:r>
      <w:r>
        <w:rPr>
          <w:rStyle w:val="FootnoteReference"/>
          <w:rFonts w:asciiTheme="majorHAnsi" w:eastAsia="Calibri" w:hAnsiTheme="majorHAnsi" w:cs="Calibri"/>
          <w:iCs/>
          <w:szCs w:val="22"/>
        </w:rPr>
        <w:footnoteReference w:id="2"/>
      </w:r>
      <w:r>
        <w:rPr>
          <w:rFonts w:asciiTheme="majorHAnsi" w:eastAsia="Calibri" w:hAnsiTheme="majorHAnsi" w:cs="Calibri"/>
          <w:iCs/>
          <w:szCs w:val="22"/>
        </w:rPr>
        <w:t xml:space="preserve"> as a requirement to take “</w:t>
      </w:r>
      <w:r w:rsidRPr="00EF3880">
        <w:rPr>
          <w:rFonts w:asciiTheme="majorHAnsi" w:eastAsia="Calibri" w:hAnsiTheme="majorHAnsi" w:cs="Calibri"/>
          <w:i/>
          <w:iCs/>
          <w:szCs w:val="22"/>
          <w:lang w:val="en-US"/>
        </w:rPr>
        <w:t>every reasonable step … to ensure that data are kept accurate and up to date, having regard to the purposes for which they were collected or for which they are further processed</w:t>
      </w:r>
      <w:r>
        <w:rPr>
          <w:rFonts w:asciiTheme="majorHAnsi" w:eastAsia="Calibri" w:hAnsiTheme="majorHAnsi" w:cs="Calibri"/>
          <w:iCs/>
          <w:szCs w:val="22"/>
          <w:lang w:val="en-US"/>
        </w:rPr>
        <w:t>”.</w:t>
      </w:r>
    </w:p>
    <w:p w14:paraId="7FFCBB57" w14:textId="77777777" w:rsidR="0068072C" w:rsidRDefault="0068072C" w:rsidP="00A56645">
      <w:pPr>
        <w:widowControl w:val="0"/>
        <w:autoSpaceDE w:val="0"/>
        <w:autoSpaceDN w:val="0"/>
        <w:spacing w:after="0"/>
        <w:rPr>
          <w:rFonts w:asciiTheme="majorHAnsi" w:eastAsia="Calibri" w:hAnsiTheme="majorHAnsi" w:cs="Calibri"/>
          <w:iCs/>
          <w:szCs w:val="22"/>
        </w:rPr>
      </w:pPr>
    </w:p>
    <w:p w14:paraId="30A3B94B" w14:textId="4F173A61" w:rsidR="00646EEA" w:rsidRDefault="00646EEA" w:rsidP="00A56645">
      <w:pPr>
        <w:widowControl w:val="0"/>
        <w:numPr>
          <w:ilvl w:val="0"/>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Despite the fact that the Accuracy Principle is a longstanding feature of data protection laws</w:t>
      </w:r>
      <w:r w:rsidR="00FC6DF6">
        <w:rPr>
          <w:rFonts w:asciiTheme="majorHAnsi" w:eastAsia="Calibri" w:hAnsiTheme="majorHAnsi" w:cs="Calibri"/>
          <w:iCs/>
          <w:szCs w:val="22"/>
        </w:rPr>
        <w:t>,</w:t>
      </w:r>
      <w:r>
        <w:rPr>
          <w:rFonts w:asciiTheme="majorHAnsi" w:eastAsia="Calibri" w:hAnsiTheme="majorHAnsi" w:cs="Calibri"/>
          <w:iCs/>
          <w:szCs w:val="22"/>
        </w:rPr>
        <w:t xml:space="preserve"> dating back at least as far as the 1980 OECD Privacy Principles,</w:t>
      </w:r>
      <w:r>
        <w:rPr>
          <w:rStyle w:val="FootnoteReference"/>
          <w:rFonts w:asciiTheme="majorHAnsi" w:eastAsia="Calibri" w:hAnsiTheme="majorHAnsi" w:cs="Calibri"/>
          <w:iCs/>
          <w:szCs w:val="22"/>
        </w:rPr>
        <w:footnoteReference w:id="3"/>
      </w:r>
      <w:r>
        <w:rPr>
          <w:rFonts w:asciiTheme="majorHAnsi" w:eastAsia="Calibri" w:hAnsiTheme="majorHAnsi" w:cs="Calibri"/>
          <w:iCs/>
          <w:szCs w:val="22"/>
        </w:rPr>
        <w:t xml:space="preserve"> </w:t>
      </w:r>
      <w:r w:rsidR="00FC6DF6">
        <w:rPr>
          <w:rFonts w:asciiTheme="majorHAnsi" w:eastAsia="Calibri" w:hAnsiTheme="majorHAnsi" w:cs="Calibri"/>
          <w:iCs/>
          <w:szCs w:val="22"/>
        </w:rPr>
        <w:t>there is little case law or guidance on its precise meaning.</w:t>
      </w:r>
      <w:r w:rsidR="00FC6DF6">
        <w:rPr>
          <w:rStyle w:val="FootnoteReference"/>
          <w:rFonts w:asciiTheme="majorHAnsi" w:eastAsia="Calibri" w:hAnsiTheme="majorHAnsi" w:cs="Calibri"/>
          <w:iCs/>
          <w:szCs w:val="22"/>
        </w:rPr>
        <w:footnoteReference w:id="4"/>
      </w:r>
      <w:r w:rsidR="00FC6DF6">
        <w:rPr>
          <w:rFonts w:asciiTheme="majorHAnsi" w:eastAsia="Calibri" w:hAnsiTheme="majorHAnsi" w:cs="Calibri"/>
          <w:iCs/>
          <w:szCs w:val="22"/>
        </w:rPr>
        <w:t xml:space="preserve"> </w:t>
      </w:r>
    </w:p>
    <w:p w14:paraId="29DB3084" w14:textId="77777777" w:rsidR="00FC6DF6" w:rsidRDefault="00FC6DF6" w:rsidP="00FC6DF6">
      <w:pPr>
        <w:widowControl w:val="0"/>
        <w:autoSpaceDE w:val="0"/>
        <w:autoSpaceDN w:val="0"/>
        <w:spacing w:after="0"/>
        <w:ind w:left="720"/>
        <w:rPr>
          <w:rFonts w:asciiTheme="majorHAnsi" w:eastAsia="Calibri" w:hAnsiTheme="majorHAnsi" w:cs="Calibri"/>
          <w:iCs/>
          <w:szCs w:val="22"/>
        </w:rPr>
      </w:pPr>
    </w:p>
    <w:p w14:paraId="0520B04C" w14:textId="6D4EFE8B" w:rsidR="0068072C" w:rsidRDefault="00FC6DF6" w:rsidP="00A56645">
      <w:pPr>
        <w:widowControl w:val="0"/>
        <w:numPr>
          <w:ilvl w:val="0"/>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 xml:space="preserve">The most comprehensive guidance we could find was from the </w:t>
      </w:r>
      <w:r w:rsidR="00EF3880">
        <w:rPr>
          <w:rFonts w:asciiTheme="majorHAnsi" w:eastAsia="Calibri" w:hAnsiTheme="majorHAnsi" w:cs="Calibri"/>
          <w:iCs/>
          <w:szCs w:val="22"/>
        </w:rPr>
        <w:t>UK Information Commissioner’s Office (“ICO”)</w:t>
      </w:r>
      <w:r>
        <w:rPr>
          <w:rFonts w:asciiTheme="majorHAnsi" w:eastAsia="Calibri" w:hAnsiTheme="majorHAnsi" w:cs="Calibri"/>
          <w:iCs/>
          <w:szCs w:val="22"/>
        </w:rPr>
        <w:t>. The ICO guidance</w:t>
      </w:r>
      <w:r w:rsidR="00EF3880">
        <w:rPr>
          <w:rFonts w:asciiTheme="majorHAnsi" w:eastAsia="Calibri" w:hAnsiTheme="majorHAnsi" w:cs="Calibri"/>
          <w:iCs/>
          <w:szCs w:val="22"/>
        </w:rPr>
        <w:t xml:space="preserve"> clarified that the accuracy principle imposes four obligations on a controller:</w:t>
      </w:r>
    </w:p>
    <w:p w14:paraId="3E8582D9" w14:textId="77777777" w:rsidR="00EF3880" w:rsidRDefault="00EF3880" w:rsidP="00A56645">
      <w:pPr>
        <w:widowControl w:val="0"/>
        <w:autoSpaceDE w:val="0"/>
        <w:autoSpaceDN w:val="0"/>
        <w:spacing w:after="0"/>
        <w:rPr>
          <w:rFonts w:asciiTheme="majorHAnsi" w:eastAsia="Calibri" w:hAnsiTheme="majorHAnsi" w:cs="Calibri"/>
          <w:iCs/>
          <w:szCs w:val="22"/>
        </w:rPr>
      </w:pPr>
    </w:p>
    <w:p w14:paraId="7B684BB1" w14:textId="52E2E360" w:rsidR="00EF3880" w:rsidRPr="00EF3880" w:rsidRDefault="00EF3880" w:rsidP="00A56645">
      <w:pPr>
        <w:widowControl w:val="0"/>
        <w:autoSpaceDE w:val="0"/>
        <w:autoSpaceDN w:val="0"/>
        <w:spacing w:after="0"/>
        <w:ind w:left="720"/>
        <w:rPr>
          <w:rFonts w:asciiTheme="majorHAnsi" w:eastAsia="Calibri" w:hAnsiTheme="majorHAnsi" w:cs="Calibri"/>
          <w:i/>
          <w:iCs/>
          <w:szCs w:val="22"/>
          <w:lang w:val="en-US"/>
        </w:rPr>
      </w:pPr>
      <w:r>
        <w:rPr>
          <w:rFonts w:asciiTheme="majorHAnsi" w:eastAsia="Calibri" w:hAnsiTheme="majorHAnsi" w:cs="Calibri"/>
          <w:iCs/>
          <w:szCs w:val="22"/>
          <w:lang w:val="en-US"/>
        </w:rPr>
        <w:t>“</w:t>
      </w:r>
      <w:r w:rsidRPr="00EF3880">
        <w:rPr>
          <w:rFonts w:asciiTheme="majorHAnsi" w:eastAsia="Calibri" w:hAnsiTheme="majorHAnsi" w:cs="Calibri"/>
          <w:i/>
          <w:iCs/>
          <w:szCs w:val="22"/>
          <w:lang w:val="en-US"/>
        </w:rPr>
        <w:t>In practice, this means that you must:</w:t>
      </w:r>
    </w:p>
    <w:p w14:paraId="6539C300" w14:textId="77777777" w:rsidR="00EF3880" w:rsidRPr="00EF3880" w:rsidRDefault="00EF3880" w:rsidP="00A56645">
      <w:pPr>
        <w:widowControl w:val="0"/>
        <w:autoSpaceDE w:val="0"/>
        <w:autoSpaceDN w:val="0"/>
        <w:spacing w:after="0"/>
        <w:ind w:left="720"/>
        <w:rPr>
          <w:rFonts w:asciiTheme="majorHAnsi" w:eastAsia="Calibri" w:hAnsiTheme="majorHAnsi" w:cs="Calibri"/>
          <w:i/>
          <w:iCs/>
          <w:szCs w:val="22"/>
          <w:lang w:val="en-US"/>
        </w:rPr>
      </w:pPr>
    </w:p>
    <w:p w14:paraId="6B2CCA25" w14:textId="77777777" w:rsidR="00EF3880" w:rsidRPr="00EF3880" w:rsidRDefault="00EF3880" w:rsidP="00A56645">
      <w:pPr>
        <w:widowControl w:val="0"/>
        <w:numPr>
          <w:ilvl w:val="0"/>
          <w:numId w:val="50"/>
        </w:numPr>
        <w:autoSpaceDE w:val="0"/>
        <w:autoSpaceDN w:val="0"/>
        <w:spacing w:after="0"/>
        <w:rPr>
          <w:rFonts w:asciiTheme="majorHAnsi" w:eastAsia="Calibri" w:hAnsiTheme="majorHAnsi" w:cs="Calibri"/>
          <w:i/>
          <w:iCs/>
          <w:szCs w:val="22"/>
          <w:lang w:val="en-US"/>
        </w:rPr>
      </w:pPr>
      <w:r w:rsidRPr="00EF3880">
        <w:rPr>
          <w:rFonts w:asciiTheme="majorHAnsi" w:eastAsia="Calibri" w:hAnsiTheme="majorHAnsi" w:cs="Calibri"/>
          <w:i/>
          <w:iCs/>
          <w:szCs w:val="22"/>
          <w:lang w:val="en-US"/>
        </w:rPr>
        <w:t>take reasonable steps to ensure the accuracy of any personal data;</w:t>
      </w:r>
    </w:p>
    <w:p w14:paraId="3053EF98" w14:textId="77777777" w:rsidR="00EF3880" w:rsidRPr="00EF3880" w:rsidRDefault="00EF3880" w:rsidP="00A56645">
      <w:pPr>
        <w:widowControl w:val="0"/>
        <w:numPr>
          <w:ilvl w:val="0"/>
          <w:numId w:val="50"/>
        </w:numPr>
        <w:autoSpaceDE w:val="0"/>
        <w:autoSpaceDN w:val="0"/>
        <w:spacing w:after="0"/>
        <w:rPr>
          <w:rFonts w:asciiTheme="majorHAnsi" w:eastAsia="Calibri" w:hAnsiTheme="majorHAnsi" w:cs="Calibri"/>
          <w:i/>
          <w:iCs/>
          <w:szCs w:val="22"/>
          <w:lang w:val="en-US"/>
        </w:rPr>
      </w:pPr>
      <w:r w:rsidRPr="00EF3880">
        <w:rPr>
          <w:rFonts w:asciiTheme="majorHAnsi" w:eastAsia="Calibri" w:hAnsiTheme="majorHAnsi" w:cs="Calibri"/>
          <w:i/>
          <w:iCs/>
          <w:szCs w:val="22"/>
          <w:lang w:val="en-US"/>
        </w:rPr>
        <w:t>ensure that the source and status of personal data is clear;</w:t>
      </w:r>
    </w:p>
    <w:p w14:paraId="1F1B6154" w14:textId="77777777" w:rsidR="00EF3880" w:rsidRPr="00EF3880" w:rsidRDefault="00EF3880" w:rsidP="00A56645">
      <w:pPr>
        <w:widowControl w:val="0"/>
        <w:numPr>
          <w:ilvl w:val="0"/>
          <w:numId w:val="50"/>
        </w:numPr>
        <w:autoSpaceDE w:val="0"/>
        <w:autoSpaceDN w:val="0"/>
        <w:spacing w:after="0"/>
        <w:rPr>
          <w:rFonts w:asciiTheme="majorHAnsi" w:eastAsia="Calibri" w:hAnsiTheme="majorHAnsi" w:cs="Calibri"/>
          <w:i/>
          <w:iCs/>
          <w:szCs w:val="22"/>
          <w:lang w:val="en-US"/>
        </w:rPr>
      </w:pPr>
      <w:r w:rsidRPr="00EF3880">
        <w:rPr>
          <w:rFonts w:asciiTheme="majorHAnsi" w:eastAsia="Calibri" w:hAnsiTheme="majorHAnsi" w:cs="Calibri"/>
          <w:i/>
          <w:iCs/>
          <w:szCs w:val="22"/>
          <w:lang w:val="en-US"/>
        </w:rPr>
        <w:t>carefully consider any challenges to the accuracy of information; and</w:t>
      </w:r>
    </w:p>
    <w:p w14:paraId="78719573" w14:textId="35CE5DF2" w:rsidR="00EF3880" w:rsidRDefault="00EF3880" w:rsidP="00A56645">
      <w:pPr>
        <w:widowControl w:val="0"/>
        <w:numPr>
          <w:ilvl w:val="0"/>
          <w:numId w:val="50"/>
        </w:numPr>
        <w:autoSpaceDE w:val="0"/>
        <w:autoSpaceDN w:val="0"/>
        <w:spacing w:after="0"/>
        <w:rPr>
          <w:rFonts w:asciiTheme="majorHAnsi" w:eastAsia="Calibri" w:hAnsiTheme="majorHAnsi" w:cs="Calibri"/>
          <w:iCs/>
          <w:szCs w:val="22"/>
          <w:lang w:val="en-US"/>
        </w:rPr>
      </w:pPr>
      <w:r w:rsidRPr="00EF3880">
        <w:rPr>
          <w:rFonts w:asciiTheme="majorHAnsi" w:eastAsia="Calibri" w:hAnsiTheme="majorHAnsi" w:cs="Calibri"/>
          <w:i/>
          <w:iCs/>
          <w:szCs w:val="22"/>
          <w:lang w:val="en-US"/>
        </w:rPr>
        <w:t>consider whether it is necessary to periodically update the information</w:t>
      </w:r>
      <w:r>
        <w:rPr>
          <w:rFonts w:asciiTheme="majorHAnsi" w:eastAsia="Calibri" w:hAnsiTheme="majorHAnsi" w:cs="Calibri"/>
          <w:iCs/>
          <w:szCs w:val="22"/>
          <w:lang w:val="en-US"/>
        </w:rPr>
        <w:t>”</w:t>
      </w:r>
    </w:p>
    <w:p w14:paraId="73FAB63B" w14:textId="77777777" w:rsidR="00EF3880" w:rsidRDefault="00EF3880" w:rsidP="00A56645">
      <w:pPr>
        <w:widowControl w:val="0"/>
        <w:autoSpaceDE w:val="0"/>
        <w:autoSpaceDN w:val="0"/>
        <w:spacing w:after="0"/>
        <w:ind w:left="720"/>
        <w:rPr>
          <w:rFonts w:asciiTheme="majorHAnsi" w:eastAsia="Calibri" w:hAnsiTheme="majorHAnsi" w:cs="Calibri"/>
          <w:iCs/>
          <w:szCs w:val="22"/>
          <w:lang w:val="en-US"/>
        </w:rPr>
      </w:pPr>
    </w:p>
    <w:p w14:paraId="742DF077" w14:textId="7AFEC9AA" w:rsidR="00EF3880" w:rsidRPr="00EF3880" w:rsidRDefault="00EF3880" w:rsidP="00A56645">
      <w:pPr>
        <w:widowControl w:val="0"/>
        <w:autoSpaceDE w:val="0"/>
        <w:autoSpaceDN w:val="0"/>
        <w:spacing w:after="0"/>
        <w:ind w:left="720"/>
        <w:rPr>
          <w:rFonts w:asciiTheme="majorHAnsi" w:eastAsia="Calibri" w:hAnsiTheme="majorHAnsi" w:cs="Calibri"/>
          <w:iCs/>
          <w:szCs w:val="22"/>
          <w:lang w:val="en-US"/>
        </w:rPr>
      </w:pPr>
      <w:r>
        <w:rPr>
          <w:rFonts w:asciiTheme="majorHAnsi" w:eastAsia="Calibri" w:hAnsiTheme="majorHAnsi" w:cs="Calibri"/>
          <w:iCs/>
          <w:szCs w:val="22"/>
          <w:lang w:val="en-US"/>
        </w:rPr>
        <w:t>(ICO Guide to the GDPR, Principle (d): Accuracy).</w:t>
      </w:r>
      <w:r>
        <w:rPr>
          <w:rStyle w:val="FootnoteReference"/>
          <w:rFonts w:asciiTheme="majorHAnsi" w:eastAsia="Calibri" w:hAnsiTheme="majorHAnsi" w:cs="Calibri"/>
          <w:iCs/>
          <w:szCs w:val="22"/>
          <w:lang w:val="en-US"/>
        </w:rPr>
        <w:footnoteReference w:id="5"/>
      </w:r>
    </w:p>
    <w:p w14:paraId="74A6B77F" w14:textId="77777777" w:rsidR="00EF3880" w:rsidRDefault="00EF3880" w:rsidP="00A56645">
      <w:pPr>
        <w:widowControl w:val="0"/>
        <w:autoSpaceDE w:val="0"/>
        <w:autoSpaceDN w:val="0"/>
        <w:spacing w:after="0"/>
        <w:rPr>
          <w:rFonts w:asciiTheme="majorHAnsi" w:eastAsia="Calibri" w:hAnsiTheme="majorHAnsi" w:cs="Calibri"/>
          <w:iCs/>
          <w:szCs w:val="22"/>
        </w:rPr>
      </w:pPr>
    </w:p>
    <w:p w14:paraId="21D5CD2E" w14:textId="03111E67" w:rsidR="00F97E3A" w:rsidRDefault="005A2F00" w:rsidP="00A56645">
      <w:pPr>
        <w:widowControl w:val="0"/>
        <w:numPr>
          <w:ilvl w:val="0"/>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 xml:space="preserve">Of particular relevance </w:t>
      </w:r>
      <w:r w:rsidR="004C13E3">
        <w:rPr>
          <w:rFonts w:asciiTheme="majorHAnsi" w:eastAsia="Calibri" w:hAnsiTheme="majorHAnsi" w:cs="Calibri"/>
          <w:iCs/>
          <w:szCs w:val="22"/>
        </w:rPr>
        <w:t>here, the A</w:t>
      </w:r>
      <w:r w:rsidR="00F97E3A">
        <w:rPr>
          <w:rFonts w:asciiTheme="majorHAnsi" w:eastAsia="Calibri" w:hAnsiTheme="majorHAnsi" w:cs="Calibri"/>
          <w:iCs/>
          <w:szCs w:val="22"/>
        </w:rPr>
        <w:t xml:space="preserve">ccuracy </w:t>
      </w:r>
      <w:r w:rsidR="004C13E3">
        <w:rPr>
          <w:rFonts w:asciiTheme="majorHAnsi" w:eastAsia="Calibri" w:hAnsiTheme="majorHAnsi" w:cs="Calibri"/>
          <w:iCs/>
          <w:szCs w:val="22"/>
        </w:rPr>
        <w:t>P</w:t>
      </w:r>
      <w:r w:rsidR="00F97E3A">
        <w:rPr>
          <w:rFonts w:asciiTheme="majorHAnsi" w:eastAsia="Calibri" w:hAnsiTheme="majorHAnsi" w:cs="Calibri"/>
          <w:iCs/>
          <w:szCs w:val="22"/>
        </w:rPr>
        <w:t xml:space="preserve">rinciple does not mean that the processing of inaccurate information is automatically in violation. Rather, the focus of this principle is </w:t>
      </w:r>
      <w:r>
        <w:rPr>
          <w:rFonts w:asciiTheme="majorHAnsi" w:eastAsia="Calibri" w:hAnsiTheme="majorHAnsi" w:cs="Calibri"/>
          <w:iCs/>
          <w:szCs w:val="22"/>
        </w:rPr>
        <w:t xml:space="preserve">the reasonableness of the steps taken to ensure the </w:t>
      </w:r>
      <w:r w:rsidR="00F97E3A">
        <w:rPr>
          <w:rFonts w:asciiTheme="majorHAnsi" w:eastAsia="Calibri" w:hAnsiTheme="majorHAnsi" w:cs="Calibri"/>
          <w:iCs/>
          <w:szCs w:val="22"/>
        </w:rPr>
        <w:t>data</w:t>
      </w:r>
      <w:r>
        <w:rPr>
          <w:rFonts w:asciiTheme="majorHAnsi" w:eastAsia="Calibri" w:hAnsiTheme="majorHAnsi" w:cs="Calibri"/>
          <w:iCs/>
          <w:szCs w:val="22"/>
        </w:rPr>
        <w:t xml:space="preserve"> is accurate</w:t>
      </w:r>
      <w:r w:rsidR="004C13E3">
        <w:rPr>
          <w:rFonts w:asciiTheme="majorHAnsi" w:eastAsia="Calibri" w:hAnsiTheme="majorHAnsi" w:cs="Calibri"/>
          <w:iCs/>
          <w:szCs w:val="22"/>
        </w:rPr>
        <w:t xml:space="preserve">, and that there are </w:t>
      </w:r>
      <w:r w:rsidR="00F97E3A">
        <w:rPr>
          <w:rFonts w:asciiTheme="majorHAnsi" w:eastAsia="Calibri" w:hAnsiTheme="majorHAnsi" w:cs="Calibri"/>
          <w:iCs/>
          <w:szCs w:val="22"/>
        </w:rPr>
        <w:t>the procedures in place to update and/or rectify data that is found to be inaccurate or out of date</w:t>
      </w:r>
      <w:r>
        <w:rPr>
          <w:rFonts w:asciiTheme="majorHAnsi" w:eastAsia="Calibri" w:hAnsiTheme="majorHAnsi" w:cs="Calibri"/>
          <w:iCs/>
          <w:szCs w:val="22"/>
        </w:rPr>
        <w:t>.</w:t>
      </w:r>
    </w:p>
    <w:p w14:paraId="45C09F40" w14:textId="6417F595" w:rsidR="004C13E3" w:rsidRDefault="004C13E3" w:rsidP="00A56645">
      <w:pPr>
        <w:widowControl w:val="0"/>
        <w:autoSpaceDE w:val="0"/>
        <w:autoSpaceDN w:val="0"/>
        <w:spacing w:after="0"/>
        <w:ind w:left="720"/>
        <w:rPr>
          <w:rFonts w:asciiTheme="majorHAnsi" w:eastAsia="Calibri" w:hAnsiTheme="majorHAnsi" w:cs="Calibri"/>
          <w:iCs/>
          <w:szCs w:val="22"/>
        </w:rPr>
      </w:pPr>
    </w:p>
    <w:p w14:paraId="09AA2974" w14:textId="111892D2" w:rsidR="004C13E3" w:rsidRDefault="00A56645" w:rsidP="00A56645">
      <w:pPr>
        <w:widowControl w:val="0"/>
        <w:numPr>
          <w:ilvl w:val="0"/>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 xml:space="preserve">As explained in the ICO guidance, </w:t>
      </w:r>
      <w:r w:rsidR="00521793">
        <w:rPr>
          <w:rFonts w:asciiTheme="majorHAnsi" w:eastAsia="Calibri" w:hAnsiTheme="majorHAnsi" w:cs="Calibri"/>
          <w:iCs/>
          <w:szCs w:val="22"/>
        </w:rPr>
        <w:t>"</w:t>
      </w:r>
      <w:r w:rsidRPr="00A56645">
        <w:rPr>
          <w:rFonts w:asciiTheme="majorHAnsi" w:eastAsia="Calibri" w:hAnsiTheme="majorHAnsi" w:cs="Calibri"/>
          <w:i/>
          <w:iCs/>
          <w:szCs w:val="22"/>
        </w:rPr>
        <w:t>The more important it is that the personal data is accurate, the greater the effort you should put into ensuring its accuracy. So if you are using the data to make decisions that may significantly affect the individual concerned or others, you need to put more effort into ensuring accuracy</w:t>
      </w:r>
      <w:r>
        <w:rPr>
          <w:rFonts w:asciiTheme="majorHAnsi" w:eastAsia="Calibri" w:hAnsiTheme="majorHAnsi" w:cs="Calibri"/>
          <w:iCs/>
          <w:szCs w:val="22"/>
        </w:rPr>
        <w:t>"</w:t>
      </w:r>
      <w:r w:rsidRPr="00A56645">
        <w:rPr>
          <w:rFonts w:asciiTheme="majorHAnsi" w:eastAsia="Calibri" w:hAnsiTheme="majorHAnsi" w:cs="Calibri"/>
          <w:iCs/>
          <w:szCs w:val="22"/>
        </w:rPr>
        <w:t>.</w:t>
      </w:r>
    </w:p>
    <w:p w14:paraId="4E749FD8" w14:textId="77777777" w:rsidR="00A56645" w:rsidRDefault="00A56645" w:rsidP="00A56645">
      <w:pPr>
        <w:widowControl w:val="0"/>
        <w:autoSpaceDE w:val="0"/>
        <w:autoSpaceDN w:val="0"/>
        <w:spacing w:after="0"/>
        <w:rPr>
          <w:rFonts w:asciiTheme="majorHAnsi" w:eastAsia="Calibri" w:hAnsiTheme="majorHAnsi" w:cs="Calibri"/>
          <w:iCs/>
          <w:szCs w:val="22"/>
        </w:rPr>
      </w:pPr>
    </w:p>
    <w:p w14:paraId="5AD3D947" w14:textId="0FBBBFDA" w:rsidR="00A56645" w:rsidRDefault="00A56645" w:rsidP="00A56645">
      <w:pPr>
        <w:widowControl w:val="0"/>
        <w:numPr>
          <w:ilvl w:val="0"/>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In this case, the accuracy of the information will have a</w:t>
      </w:r>
      <w:r w:rsidR="00521793">
        <w:rPr>
          <w:rFonts w:asciiTheme="majorHAnsi" w:eastAsia="Calibri" w:hAnsiTheme="majorHAnsi" w:cs="Calibri"/>
          <w:iCs/>
          <w:szCs w:val="22"/>
        </w:rPr>
        <w:t>n</w:t>
      </w:r>
      <w:r>
        <w:rPr>
          <w:rFonts w:asciiTheme="majorHAnsi" w:eastAsia="Calibri" w:hAnsiTheme="majorHAnsi" w:cs="Calibri"/>
          <w:iCs/>
          <w:szCs w:val="22"/>
        </w:rPr>
        <w:t xml:space="preserve"> impact</w:t>
      </w:r>
      <w:r w:rsidR="00521793">
        <w:rPr>
          <w:rFonts w:asciiTheme="majorHAnsi" w:eastAsia="Calibri" w:hAnsiTheme="majorHAnsi" w:cs="Calibri"/>
          <w:iCs/>
          <w:szCs w:val="22"/>
        </w:rPr>
        <w:t xml:space="preserve"> on data subjects</w:t>
      </w:r>
      <w:r>
        <w:rPr>
          <w:rFonts w:asciiTheme="majorHAnsi" w:eastAsia="Calibri" w:hAnsiTheme="majorHAnsi" w:cs="Calibri"/>
          <w:iCs/>
          <w:szCs w:val="22"/>
        </w:rPr>
        <w:t xml:space="preserve"> as this one factor will determine whether a data subject's details will be publicly disclosed.</w:t>
      </w:r>
    </w:p>
    <w:p w14:paraId="582A253C" w14:textId="77777777" w:rsidR="000801C1" w:rsidRDefault="000801C1" w:rsidP="000801C1">
      <w:pPr>
        <w:widowControl w:val="0"/>
        <w:autoSpaceDE w:val="0"/>
        <w:autoSpaceDN w:val="0"/>
        <w:spacing w:after="0"/>
        <w:ind w:left="720"/>
        <w:rPr>
          <w:rFonts w:asciiTheme="majorHAnsi" w:eastAsia="Calibri" w:hAnsiTheme="majorHAnsi" w:cs="Calibri"/>
          <w:iCs/>
          <w:szCs w:val="22"/>
        </w:rPr>
      </w:pPr>
    </w:p>
    <w:p w14:paraId="51ED984C" w14:textId="645703C0" w:rsidR="00521793" w:rsidRDefault="00FC6DF6" w:rsidP="00521793">
      <w:pPr>
        <w:widowControl w:val="0"/>
        <w:numPr>
          <w:ilvl w:val="0"/>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T</w:t>
      </w:r>
      <w:r w:rsidR="00521793" w:rsidRPr="00521793">
        <w:rPr>
          <w:rFonts w:asciiTheme="majorHAnsi" w:eastAsia="Calibri" w:hAnsiTheme="majorHAnsi" w:cs="Calibri"/>
          <w:iCs/>
          <w:szCs w:val="22"/>
        </w:rPr>
        <w:t xml:space="preserve">he GDPR is </w:t>
      </w:r>
      <w:r>
        <w:rPr>
          <w:rFonts w:asciiTheme="majorHAnsi" w:eastAsia="Calibri" w:hAnsiTheme="majorHAnsi" w:cs="Calibri"/>
          <w:iCs/>
          <w:szCs w:val="22"/>
        </w:rPr>
        <w:t xml:space="preserve">not </w:t>
      </w:r>
      <w:r w:rsidR="00521793" w:rsidRPr="00521793">
        <w:rPr>
          <w:rFonts w:asciiTheme="majorHAnsi" w:eastAsia="Calibri" w:hAnsiTheme="majorHAnsi" w:cs="Calibri"/>
          <w:iCs/>
          <w:szCs w:val="22"/>
        </w:rPr>
        <w:t xml:space="preserve">prescriptive in mandating the types of measures a party must put in place to </w:t>
      </w:r>
      <w:r w:rsidR="00463906">
        <w:rPr>
          <w:rFonts w:asciiTheme="majorHAnsi" w:eastAsia="Calibri" w:hAnsiTheme="majorHAnsi" w:cs="Calibri"/>
          <w:iCs/>
          <w:szCs w:val="22"/>
        </w:rPr>
        <w:t>meet</w:t>
      </w:r>
      <w:r w:rsidR="00521793" w:rsidRPr="00521793">
        <w:rPr>
          <w:rFonts w:asciiTheme="majorHAnsi" w:eastAsia="Calibri" w:hAnsiTheme="majorHAnsi" w:cs="Calibri"/>
          <w:iCs/>
          <w:szCs w:val="22"/>
        </w:rPr>
        <w:t xml:space="preserve"> this burden. The ICO guidance explains that "</w:t>
      </w:r>
      <w:r w:rsidR="00521793" w:rsidRPr="00521793">
        <w:rPr>
          <w:rFonts w:asciiTheme="majorHAnsi" w:eastAsia="Calibri" w:hAnsiTheme="majorHAnsi" w:cs="Calibri"/>
          <w:i/>
          <w:iCs/>
          <w:szCs w:val="22"/>
        </w:rPr>
        <w:t>[w]hat is a ‘reasonable step’ will depend on the circumstances and, in particular, the nature of the personal data and what you will use it for</w:t>
      </w:r>
      <w:r w:rsidR="00521793" w:rsidRPr="00521793">
        <w:rPr>
          <w:rFonts w:asciiTheme="majorHAnsi" w:eastAsia="Calibri" w:hAnsiTheme="majorHAnsi" w:cs="Calibri"/>
          <w:iCs/>
          <w:szCs w:val="22"/>
        </w:rPr>
        <w:t>"</w:t>
      </w:r>
      <w:r w:rsidR="00521793">
        <w:rPr>
          <w:rFonts w:asciiTheme="majorHAnsi" w:eastAsia="Calibri" w:hAnsiTheme="majorHAnsi" w:cs="Calibri"/>
          <w:iCs/>
          <w:szCs w:val="22"/>
        </w:rPr>
        <w:t>. However, the guidance also states that a controller "</w:t>
      </w:r>
      <w:r w:rsidR="00521793">
        <w:rPr>
          <w:rFonts w:asciiTheme="majorHAnsi" w:eastAsia="Calibri" w:hAnsiTheme="majorHAnsi" w:cs="Calibri"/>
          <w:i/>
          <w:iCs/>
          <w:szCs w:val="22"/>
        </w:rPr>
        <w:t>may have to get independent confirmation</w:t>
      </w:r>
      <w:r w:rsidR="00521793">
        <w:rPr>
          <w:rFonts w:asciiTheme="majorHAnsi" w:eastAsia="Calibri" w:hAnsiTheme="majorHAnsi" w:cs="Calibri"/>
          <w:iCs/>
          <w:szCs w:val="22"/>
        </w:rPr>
        <w:t>" where the impact is particularly significant</w:t>
      </w:r>
      <w:r>
        <w:rPr>
          <w:rFonts w:asciiTheme="majorHAnsi" w:eastAsia="Calibri" w:hAnsiTheme="majorHAnsi" w:cs="Calibri"/>
          <w:iCs/>
          <w:szCs w:val="22"/>
        </w:rPr>
        <w:t xml:space="preserve">. The ICO gives the example of an </w:t>
      </w:r>
      <w:r w:rsidR="00521793">
        <w:rPr>
          <w:rFonts w:asciiTheme="majorHAnsi" w:eastAsia="Calibri" w:hAnsiTheme="majorHAnsi" w:cs="Calibri"/>
          <w:iCs/>
          <w:szCs w:val="22"/>
        </w:rPr>
        <w:t>employer</w:t>
      </w:r>
      <w:r>
        <w:rPr>
          <w:rFonts w:asciiTheme="majorHAnsi" w:eastAsia="Calibri" w:hAnsiTheme="majorHAnsi" w:cs="Calibri"/>
          <w:iCs/>
          <w:szCs w:val="22"/>
        </w:rPr>
        <w:t xml:space="preserve"> that</w:t>
      </w:r>
      <w:r w:rsidR="00521793">
        <w:rPr>
          <w:rFonts w:asciiTheme="majorHAnsi" w:eastAsia="Calibri" w:hAnsiTheme="majorHAnsi" w:cs="Calibri"/>
          <w:iCs/>
          <w:szCs w:val="22"/>
        </w:rPr>
        <w:t xml:space="preserve"> </w:t>
      </w:r>
      <w:r w:rsidR="00463906">
        <w:rPr>
          <w:rFonts w:asciiTheme="majorHAnsi" w:eastAsia="Calibri" w:hAnsiTheme="majorHAnsi" w:cs="Calibri"/>
          <w:iCs/>
          <w:szCs w:val="22"/>
        </w:rPr>
        <w:t>engage</w:t>
      </w:r>
      <w:r>
        <w:rPr>
          <w:rFonts w:asciiTheme="majorHAnsi" w:eastAsia="Calibri" w:hAnsiTheme="majorHAnsi" w:cs="Calibri"/>
          <w:iCs/>
          <w:szCs w:val="22"/>
        </w:rPr>
        <w:t>s</w:t>
      </w:r>
      <w:r w:rsidR="00463906">
        <w:rPr>
          <w:rFonts w:asciiTheme="majorHAnsi" w:eastAsia="Calibri" w:hAnsiTheme="majorHAnsi" w:cs="Calibri"/>
          <w:iCs/>
          <w:szCs w:val="22"/>
        </w:rPr>
        <w:t xml:space="preserve"> employees needing essential qualifications, </w:t>
      </w:r>
      <w:r w:rsidR="0029566A">
        <w:rPr>
          <w:rFonts w:asciiTheme="majorHAnsi" w:eastAsia="Calibri" w:hAnsiTheme="majorHAnsi" w:cs="Calibri"/>
          <w:iCs/>
          <w:szCs w:val="22"/>
        </w:rPr>
        <w:t xml:space="preserve">where </w:t>
      </w:r>
      <w:r w:rsidR="00463906">
        <w:rPr>
          <w:rFonts w:asciiTheme="majorHAnsi" w:eastAsia="Calibri" w:hAnsiTheme="majorHAnsi" w:cs="Calibri"/>
          <w:iCs/>
          <w:szCs w:val="22"/>
        </w:rPr>
        <w:t xml:space="preserve">there would be a duty on the employer to verify the credentials. </w:t>
      </w:r>
    </w:p>
    <w:p w14:paraId="63E3621C" w14:textId="77777777" w:rsidR="000801C1" w:rsidRDefault="000801C1" w:rsidP="000801C1">
      <w:pPr>
        <w:widowControl w:val="0"/>
        <w:autoSpaceDE w:val="0"/>
        <w:autoSpaceDN w:val="0"/>
        <w:spacing w:after="0"/>
        <w:ind w:left="720"/>
        <w:rPr>
          <w:rFonts w:asciiTheme="majorHAnsi" w:eastAsia="Calibri" w:hAnsiTheme="majorHAnsi" w:cs="Calibri"/>
          <w:iCs/>
          <w:szCs w:val="22"/>
        </w:rPr>
      </w:pPr>
    </w:p>
    <w:p w14:paraId="1D7496D3" w14:textId="2DFC2E79" w:rsidR="00521793" w:rsidRPr="00521793" w:rsidRDefault="00CF015C" w:rsidP="00521793">
      <w:pPr>
        <w:widowControl w:val="0"/>
        <w:numPr>
          <w:ilvl w:val="0"/>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 xml:space="preserve">If the relevant parties had no reason to doubt the reliability of a registrant's self-identification, then they likely would be able to rely on the self-identification alone, without independent confirmation. However, we understand that the parties are concerned that some registrants will not understand the question and will wrongly self-identify. </w:t>
      </w:r>
      <w:r w:rsidR="00463906">
        <w:rPr>
          <w:rFonts w:asciiTheme="majorHAnsi" w:eastAsia="Calibri" w:hAnsiTheme="majorHAnsi" w:cs="Calibri"/>
          <w:iCs/>
          <w:szCs w:val="22"/>
        </w:rPr>
        <w:t xml:space="preserve">Therefore, there would be a risk of liability if the relevant parties did not take further steps to ensure the accuracy of the registrant's designation. </w:t>
      </w:r>
    </w:p>
    <w:p w14:paraId="3A90DB37" w14:textId="77777777" w:rsidR="00F97E3A" w:rsidRDefault="00F97E3A" w:rsidP="00A56645">
      <w:pPr>
        <w:widowControl w:val="0"/>
        <w:autoSpaceDE w:val="0"/>
        <w:autoSpaceDN w:val="0"/>
        <w:spacing w:after="0"/>
        <w:ind w:left="720"/>
        <w:rPr>
          <w:rFonts w:asciiTheme="majorHAnsi" w:eastAsia="Calibri" w:hAnsiTheme="majorHAnsi" w:cs="Calibri"/>
          <w:iCs/>
          <w:szCs w:val="22"/>
        </w:rPr>
      </w:pPr>
    </w:p>
    <w:p w14:paraId="269C0136" w14:textId="349BCE5C" w:rsidR="000801C1" w:rsidRDefault="00463906" w:rsidP="00A56645">
      <w:pPr>
        <w:widowControl w:val="0"/>
        <w:numPr>
          <w:ilvl w:val="0"/>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T</w:t>
      </w:r>
      <w:r w:rsidR="00BD196E">
        <w:rPr>
          <w:rFonts w:asciiTheme="majorHAnsi" w:eastAsia="Calibri" w:hAnsiTheme="majorHAnsi" w:cs="Calibri"/>
          <w:iCs/>
          <w:szCs w:val="22"/>
        </w:rPr>
        <w:t xml:space="preserve">he relevant parties could </w:t>
      </w:r>
      <w:r>
        <w:rPr>
          <w:rFonts w:asciiTheme="majorHAnsi" w:eastAsia="Calibri" w:hAnsiTheme="majorHAnsi" w:cs="Calibri"/>
          <w:iCs/>
          <w:szCs w:val="22"/>
        </w:rPr>
        <w:t>reduce this risk</w:t>
      </w:r>
      <w:r w:rsidR="00BD196E">
        <w:rPr>
          <w:rFonts w:asciiTheme="majorHAnsi" w:eastAsia="Calibri" w:hAnsiTheme="majorHAnsi" w:cs="Calibri"/>
          <w:iCs/>
          <w:szCs w:val="22"/>
        </w:rPr>
        <w:t xml:space="preserve"> by either improving the accuracy of the registrants' self-identification or by introducing measures to independently verify the selection – or both: </w:t>
      </w:r>
    </w:p>
    <w:p w14:paraId="5C1FEB33" w14:textId="7F1E27CF" w:rsidR="002117CD" w:rsidRPr="00FA1232" w:rsidRDefault="002117CD" w:rsidP="00FA1232">
      <w:pPr>
        <w:widowControl w:val="0"/>
        <w:autoSpaceDE w:val="0"/>
        <w:autoSpaceDN w:val="0"/>
        <w:spacing w:after="0"/>
        <w:rPr>
          <w:rFonts w:asciiTheme="majorHAnsi" w:eastAsia="Calibri" w:hAnsiTheme="majorHAnsi" w:cs="Calibri"/>
          <w:iCs/>
          <w:szCs w:val="22"/>
          <w:u w:val="single"/>
        </w:rPr>
      </w:pPr>
    </w:p>
    <w:p w14:paraId="61373FA9" w14:textId="2F217AA6" w:rsidR="00FA1232" w:rsidRDefault="002117CD" w:rsidP="002117CD">
      <w:pPr>
        <w:widowControl w:val="0"/>
        <w:numPr>
          <w:ilvl w:val="1"/>
          <w:numId w:val="47"/>
        </w:numPr>
        <w:autoSpaceDE w:val="0"/>
        <w:autoSpaceDN w:val="0"/>
        <w:spacing w:after="0"/>
        <w:rPr>
          <w:rFonts w:asciiTheme="majorHAnsi" w:eastAsia="Calibri" w:hAnsiTheme="majorHAnsi" w:cs="Calibri"/>
          <w:iCs/>
          <w:szCs w:val="22"/>
        </w:rPr>
      </w:pPr>
      <w:r>
        <w:rPr>
          <w:rFonts w:asciiTheme="majorHAnsi" w:eastAsia="Calibri" w:hAnsiTheme="majorHAnsi" w:cs="Calibri"/>
          <w:b/>
          <w:iCs/>
          <w:szCs w:val="22"/>
        </w:rPr>
        <w:t>Improving accurac</w:t>
      </w:r>
      <w:r w:rsidR="00FA1232">
        <w:rPr>
          <w:rFonts w:asciiTheme="majorHAnsi" w:eastAsia="Calibri" w:hAnsiTheme="majorHAnsi" w:cs="Calibri"/>
          <w:b/>
          <w:iCs/>
          <w:szCs w:val="22"/>
        </w:rPr>
        <w:t>y</w:t>
      </w:r>
      <w:r w:rsidR="00BD196E">
        <w:rPr>
          <w:rFonts w:asciiTheme="majorHAnsi" w:eastAsia="Calibri" w:hAnsiTheme="majorHAnsi" w:cs="Calibri"/>
          <w:b/>
          <w:iCs/>
          <w:szCs w:val="22"/>
        </w:rPr>
        <w:t xml:space="preserve"> of self-</w:t>
      </w:r>
      <w:r w:rsidR="00E63D46">
        <w:rPr>
          <w:rFonts w:asciiTheme="majorHAnsi" w:eastAsia="Calibri" w:hAnsiTheme="majorHAnsi" w:cs="Calibri"/>
          <w:b/>
          <w:iCs/>
          <w:szCs w:val="22"/>
        </w:rPr>
        <w:t>i</w:t>
      </w:r>
      <w:r w:rsidR="00BD196E">
        <w:rPr>
          <w:rFonts w:asciiTheme="majorHAnsi" w:eastAsia="Calibri" w:hAnsiTheme="majorHAnsi" w:cs="Calibri"/>
          <w:b/>
          <w:iCs/>
          <w:szCs w:val="22"/>
        </w:rPr>
        <w:t>dentification</w:t>
      </w:r>
      <w:r w:rsidR="00FA1232">
        <w:rPr>
          <w:rFonts w:asciiTheme="majorHAnsi" w:eastAsia="Calibri" w:hAnsiTheme="majorHAnsi" w:cs="Calibri"/>
          <w:b/>
          <w:iCs/>
          <w:szCs w:val="22"/>
        </w:rPr>
        <w:t xml:space="preserve">: </w:t>
      </w:r>
      <w:r w:rsidR="00FA1232">
        <w:rPr>
          <w:rFonts w:asciiTheme="majorHAnsi" w:eastAsia="Calibri" w:hAnsiTheme="majorHAnsi" w:cs="Calibri"/>
          <w:iCs/>
          <w:szCs w:val="22"/>
        </w:rPr>
        <w:t>Accuracy can be improved any number of ways</w:t>
      </w:r>
      <w:r w:rsidR="00BD196E">
        <w:rPr>
          <w:rFonts w:asciiTheme="majorHAnsi" w:eastAsia="Calibri" w:hAnsiTheme="majorHAnsi" w:cs="Calibri"/>
          <w:iCs/>
          <w:szCs w:val="22"/>
        </w:rPr>
        <w:t>. Suggestions include:</w:t>
      </w:r>
    </w:p>
    <w:p w14:paraId="0B1CD6D4" w14:textId="77777777" w:rsidR="00FA1232" w:rsidRDefault="00FA1232" w:rsidP="00FA1232">
      <w:pPr>
        <w:widowControl w:val="0"/>
        <w:autoSpaceDE w:val="0"/>
        <w:autoSpaceDN w:val="0"/>
        <w:spacing w:after="0"/>
        <w:ind w:left="1211"/>
        <w:rPr>
          <w:rFonts w:asciiTheme="majorHAnsi" w:eastAsia="Calibri" w:hAnsiTheme="majorHAnsi" w:cs="Calibri"/>
          <w:iCs/>
          <w:szCs w:val="22"/>
        </w:rPr>
      </w:pPr>
    </w:p>
    <w:p w14:paraId="41B1C1A5" w14:textId="77D991A5" w:rsidR="00E31FAD" w:rsidRDefault="00BD196E" w:rsidP="00FA1232">
      <w:pPr>
        <w:widowControl w:val="0"/>
        <w:numPr>
          <w:ilvl w:val="2"/>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E</w:t>
      </w:r>
      <w:r w:rsidR="00FA1232">
        <w:rPr>
          <w:rFonts w:asciiTheme="majorHAnsi" w:eastAsia="Calibri" w:hAnsiTheme="majorHAnsi" w:cs="Calibri"/>
          <w:iCs/>
          <w:szCs w:val="22"/>
        </w:rPr>
        <w:t>nsur</w:t>
      </w:r>
      <w:r>
        <w:rPr>
          <w:rFonts w:asciiTheme="majorHAnsi" w:eastAsia="Calibri" w:hAnsiTheme="majorHAnsi" w:cs="Calibri"/>
          <w:iCs/>
          <w:szCs w:val="22"/>
        </w:rPr>
        <w:t>ing</w:t>
      </w:r>
      <w:r w:rsidR="00FA1232">
        <w:rPr>
          <w:rFonts w:asciiTheme="majorHAnsi" w:eastAsia="Calibri" w:hAnsiTheme="majorHAnsi" w:cs="Calibri"/>
          <w:iCs/>
          <w:szCs w:val="22"/>
        </w:rPr>
        <w:t xml:space="preserve"> that </w:t>
      </w:r>
      <w:r w:rsidR="00132ADD">
        <w:rPr>
          <w:rFonts w:asciiTheme="majorHAnsi" w:eastAsia="Calibri" w:hAnsiTheme="majorHAnsi" w:cs="Calibri"/>
          <w:iCs/>
          <w:szCs w:val="22"/>
        </w:rPr>
        <w:t xml:space="preserve">language they present to registrants </w:t>
      </w:r>
      <w:r w:rsidR="00FA1232">
        <w:rPr>
          <w:rFonts w:asciiTheme="majorHAnsi" w:eastAsia="Calibri" w:hAnsiTheme="majorHAnsi" w:cs="Calibri"/>
          <w:iCs/>
          <w:szCs w:val="22"/>
        </w:rPr>
        <w:t xml:space="preserve">is as clear as possible to help avoid mistakes. We understand that the relevant parties are concerned that it will not be possible to develop clear questions that are easily understood in all relevant languages. Here, the </w:t>
      </w:r>
      <w:r w:rsidR="000D4F62">
        <w:rPr>
          <w:rFonts w:asciiTheme="majorHAnsi" w:eastAsia="Calibri" w:hAnsiTheme="majorHAnsi" w:cs="Calibri"/>
          <w:iCs/>
          <w:szCs w:val="22"/>
        </w:rPr>
        <w:t>Article 29 Working Party</w:t>
      </w:r>
      <w:r w:rsidR="00FA1232">
        <w:rPr>
          <w:rFonts w:asciiTheme="majorHAnsi" w:eastAsia="Calibri" w:hAnsiTheme="majorHAnsi" w:cs="Calibri"/>
          <w:iCs/>
          <w:szCs w:val="22"/>
        </w:rPr>
        <w:t xml:space="preserve"> Guidelines on </w:t>
      </w:r>
      <w:r w:rsidR="000D4F62">
        <w:rPr>
          <w:rFonts w:asciiTheme="majorHAnsi" w:eastAsia="Calibri" w:hAnsiTheme="majorHAnsi" w:cs="Calibri"/>
          <w:iCs/>
          <w:szCs w:val="22"/>
        </w:rPr>
        <w:t>T</w:t>
      </w:r>
      <w:r w:rsidR="00FA1232">
        <w:rPr>
          <w:rFonts w:asciiTheme="majorHAnsi" w:eastAsia="Calibri" w:hAnsiTheme="majorHAnsi" w:cs="Calibri"/>
          <w:iCs/>
          <w:szCs w:val="22"/>
        </w:rPr>
        <w:t>ransparency</w:t>
      </w:r>
      <w:r w:rsidR="000D4F62">
        <w:rPr>
          <w:rFonts w:asciiTheme="majorHAnsi" w:eastAsia="Calibri" w:hAnsiTheme="majorHAnsi" w:cs="Calibri"/>
          <w:iCs/>
          <w:szCs w:val="22"/>
        </w:rPr>
        <w:t xml:space="preserve"> under Regulation 2016/679 ("WP260rev.01")</w:t>
      </w:r>
      <w:r w:rsidR="000D4F62">
        <w:rPr>
          <w:rStyle w:val="FootnoteReference"/>
          <w:rFonts w:asciiTheme="majorHAnsi" w:eastAsia="Calibri" w:hAnsiTheme="majorHAnsi" w:cs="Calibri"/>
          <w:iCs/>
          <w:szCs w:val="22"/>
        </w:rPr>
        <w:footnoteReference w:id="6"/>
      </w:r>
      <w:r w:rsidR="00FA1232">
        <w:rPr>
          <w:rFonts w:asciiTheme="majorHAnsi" w:eastAsia="Calibri" w:hAnsiTheme="majorHAnsi" w:cs="Calibri"/>
          <w:iCs/>
          <w:szCs w:val="22"/>
        </w:rPr>
        <w:t xml:space="preserve"> offer a helpful suggestion: </w:t>
      </w:r>
    </w:p>
    <w:p w14:paraId="686F48E3" w14:textId="77777777" w:rsidR="00E31FAD" w:rsidRDefault="00E31FAD" w:rsidP="00E31FAD">
      <w:pPr>
        <w:widowControl w:val="0"/>
        <w:autoSpaceDE w:val="0"/>
        <w:autoSpaceDN w:val="0"/>
        <w:spacing w:after="0"/>
        <w:ind w:left="2160"/>
        <w:rPr>
          <w:rFonts w:asciiTheme="majorHAnsi" w:eastAsia="Calibri" w:hAnsiTheme="majorHAnsi" w:cs="Calibri"/>
          <w:iCs/>
          <w:szCs w:val="22"/>
        </w:rPr>
      </w:pPr>
    </w:p>
    <w:p w14:paraId="126A0086" w14:textId="5B5EB01B" w:rsidR="002117CD" w:rsidRDefault="00E31FAD" w:rsidP="00E31FAD">
      <w:pPr>
        <w:widowControl w:val="0"/>
        <w:autoSpaceDE w:val="0"/>
        <w:autoSpaceDN w:val="0"/>
        <w:spacing w:after="0"/>
        <w:ind w:left="2160"/>
        <w:rPr>
          <w:rFonts w:asciiTheme="majorHAnsi" w:eastAsia="Calibri" w:hAnsiTheme="majorHAnsi" w:cs="Calibri"/>
          <w:iCs/>
          <w:szCs w:val="22"/>
          <w:lang w:val="en-US"/>
        </w:rPr>
      </w:pPr>
      <w:r>
        <w:rPr>
          <w:rFonts w:asciiTheme="majorHAnsi" w:eastAsia="Calibri" w:hAnsiTheme="majorHAnsi" w:cs="Calibri"/>
          <w:iCs/>
          <w:szCs w:val="22"/>
        </w:rPr>
        <w:t>"</w:t>
      </w:r>
      <w:r w:rsidRPr="00E31FAD">
        <w:rPr>
          <w:rFonts w:asciiTheme="majorHAnsi" w:eastAsia="Calibri" w:hAnsiTheme="majorHAnsi" w:cs="Calibri"/>
          <w:i/>
          <w:iCs/>
          <w:szCs w:val="22"/>
          <w:lang w:val="en-US"/>
        </w:rPr>
        <w:t xml:space="preserve">If controllers are uncertain about the level of intelligibility and </w:t>
      </w:r>
      <w:r w:rsidRPr="00E31FAD">
        <w:rPr>
          <w:rFonts w:asciiTheme="majorHAnsi" w:eastAsia="Calibri" w:hAnsiTheme="majorHAnsi" w:cs="Calibri"/>
          <w:i/>
          <w:iCs/>
          <w:szCs w:val="22"/>
          <w:lang w:val="en-US"/>
        </w:rPr>
        <w:lastRenderedPageBreak/>
        <w:t>transparency of the information and effectiveness of user interfaces/ notices/ policies etc., they can test these, for example, through mechanisms such as user panels, readability testing, formal and informal interactions and dialogue with industry groups, consumer advocacy groups and regulatory bodies, where appropriate, amongst other things</w:t>
      </w:r>
      <w:r>
        <w:rPr>
          <w:rFonts w:asciiTheme="majorHAnsi" w:eastAsia="Calibri" w:hAnsiTheme="majorHAnsi" w:cs="Calibri"/>
          <w:iCs/>
          <w:szCs w:val="22"/>
          <w:lang w:val="en-US"/>
        </w:rPr>
        <w:t>".</w:t>
      </w:r>
    </w:p>
    <w:p w14:paraId="104C1DAF" w14:textId="77777777" w:rsidR="00E31FAD" w:rsidRDefault="00E31FAD" w:rsidP="00E31FAD">
      <w:pPr>
        <w:widowControl w:val="0"/>
        <w:autoSpaceDE w:val="0"/>
        <w:autoSpaceDN w:val="0"/>
        <w:spacing w:after="0"/>
        <w:ind w:left="2160"/>
        <w:rPr>
          <w:rFonts w:asciiTheme="majorHAnsi" w:eastAsia="Calibri" w:hAnsiTheme="majorHAnsi" w:cs="Calibri"/>
          <w:iCs/>
          <w:szCs w:val="22"/>
          <w:lang w:val="en-US"/>
        </w:rPr>
      </w:pPr>
    </w:p>
    <w:p w14:paraId="531B87A8" w14:textId="6FA52FA3" w:rsidR="00E31FAD" w:rsidRDefault="00E31FAD" w:rsidP="00E31FAD">
      <w:pPr>
        <w:widowControl w:val="0"/>
        <w:autoSpaceDE w:val="0"/>
        <w:autoSpaceDN w:val="0"/>
        <w:spacing w:after="0"/>
        <w:ind w:left="2160"/>
        <w:rPr>
          <w:rFonts w:asciiTheme="majorHAnsi" w:eastAsia="Calibri" w:hAnsiTheme="majorHAnsi" w:cs="Calibri"/>
          <w:iCs/>
          <w:szCs w:val="22"/>
          <w:lang w:val="en-US"/>
        </w:rPr>
      </w:pPr>
      <w:r>
        <w:rPr>
          <w:rFonts w:asciiTheme="majorHAnsi" w:eastAsia="Calibri" w:hAnsiTheme="majorHAnsi" w:cs="Calibri"/>
          <w:iCs/>
          <w:szCs w:val="22"/>
          <w:lang w:val="en-US"/>
        </w:rPr>
        <w:t>In other words, the relevant parties may consider consulting with focus groups and regulatory bodies to help develop language that will be easily understood. It would also be helpful to test the language to determine whether, in practice registrants understand</w:t>
      </w:r>
      <w:r w:rsidR="00E63D46">
        <w:rPr>
          <w:rFonts w:asciiTheme="majorHAnsi" w:eastAsia="Calibri" w:hAnsiTheme="majorHAnsi" w:cs="Calibri"/>
          <w:iCs/>
          <w:szCs w:val="22"/>
          <w:lang w:val="en-US"/>
        </w:rPr>
        <w:t xml:space="preserve"> what is being asked</w:t>
      </w:r>
      <w:r>
        <w:rPr>
          <w:rFonts w:asciiTheme="majorHAnsi" w:eastAsia="Calibri" w:hAnsiTheme="majorHAnsi" w:cs="Calibri"/>
          <w:iCs/>
          <w:szCs w:val="22"/>
          <w:lang w:val="en-US"/>
        </w:rPr>
        <w:t>.</w:t>
      </w:r>
    </w:p>
    <w:p w14:paraId="2B8A83EF" w14:textId="77777777" w:rsidR="00132ADD" w:rsidRPr="00E31FAD" w:rsidRDefault="00132ADD" w:rsidP="00E31FAD">
      <w:pPr>
        <w:widowControl w:val="0"/>
        <w:autoSpaceDE w:val="0"/>
        <w:autoSpaceDN w:val="0"/>
        <w:spacing w:after="0"/>
        <w:ind w:left="2160"/>
        <w:rPr>
          <w:rFonts w:asciiTheme="majorHAnsi" w:eastAsia="Calibri" w:hAnsiTheme="majorHAnsi" w:cs="Calibri"/>
          <w:iCs/>
          <w:szCs w:val="22"/>
        </w:rPr>
      </w:pPr>
    </w:p>
    <w:p w14:paraId="5A96DB7E" w14:textId="315E61C6" w:rsidR="00E31FAD" w:rsidRDefault="00E63D46" w:rsidP="00FA1232">
      <w:pPr>
        <w:widowControl w:val="0"/>
        <w:numPr>
          <w:ilvl w:val="2"/>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 xml:space="preserve">Another way the parties might address this is to implement </w:t>
      </w:r>
      <w:r w:rsidR="00132ADD">
        <w:rPr>
          <w:rFonts w:asciiTheme="majorHAnsi" w:eastAsia="Calibri" w:hAnsiTheme="majorHAnsi" w:cs="Calibri"/>
          <w:iCs/>
          <w:szCs w:val="22"/>
        </w:rPr>
        <w:t>periodic checks of the designation. For example (and as further discussed below), confirmation emails could be sent to the</w:t>
      </w:r>
      <w:r w:rsidR="000D25EF">
        <w:rPr>
          <w:rFonts w:asciiTheme="majorHAnsi" w:eastAsia="Calibri" w:hAnsiTheme="majorHAnsi" w:cs="Calibri"/>
          <w:iCs/>
          <w:szCs w:val="22"/>
        </w:rPr>
        <w:t xml:space="preserve"> registrants and/or</w:t>
      </w:r>
      <w:r w:rsidR="00132ADD">
        <w:rPr>
          <w:rFonts w:asciiTheme="majorHAnsi" w:eastAsia="Calibri" w:hAnsiTheme="majorHAnsi" w:cs="Calibri"/>
          <w:iCs/>
          <w:szCs w:val="22"/>
        </w:rPr>
        <w:t xml:space="preserve"> technical contacts </w:t>
      </w:r>
      <w:r w:rsidR="000D25EF">
        <w:rPr>
          <w:rFonts w:asciiTheme="majorHAnsi" w:eastAsia="Calibri" w:hAnsiTheme="majorHAnsi" w:cs="Calibri"/>
          <w:iCs/>
          <w:szCs w:val="22"/>
        </w:rPr>
        <w:t>asking them to re-certify that the contact details do not include personal data.</w:t>
      </w:r>
    </w:p>
    <w:p w14:paraId="0C9CE039" w14:textId="77777777" w:rsidR="00FA1232" w:rsidRDefault="00FA1232" w:rsidP="00FA1232">
      <w:pPr>
        <w:widowControl w:val="0"/>
        <w:autoSpaceDE w:val="0"/>
        <w:autoSpaceDN w:val="0"/>
        <w:spacing w:after="0"/>
        <w:rPr>
          <w:rFonts w:asciiTheme="majorHAnsi" w:eastAsia="Calibri" w:hAnsiTheme="majorHAnsi" w:cs="Calibri"/>
          <w:iCs/>
          <w:szCs w:val="22"/>
        </w:rPr>
      </w:pPr>
    </w:p>
    <w:p w14:paraId="326B0481" w14:textId="29BBAE64" w:rsidR="00E63D46" w:rsidRDefault="00E63D46" w:rsidP="002117CD">
      <w:pPr>
        <w:widowControl w:val="0"/>
        <w:numPr>
          <w:ilvl w:val="1"/>
          <w:numId w:val="47"/>
        </w:numPr>
        <w:autoSpaceDE w:val="0"/>
        <w:autoSpaceDN w:val="0"/>
        <w:spacing w:after="0"/>
        <w:rPr>
          <w:rFonts w:asciiTheme="majorHAnsi" w:eastAsia="Calibri" w:hAnsiTheme="majorHAnsi" w:cs="Calibri"/>
          <w:iCs/>
          <w:szCs w:val="22"/>
        </w:rPr>
      </w:pPr>
      <w:r>
        <w:rPr>
          <w:rFonts w:asciiTheme="majorHAnsi" w:eastAsia="Calibri" w:hAnsiTheme="majorHAnsi" w:cs="Calibri"/>
          <w:b/>
          <w:iCs/>
          <w:szCs w:val="22"/>
        </w:rPr>
        <w:t>Independent verification:</w:t>
      </w:r>
      <w:r>
        <w:rPr>
          <w:rFonts w:asciiTheme="majorHAnsi" w:eastAsia="Calibri" w:hAnsiTheme="majorHAnsi" w:cs="Calibri"/>
          <w:iCs/>
          <w:szCs w:val="22"/>
        </w:rPr>
        <w:t xml:space="preserve"> </w:t>
      </w:r>
      <w:r w:rsidRPr="00132ADD">
        <w:rPr>
          <w:rFonts w:asciiTheme="majorHAnsi" w:eastAsia="Calibri" w:hAnsiTheme="majorHAnsi" w:cs="Calibri"/>
          <w:iCs/>
          <w:szCs w:val="22"/>
        </w:rPr>
        <w:t xml:space="preserve">the relevant </w:t>
      </w:r>
      <w:r w:rsidR="00862F44">
        <w:rPr>
          <w:rFonts w:asciiTheme="majorHAnsi" w:eastAsia="Calibri" w:hAnsiTheme="majorHAnsi" w:cs="Calibri"/>
          <w:iCs/>
          <w:szCs w:val="22"/>
        </w:rPr>
        <w:t>parties could</w:t>
      </w:r>
      <w:r w:rsidRPr="00132ADD">
        <w:rPr>
          <w:rFonts w:asciiTheme="majorHAnsi" w:eastAsia="Calibri" w:hAnsiTheme="majorHAnsi" w:cs="Calibri"/>
          <w:iCs/>
          <w:szCs w:val="22"/>
        </w:rPr>
        <w:t xml:space="preserve"> implement technical measures to identify </w:t>
      </w:r>
      <w:proofErr w:type="spellStart"/>
      <w:r w:rsidRPr="00132ADD">
        <w:rPr>
          <w:rFonts w:asciiTheme="majorHAnsi" w:eastAsia="Calibri" w:hAnsiTheme="majorHAnsi" w:cs="Calibri"/>
          <w:iCs/>
          <w:szCs w:val="22"/>
        </w:rPr>
        <w:t>mis</w:t>
      </w:r>
      <w:proofErr w:type="spellEnd"/>
      <w:r w:rsidRPr="00132ADD">
        <w:rPr>
          <w:rFonts w:asciiTheme="majorHAnsi" w:eastAsia="Calibri" w:hAnsiTheme="majorHAnsi" w:cs="Calibri"/>
          <w:iCs/>
          <w:szCs w:val="22"/>
        </w:rPr>
        <w:t xml:space="preserve">-labelled registrants. </w:t>
      </w:r>
      <w:r>
        <w:rPr>
          <w:rFonts w:asciiTheme="majorHAnsi" w:eastAsia="Calibri" w:hAnsiTheme="majorHAnsi" w:cs="Calibri"/>
          <w:iCs/>
          <w:szCs w:val="22"/>
        </w:rPr>
        <w:t xml:space="preserve">For example, </w:t>
      </w:r>
      <w:r w:rsidR="0029566A">
        <w:rPr>
          <w:rFonts w:asciiTheme="majorHAnsi" w:eastAsia="Calibri" w:hAnsiTheme="majorHAnsi" w:cs="Calibri"/>
          <w:iCs/>
          <w:szCs w:val="22"/>
        </w:rPr>
        <w:t xml:space="preserve">to separate corporate entities from natural persons, registrants could be required to provide a corporate registration ID number when registering on behalf of a company. This would allow the registrar to detect internal inconsistencies, such as if a registrant identifies as </w:t>
      </w:r>
      <w:r w:rsidR="000D4F62">
        <w:rPr>
          <w:rFonts w:asciiTheme="majorHAnsi" w:eastAsia="Calibri" w:hAnsiTheme="majorHAnsi" w:cs="Calibri"/>
          <w:iCs/>
          <w:szCs w:val="22"/>
        </w:rPr>
        <w:t>a corporate entity but is unable to provide a valid ID number.</w:t>
      </w:r>
      <w:r w:rsidR="0029566A">
        <w:rPr>
          <w:rFonts w:asciiTheme="majorHAnsi" w:eastAsia="Calibri" w:hAnsiTheme="majorHAnsi" w:cs="Calibri"/>
          <w:iCs/>
          <w:szCs w:val="22"/>
        </w:rPr>
        <w:t xml:space="preserve"> I</w:t>
      </w:r>
      <w:r w:rsidRPr="00132ADD">
        <w:rPr>
          <w:rFonts w:asciiTheme="majorHAnsi" w:eastAsia="Calibri" w:hAnsiTheme="majorHAnsi" w:cs="Calibri"/>
          <w:iCs/>
          <w:szCs w:val="22"/>
        </w:rPr>
        <w:t>f feasible, technical tools</w:t>
      </w:r>
      <w:r>
        <w:rPr>
          <w:rFonts w:asciiTheme="majorHAnsi" w:eastAsia="Calibri" w:hAnsiTheme="majorHAnsi" w:cs="Calibri"/>
          <w:iCs/>
          <w:szCs w:val="22"/>
        </w:rPr>
        <w:t xml:space="preserve"> could </w:t>
      </w:r>
      <w:r w:rsidR="0029566A">
        <w:rPr>
          <w:rFonts w:asciiTheme="majorHAnsi" w:eastAsia="Calibri" w:hAnsiTheme="majorHAnsi" w:cs="Calibri"/>
          <w:iCs/>
          <w:szCs w:val="22"/>
        </w:rPr>
        <w:t xml:space="preserve">also </w:t>
      </w:r>
      <w:r>
        <w:rPr>
          <w:rFonts w:asciiTheme="majorHAnsi" w:eastAsia="Calibri" w:hAnsiTheme="majorHAnsi" w:cs="Calibri"/>
          <w:iCs/>
          <w:szCs w:val="22"/>
        </w:rPr>
        <w:t xml:space="preserve">be used to assess whether </w:t>
      </w:r>
      <w:r w:rsidRPr="00132ADD">
        <w:rPr>
          <w:rFonts w:asciiTheme="majorHAnsi" w:eastAsia="Calibri" w:hAnsiTheme="majorHAnsi" w:cs="Calibri"/>
          <w:iCs/>
          <w:szCs w:val="22"/>
        </w:rPr>
        <w:t>email address</w:t>
      </w:r>
      <w:r>
        <w:rPr>
          <w:rFonts w:asciiTheme="majorHAnsi" w:eastAsia="Calibri" w:hAnsiTheme="majorHAnsi" w:cs="Calibri"/>
          <w:iCs/>
          <w:szCs w:val="22"/>
        </w:rPr>
        <w:t>es include an individual's name or appear to be generic.</w:t>
      </w:r>
      <w:r w:rsidR="0029566A">
        <w:rPr>
          <w:rFonts w:asciiTheme="majorHAnsi" w:eastAsia="Calibri" w:hAnsiTheme="majorHAnsi" w:cs="Calibri"/>
          <w:iCs/>
          <w:szCs w:val="22"/>
        </w:rPr>
        <w:t xml:space="preserve"> </w:t>
      </w:r>
    </w:p>
    <w:p w14:paraId="15970E77" w14:textId="77777777" w:rsidR="00AA1B8A" w:rsidRDefault="00AA1B8A" w:rsidP="00AA1B8A">
      <w:pPr>
        <w:widowControl w:val="0"/>
        <w:autoSpaceDE w:val="0"/>
        <w:autoSpaceDN w:val="0"/>
        <w:spacing w:after="0"/>
        <w:ind w:left="1211"/>
        <w:rPr>
          <w:rFonts w:asciiTheme="majorHAnsi" w:eastAsia="Calibri" w:hAnsiTheme="majorHAnsi" w:cs="Calibri"/>
          <w:iCs/>
          <w:szCs w:val="22"/>
        </w:rPr>
      </w:pPr>
    </w:p>
    <w:p w14:paraId="06DE34AA" w14:textId="1C74E83F" w:rsidR="00AA1B8A" w:rsidRDefault="00AA1B8A" w:rsidP="00AA1B8A">
      <w:pPr>
        <w:widowControl w:val="0"/>
        <w:numPr>
          <w:ilvl w:val="0"/>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Equally important, the Accuracy Principle requires controllers to ensure that inaccurate personal data can be erased or rectified "</w:t>
      </w:r>
      <w:r>
        <w:rPr>
          <w:rFonts w:asciiTheme="majorHAnsi" w:eastAsia="Calibri" w:hAnsiTheme="majorHAnsi" w:cs="Calibri"/>
          <w:i/>
          <w:iCs/>
          <w:szCs w:val="22"/>
        </w:rPr>
        <w:t>without undue delay</w:t>
      </w:r>
      <w:r>
        <w:rPr>
          <w:rFonts w:asciiTheme="majorHAnsi" w:eastAsia="Calibri" w:hAnsiTheme="majorHAnsi" w:cs="Calibri"/>
          <w:iCs/>
          <w:szCs w:val="22"/>
        </w:rPr>
        <w:t xml:space="preserve">". Therefore, in addition to putting in place measures to help accurately classify registrants, the relevant parties will need to provide a simple means of permitting data subjects to correct </w:t>
      </w:r>
      <w:r w:rsidR="00862F44">
        <w:rPr>
          <w:rFonts w:asciiTheme="majorHAnsi" w:eastAsia="Calibri" w:hAnsiTheme="majorHAnsi" w:cs="Calibri"/>
          <w:iCs/>
          <w:szCs w:val="22"/>
        </w:rPr>
        <w:t>an inaccurate designation.</w:t>
      </w:r>
    </w:p>
    <w:p w14:paraId="0CD9C6D1" w14:textId="77777777" w:rsidR="00E63D46" w:rsidRDefault="00E63D46" w:rsidP="00E63D46">
      <w:pPr>
        <w:widowControl w:val="0"/>
        <w:autoSpaceDE w:val="0"/>
        <w:autoSpaceDN w:val="0"/>
        <w:spacing w:after="0"/>
        <w:rPr>
          <w:rFonts w:asciiTheme="majorHAnsi" w:eastAsia="Calibri" w:hAnsiTheme="majorHAnsi" w:cs="Calibri"/>
          <w:iCs/>
          <w:szCs w:val="22"/>
        </w:rPr>
      </w:pPr>
    </w:p>
    <w:p w14:paraId="19AD0A42" w14:textId="45498535" w:rsidR="00E63D46" w:rsidRPr="00E63D46" w:rsidRDefault="00E63D46" w:rsidP="00E63D46">
      <w:pPr>
        <w:widowControl w:val="0"/>
        <w:autoSpaceDE w:val="0"/>
        <w:autoSpaceDN w:val="0"/>
        <w:spacing w:after="0"/>
        <w:ind w:firstLine="720"/>
        <w:rPr>
          <w:rFonts w:asciiTheme="majorHAnsi" w:eastAsia="Calibri" w:hAnsiTheme="majorHAnsi" w:cs="Calibri"/>
          <w:iCs/>
          <w:szCs w:val="22"/>
          <w:u w:val="single"/>
        </w:rPr>
      </w:pPr>
      <w:r>
        <w:rPr>
          <w:rFonts w:asciiTheme="majorHAnsi" w:eastAsia="Calibri" w:hAnsiTheme="majorHAnsi" w:cs="Calibri"/>
          <w:iCs/>
          <w:szCs w:val="22"/>
          <w:u w:val="single"/>
        </w:rPr>
        <w:t>Lawfulness</w:t>
      </w:r>
      <w:r w:rsidR="00E05451">
        <w:rPr>
          <w:rFonts w:asciiTheme="majorHAnsi" w:eastAsia="Calibri" w:hAnsiTheme="majorHAnsi" w:cs="Calibri"/>
          <w:iCs/>
          <w:szCs w:val="22"/>
          <w:u w:val="single"/>
        </w:rPr>
        <w:t>,</w:t>
      </w:r>
      <w:r>
        <w:rPr>
          <w:rFonts w:asciiTheme="majorHAnsi" w:eastAsia="Calibri" w:hAnsiTheme="majorHAnsi" w:cs="Calibri"/>
          <w:iCs/>
          <w:szCs w:val="22"/>
          <w:u w:val="single"/>
        </w:rPr>
        <w:t xml:space="preserve"> </w:t>
      </w:r>
      <w:r w:rsidR="00E05451">
        <w:rPr>
          <w:rFonts w:asciiTheme="majorHAnsi" w:eastAsia="Calibri" w:hAnsiTheme="majorHAnsi" w:cs="Calibri"/>
          <w:iCs/>
          <w:szCs w:val="22"/>
          <w:u w:val="single"/>
        </w:rPr>
        <w:t xml:space="preserve">Fairness </w:t>
      </w:r>
      <w:r>
        <w:rPr>
          <w:rFonts w:asciiTheme="majorHAnsi" w:eastAsia="Calibri" w:hAnsiTheme="majorHAnsi" w:cs="Calibri"/>
          <w:iCs/>
          <w:szCs w:val="22"/>
          <w:u w:val="single"/>
        </w:rPr>
        <w:t>and Transparency Principle</w:t>
      </w:r>
    </w:p>
    <w:p w14:paraId="1E6F40A6" w14:textId="77777777" w:rsidR="00E63D46" w:rsidRPr="00E63D46" w:rsidRDefault="00E63D46" w:rsidP="00E63D46">
      <w:pPr>
        <w:widowControl w:val="0"/>
        <w:autoSpaceDE w:val="0"/>
        <w:autoSpaceDN w:val="0"/>
        <w:spacing w:after="0"/>
        <w:rPr>
          <w:rFonts w:asciiTheme="majorHAnsi" w:eastAsia="Calibri" w:hAnsiTheme="majorHAnsi" w:cs="Calibri"/>
          <w:iCs/>
          <w:szCs w:val="22"/>
        </w:rPr>
      </w:pPr>
    </w:p>
    <w:p w14:paraId="2ED6F0B0" w14:textId="02FEBB70" w:rsidR="00E05451" w:rsidRDefault="004802D5" w:rsidP="00E05451">
      <w:pPr>
        <w:widowControl w:val="0"/>
        <w:numPr>
          <w:ilvl w:val="0"/>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 xml:space="preserve">The core risk of the proposed process is that a registrant's </w:t>
      </w:r>
      <w:r w:rsidR="002945D6">
        <w:rPr>
          <w:rFonts w:asciiTheme="majorHAnsi" w:eastAsia="Calibri" w:hAnsiTheme="majorHAnsi" w:cs="Calibri"/>
          <w:iCs/>
          <w:szCs w:val="22"/>
        </w:rPr>
        <w:t xml:space="preserve">designation </w:t>
      </w:r>
      <w:r>
        <w:rPr>
          <w:rFonts w:asciiTheme="majorHAnsi" w:eastAsia="Calibri" w:hAnsiTheme="majorHAnsi" w:cs="Calibri"/>
          <w:iCs/>
          <w:szCs w:val="22"/>
        </w:rPr>
        <w:t>c</w:t>
      </w:r>
      <w:r w:rsidR="002945D6">
        <w:rPr>
          <w:rFonts w:asciiTheme="majorHAnsi" w:eastAsia="Calibri" w:hAnsiTheme="majorHAnsi" w:cs="Calibri"/>
          <w:iCs/>
          <w:szCs w:val="22"/>
        </w:rPr>
        <w:t>ould cause personal data to be processed in a</w:t>
      </w:r>
      <w:r w:rsidR="00757E3E">
        <w:rPr>
          <w:rFonts w:asciiTheme="majorHAnsi" w:eastAsia="Calibri" w:hAnsiTheme="majorHAnsi" w:cs="Calibri"/>
          <w:iCs/>
          <w:szCs w:val="22"/>
        </w:rPr>
        <w:t xml:space="preserve"> particular</w:t>
      </w:r>
      <w:r w:rsidR="002945D6">
        <w:rPr>
          <w:rFonts w:asciiTheme="majorHAnsi" w:eastAsia="Calibri" w:hAnsiTheme="majorHAnsi" w:cs="Calibri"/>
          <w:iCs/>
          <w:szCs w:val="22"/>
        </w:rPr>
        <w:t xml:space="preserve"> manner that </w:t>
      </w:r>
      <w:r>
        <w:rPr>
          <w:rFonts w:asciiTheme="majorHAnsi" w:eastAsia="Calibri" w:hAnsiTheme="majorHAnsi" w:cs="Calibri"/>
          <w:iCs/>
          <w:szCs w:val="22"/>
        </w:rPr>
        <w:t xml:space="preserve">a </w:t>
      </w:r>
      <w:r w:rsidR="001D1077">
        <w:rPr>
          <w:rFonts w:asciiTheme="majorHAnsi" w:eastAsia="Calibri" w:hAnsiTheme="majorHAnsi" w:cs="Calibri"/>
          <w:iCs/>
          <w:szCs w:val="22"/>
        </w:rPr>
        <w:t>data subject may</w:t>
      </w:r>
      <w:r w:rsidR="002945D6">
        <w:rPr>
          <w:rFonts w:asciiTheme="majorHAnsi" w:eastAsia="Calibri" w:hAnsiTheme="majorHAnsi" w:cs="Calibri"/>
          <w:iCs/>
          <w:szCs w:val="22"/>
        </w:rPr>
        <w:t xml:space="preserve"> not understand</w:t>
      </w:r>
      <w:r w:rsidR="001D1077" w:rsidRPr="001D1077">
        <w:rPr>
          <w:rFonts w:asciiTheme="majorHAnsi" w:eastAsia="Calibri" w:hAnsiTheme="majorHAnsi" w:cs="Calibri"/>
          <w:iCs/>
          <w:szCs w:val="22"/>
        </w:rPr>
        <w:t xml:space="preserve"> </w:t>
      </w:r>
      <w:r w:rsidR="001D1077">
        <w:rPr>
          <w:rFonts w:asciiTheme="majorHAnsi" w:eastAsia="Calibri" w:hAnsiTheme="majorHAnsi" w:cs="Calibri"/>
          <w:iCs/>
          <w:szCs w:val="22"/>
        </w:rPr>
        <w:t>or reasonably expect</w:t>
      </w:r>
      <w:r w:rsidR="002945D6">
        <w:rPr>
          <w:rFonts w:asciiTheme="majorHAnsi" w:eastAsia="Calibri" w:hAnsiTheme="majorHAnsi" w:cs="Calibri"/>
          <w:iCs/>
          <w:szCs w:val="22"/>
        </w:rPr>
        <w:t xml:space="preserve">. </w:t>
      </w:r>
      <w:r w:rsidR="00F55423">
        <w:rPr>
          <w:rFonts w:asciiTheme="majorHAnsi" w:eastAsia="Calibri" w:hAnsiTheme="majorHAnsi" w:cs="Calibri"/>
          <w:iCs/>
          <w:szCs w:val="22"/>
        </w:rPr>
        <w:t xml:space="preserve">In other words, the </w:t>
      </w:r>
      <w:r w:rsidR="001D1077">
        <w:rPr>
          <w:rFonts w:asciiTheme="majorHAnsi" w:eastAsia="Calibri" w:hAnsiTheme="majorHAnsi" w:cs="Calibri"/>
          <w:iCs/>
          <w:szCs w:val="22"/>
        </w:rPr>
        <w:t>data subject</w:t>
      </w:r>
      <w:r w:rsidR="00F55423">
        <w:rPr>
          <w:rFonts w:asciiTheme="majorHAnsi" w:eastAsia="Calibri" w:hAnsiTheme="majorHAnsi" w:cs="Calibri"/>
          <w:iCs/>
          <w:szCs w:val="22"/>
        </w:rPr>
        <w:t xml:space="preserve"> may not under</w:t>
      </w:r>
      <w:r w:rsidR="00E05451">
        <w:rPr>
          <w:rFonts w:asciiTheme="majorHAnsi" w:eastAsia="Calibri" w:hAnsiTheme="majorHAnsi" w:cs="Calibri"/>
          <w:iCs/>
          <w:szCs w:val="22"/>
        </w:rPr>
        <w:t>stand the consequences of what w</w:t>
      </w:r>
      <w:r w:rsidR="00F55423">
        <w:rPr>
          <w:rFonts w:asciiTheme="majorHAnsi" w:eastAsia="Calibri" w:hAnsiTheme="majorHAnsi" w:cs="Calibri"/>
          <w:iCs/>
          <w:szCs w:val="22"/>
        </w:rPr>
        <w:t>ould seem to be a technical designation.</w:t>
      </w:r>
      <w:r w:rsidR="0076518C">
        <w:rPr>
          <w:rStyle w:val="FootnoteReference"/>
          <w:rFonts w:asciiTheme="majorHAnsi" w:eastAsia="Calibri" w:hAnsiTheme="majorHAnsi" w:cs="Calibri"/>
          <w:iCs/>
          <w:szCs w:val="22"/>
        </w:rPr>
        <w:footnoteReference w:id="7"/>
      </w:r>
      <w:r w:rsidR="002945D6">
        <w:rPr>
          <w:rFonts w:asciiTheme="majorHAnsi" w:eastAsia="Calibri" w:hAnsiTheme="majorHAnsi" w:cs="Calibri"/>
          <w:iCs/>
          <w:szCs w:val="22"/>
        </w:rPr>
        <w:t xml:space="preserve"> </w:t>
      </w:r>
    </w:p>
    <w:p w14:paraId="4C327E3F" w14:textId="77777777" w:rsidR="00E05451" w:rsidRDefault="00E05451" w:rsidP="00E05451">
      <w:pPr>
        <w:widowControl w:val="0"/>
        <w:autoSpaceDE w:val="0"/>
        <w:autoSpaceDN w:val="0"/>
        <w:spacing w:after="0"/>
        <w:ind w:left="720"/>
        <w:rPr>
          <w:rFonts w:asciiTheme="majorHAnsi" w:eastAsia="Calibri" w:hAnsiTheme="majorHAnsi" w:cs="Calibri"/>
          <w:iCs/>
          <w:szCs w:val="22"/>
        </w:rPr>
      </w:pPr>
    </w:p>
    <w:p w14:paraId="47A3D1E2" w14:textId="12037B69" w:rsidR="001D1077" w:rsidRPr="00E05451" w:rsidRDefault="001D1077" w:rsidP="00E05451">
      <w:pPr>
        <w:widowControl w:val="0"/>
        <w:numPr>
          <w:ilvl w:val="0"/>
          <w:numId w:val="47"/>
        </w:numPr>
        <w:autoSpaceDE w:val="0"/>
        <w:autoSpaceDN w:val="0"/>
        <w:spacing w:after="0"/>
        <w:rPr>
          <w:rFonts w:asciiTheme="majorHAnsi" w:eastAsia="Calibri" w:hAnsiTheme="majorHAnsi" w:cs="Calibri"/>
          <w:iCs/>
          <w:szCs w:val="22"/>
        </w:rPr>
      </w:pPr>
      <w:r w:rsidRPr="00E05451">
        <w:rPr>
          <w:rFonts w:asciiTheme="majorHAnsi" w:eastAsia="Calibri" w:hAnsiTheme="majorHAnsi" w:cs="Calibri"/>
          <w:iCs/>
          <w:szCs w:val="22"/>
        </w:rPr>
        <w:t>In its Guidelines on transparency</w:t>
      </w:r>
      <w:r w:rsidR="000D4F62">
        <w:rPr>
          <w:rFonts w:asciiTheme="majorHAnsi" w:eastAsia="Calibri" w:hAnsiTheme="majorHAnsi" w:cs="Calibri"/>
          <w:iCs/>
          <w:szCs w:val="22"/>
        </w:rPr>
        <w:t xml:space="preserve"> (WP260rev.01)</w:t>
      </w:r>
      <w:r w:rsidRPr="00E05451">
        <w:rPr>
          <w:rFonts w:asciiTheme="majorHAnsi" w:eastAsia="Calibri" w:hAnsiTheme="majorHAnsi" w:cs="Calibri"/>
          <w:iCs/>
          <w:szCs w:val="22"/>
        </w:rPr>
        <w:t xml:space="preserve">, the </w:t>
      </w:r>
      <w:r w:rsidR="000D4F62">
        <w:rPr>
          <w:rFonts w:asciiTheme="majorHAnsi" w:eastAsia="Calibri" w:hAnsiTheme="majorHAnsi" w:cs="Calibri"/>
          <w:iCs/>
          <w:szCs w:val="22"/>
        </w:rPr>
        <w:t>Article 29 Working Party</w:t>
      </w:r>
      <w:r w:rsidRPr="00E05451">
        <w:rPr>
          <w:rFonts w:asciiTheme="majorHAnsi" w:eastAsia="Calibri" w:hAnsiTheme="majorHAnsi" w:cs="Calibri"/>
          <w:iCs/>
          <w:szCs w:val="22"/>
        </w:rPr>
        <w:t xml:space="preserve"> stated, “</w:t>
      </w:r>
      <w:r w:rsidRPr="00E05451">
        <w:rPr>
          <w:rFonts w:asciiTheme="majorHAnsi" w:eastAsia="Calibri" w:hAnsiTheme="majorHAnsi" w:cs="Calibri"/>
          <w:i/>
          <w:iCs/>
          <w:szCs w:val="22"/>
          <w:lang w:val="en-US"/>
        </w:rPr>
        <w:t xml:space="preserve">A central consideration of the principle of transparency outlined in these provisions is that the data subject should be able to determine in advance what </w:t>
      </w:r>
      <w:r w:rsidRPr="00E05451">
        <w:rPr>
          <w:rFonts w:asciiTheme="majorHAnsi" w:eastAsia="Calibri" w:hAnsiTheme="majorHAnsi" w:cs="Calibri"/>
          <w:b/>
          <w:i/>
          <w:iCs/>
          <w:szCs w:val="22"/>
          <w:lang w:val="en-US"/>
        </w:rPr>
        <w:t>the scope and consequences of the processing</w:t>
      </w:r>
      <w:r w:rsidRPr="00E05451">
        <w:rPr>
          <w:rFonts w:asciiTheme="majorHAnsi" w:eastAsia="Calibri" w:hAnsiTheme="majorHAnsi" w:cs="Calibri"/>
          <w:i/>
          <w:iCs/>
          <w:szCs w:val="22"/>
          <w:lang w:val="en-US"/>
        </w:rPr>
        <w:t xml:space="preserve"> entails and that they should not be taken by surprise at a later point about the ways in which their personal data has been used. This is also an important aspect of the principle of fairness under Article 5.1 of the GDPR</w:t>
      </w:r>
      <w:r w:rsidRPr="00E05451">
        <w:rPr>
          <w:rFonts w:asciiTheme="majorHAnsi" w:eastAsia="Calibri" w:hAnsiTheme="majorHAnsi" w:cs="Calibri"/>
          <w:iCs/>
          <w:szCs w:val="22"/>
          <w:lang w:val="en-US"/>
        </w:rPr>
        <w:t>” (emphasis added).</w:t>
      </w:r>
    </w:p>
    <w:p w14:paraId="49E7435E" w14:textId="77777777" w:rsidR="000801C1" w:rsidRDefault="000801C1" w:rsidP="000801C1">
      <w:pPr>
        <w:widowControl w:val="0"/>
        <w:autoSpaceDE w:val="0"/>
        <w:autoSpaceDN w:val="0"/>
        <w:spacing w:after="0"/>
        <w:ind w:left="720"/>
        <w:rPr>
          <w:rFonts w:asciiTheme="majorHAnsi" w:eastAsia="Calibri" w:hAnsiTheme="majorHAnsi" w:cs="Calibri"/>
          <w:iCs/>
          <w:szCs w:val="22"/>
        </w:rPr>
      </w:pPr>
    </w:p>
    <w:p w14:paraId="09B8D6A1" w14:textId="440E904E" w:rsidR="00C34C1B" w:rsidRDefault="00C34C1B" w:rsidP="00A56645">
      <w:pPr>
        <w:widowControl w:val="0"/>
        <w:numPr>
          <w:ilvl w:val="0"/>
          <w:numId w:val="47"/>
        </w:numPr>
        <w:autoSpaceDE w:val="0"/>
        <w:autoSpaceDN w:val="0"/>
        <w:spacing w:after="0"/>
        <w:rPr>
          <w:rFonts w:asciiTheme="majorHAnsi" w:eastAsia="Calibri" w:hAnsiTheme="majorHAnsi" w:cs="Calibri"/>
          <w:iCs/>
          <w:szCs w:val="22"/>
          <w:lang w:val="en-US"/>
        </w:rPr>
      </w:pPr>
      <w:r>
        <w:rPr>
          <w:rFonts w:asciiTheme="majorHAnsi" w:eastAsia="Calibri" w:hAnsiTheme="majorHAnsi" w:cs="Calibri"/>
          <w:iCs/>
          <w:szCs w:val="22"/>
        </w:rPr>
        <w:t xml:space="preserve">The EDPB placed particular emphasis on the need to explain the consequences of a </w:t>
      </w:r>
      <w:r>
        <w:rPr>
          <w:rFonts w:asciiTheme="majorHAnsi" w:eastAsia="Calibri" w:hAnsiTheme="majorHAnsi" w:cs="Calibri"/>
          <w:iCs/>
          <w:szCs w:val="22"/>
        </w:rPr>
        <w:lastRenderedPageBreak/>
        <w:t>processing activity where this will not be clear to data subjects: “</w:t>
      </w:r>
      <w:r w:rsidRPr="00C34C1B">
        <w:rPr>
          <w:rFonts w:asciiTheme="majorHAnsi" w:eastAsia="Calibri" w:hAnsiTheme="majorHAnsi" w:cs="Calibri"/>
          <w:i/>
          <w:iCs/>
          <w:szCs w:val="22"/>
          <w:lang w:val="en-US"/>
        </w:rPr>
        <w:t xml:space="preserve">In particular, for complex, technical or unexpected data processing, WP29’s position is that, as well as providing the prescribed information under Articles 13 and 14 (dealt with later in these guidelines), controllers should also separately spell out in unambiguous language what the most important </w:t>
      </w:r>
      <w:r w:rsidRPr="00C34C1B">
        <w:rPr>
          <w:rFonts w:asciiTheme="majorHAnsi" w:eastAsia="Calibri" w:hAnsiTheme="majorHAnsi" w:cs="Calibri"/>
          <w:b/>
          <w:i/>
          <w:iCs/>
          <w:szCs w:val="22"/>
          <w:lang w:val="en-US"/>
        </w:rPr>
        <w:t>consequences</w:t>
      </w:r>
      <w:r w:rsidRPr="00C34C1B">
        <w:rPr>
          <w:rFonts w:asciiTheme="majorHAnsi" w:eastAsia="Calibri" w:hAnsiTheme="majorHAnsi" w:cs="Calibri"/>
          <w:i/>
          <w:iCs/>
          <w:szCs w:val="22"/>
          <w:lang w:val="en-US"/>
        </w:rPr>
        <w:t xml:space="preserve"> of the processing will be: in other words, what kind of effect will the specific processing described in a privacy statement/ notice actually have on a data subject?</w:t>
      </w:r>
      <w:r>
        <w:rPr>
          <w:rFonts w:asciiTheme="majorHAnsi" w:eastAsia="Calibri" w:hAnsiTheme="majorHAnsi" w:cs="Calibri"/>
          <w:iCs/>
          <w:szCs w:val="22"/>
          <w:lang w:val="en-US"/>
        </w:rPr>
        <w:t>”</w:t>
      </w:r>
      <w:r w:rsidR="00931FFE">
        <w:rPr>
          <w:rFonts w:asciiTheme="majorHAnsi" w:eastAsia="Calibri" w:hAnsiTheme="majorHAnsi" w:cs="Calibri"/>
          <w:iCs/>
          <w:szCs w:val="22"/>
          <w:lang w:val="en-US"/>
        </w:rPr>
        <w:t xml:space="preserve"> (</w:t>
      </w:r>
      <w:proofErr w:type="gramStart"/>
      <w:r w:rsidR="00931FFE">
        <w:rPr>
          <w:rFonts w:asciiTheme="majorHAnsi" w:eastAsia="Calibri" w:hAnsiTheme="majorHAnsi" w:cs="Calibri"/>
          <w:iCs/>
          <w:szCs w:val="22"/>
          <w:lang w:val="en-US"/>
        </w:rPr>
        <w:t>emphasis</w:t>
      </w:r>
      <w:proofErr w:type="gramEnd"/>
      <w:r w:rsidR="00931FFE">
        <w:rPr>
          <w:rFonts w:asciiTheme="majorHAnsi" w:eastAsia="Calibri" w:hAnsiTheme="majorHAnsi" w:cs="Calibri"/>
          <w:iCs/>
          <w:szCs w:val="22"/>
          <w:lang w:val="en-US"/>
        </w:rPr>
        <w:t xml:space="preserve"> from original</w:t>
      </w:r>
      <w:r>
        <w:rPr>
          <w:rFonts w:asciiTheme="majorHAnsi" w:eastAsia="Calibri" w:hAnsiTheme="majorHAnsi" w:cs="Calibri"/>
          <w:iCs/>
          <w:szCs w:val="22"/>
          <w:lang w:val="en-US"/>
        </w:rPr>
        <w:t>).</w:t>
      </w:r>
    </w:p>
    <w:p w14:paraId="0C15A901" w14:textId="77777777" w:rsidR="00C34C1B" w:rsidRPr="00C34C1B" w:rsidRDefault="00C34C1B" w:rsidP="00A56645">
      <w:pPr>
        <w:widowControl w:val="0"/>
        <w:autoSpaceDE w:val="0"/>
        <w:autoSpaceDN w:val="0"/>
        <w:spacing w:after="0"/>
        <w:rPr>
          <w:rFonts w:asciiTheme="majorHAnsi" w:eastAsia="Calibri" w:hAnsiTheme="majorHAnsi" w:cs="Calibri"/>
          <w:iCs/>
          <w:szCs w:val="22"/>
          <w:lang w:val="en-US"/>
        </w:rPr>
      </w:pPr>
    </w:p>
    <w:p w14:paraId="5DF9730B" w14:textId="5D07C2C9" w:rsidR="00C34C1B" w:rsidRDefault="00C34C1B" w:rsidP="00E05451">
      <w:pPr>
        <w:widowControl w:val="0"/>
        <w:numPr>
          <w:ilvl w:val="0"/>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When a registrant identifies as either a natural or a legal person, this self-identification will determine whether the data provided is made publ</w:t>
      </w:r>
      <w:r w:rsidR="005C7E90">
        <w:rPr>
          <w:rFonts w:asciiTheme="majorHAnsi" w:eastAsia="Calibri" w:hAnsiTheme="majorHAnsi" w:cs="Calibri"/>
          <w:iCs/>
          <w:szCs w:val="22"/>
        </w:rPr>
        <w:t>icly available by default</w:t>
      </w:r>
      <w:r>
        <w:rPr>
          <w:rFonts w:asciiTheme="majorHAnsi" w:eastAsia="Calibri" w:hAnsiTheme="majorHAnsi" w:cs="Calibri"/>
          <w:iCs/>
          <w:szCs w:val="22"/>
        </w:rPr>
        <w:t>. If there is a reasonable risk that data subjects will wrongly self-identify, then failing to make the consequences of the self-identification known to data subjects could result in liability</w:t>
      </w:r>
      <w:r w:rsidR="00E05451">
        <w:rPr>
          <w:rFonts w:asciiTheme="majorHAnsi" w:eastAsia="Calibri" w:hAnsiTheme="majorHAnsi" w:cs="Calibri"/>
          <w:iCs/>
          <w:szCs w:val="22"/>
        </w:rPr>
        <w:t xml:space="preserve"> for failing to meet the Lawfulness, Fairness and Transparency Principle</w:t>
      </w:r>
      <w:r w:rsidRPr="00E05451">
        <w:rPr>
          <w:rFonts w:asciiTheme="majorHAnsi" w:eastAsia="Calibri" w:hAnsiTheme="majorHAnsi" w:cs="Calibri"/>
          <w:iCs/>
          <w:szCs w:val="22"/>
        </w:rPr>
        <w:t>.</w:t>
      </w:r>
    </w:p>
    <w:p w14:paraId="6AECCB8C" w14:textId="77777777" w:rsidR="00E05451" w:rsidRDefault="00E05451" w:rsidP="00E05451">
      <w:pPr>
        <w:widowControl w:val="0"/>
        <w:autoSpaceDE w:val="0"/>
        <w:autoSpaceDN w:val="0"/>
        <w:spacing w:after="0"/>
        <w:rPr>
          <w:rFonts w:asciiTheme="majorHAnsi" w:eastAsia="Calibri" w:hAnsiTheme="majorHAnsi" w:cs="Calibri"/>
          <w:iCs/>
          <w:szCs w:val="22"/>
        </w:rPr>
      </w:pPr>
    </w:p>
    <w:p w14:paraId="30882310" w14:textId="2AA21DB9" w:rsidR="00E05451" w:rsidRDefault="00D767DF" w:rsidP="00E05451">
      <w:pPr>
        <w:widowControl w:val="0"/>
        <w:numPr>
          <w:ilvl w:val="0"/>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The</w:t>
      </w:r>
      <w:r w:rsidR="00862F44">
        <w:rPr>
          <w:rFonts w:asciiTheme="majorHAnsi" w:eastAsia="Calibri" w:hAnsiTheme="majorHAnsi" w:cs="Calibri"/>
          <w:iCs/>
          <w:szCs w:val="22"/>
        </w:rPr>
        <w:t>refore, in our view,</w:t>
      </w:r>
      <w:r>
        <w:rPr>
          <w:rFonts w:asciiTheme="majorHAnsi" w:eastAsia="Calibri" w:hAnsiTheme="majorHAnsi" w:cs="Calibri"/>
          <w:iCs/>
          <w:szCs w:val="22"/>
        </w:rPr>
        <w:t xml:space="preserve"> relevant parties</w:t>
      </w:r>
      <w:r w:rsidR="00862F44">
        <w:rPr>
          <w:rFonts w:asciiTheme="majorHAnsi" w:eastAsia="Calibri" w:hAnsiTheme="majorHAnsi" w:cs="Calibri"/>
          <w:iCs/>
          <w:szCs w:val="22"/>
        </w:rPr>
        <w:t xml:space="preserve"> will need to ensure</w:t>
      </w:r>
      <w:r>
        <w:rPr>
          <w:rFonts w:asciiTheme="majorHAnsi" w:eastAsia="Calibri" w:hAnsiTheme="majorHAnsi" w:cs="Calibri"/>
          <w:iCs/>
          <w:szCs w:val="22"/>
        </w:rPr>
        <w:t xml:space="preserve"> that data subjects clearly understand the consequences for them of the registrants' self-identification.</w:t>
      </w:r>
      <w:r w:rsidR="0069544B">
        <w:rPr>
          <w:rFonts w:asciiTheme="majorHAnsi" w:eastAsia="Calibri" w:hAnsiTheme="majorHAnsi" w:cs="Calibri"/>
          <w:iCs/>
          <w:szCs w:val="22"/>
        </w:rPr>
        <w:t xml:space="preserve"> This means that the language provided to registrants should explain, separately from any detailed terms and conditions, that self-identifying as a non-personal registrant will result in registration</w:t>
      </w:r>
      <w:r w:rsidR="000D4F62">
        <w:rPr>
          <w:rFonts w:asciiTheme="majorHAnsi" w:eastAsia="Calibri" w:hAnsiTheme="majorHAnsi" w:cs="Calibri"/>
          <w:iCs/>
          <w:szCs w:val="22"/>
        </w:rPr>
        <w:t xml:space="preserve"> data</w:t>
      </w:r>
      <w:r w:rsidR="0069544B">
        <w:rPr>
          <w:rFonts w:asciiTheme="majorHAnsi" w:eastAsia="Calibri" w:hAnsiTheme="majorHAnsi" w:cs="Calibri"/>
          <w:iCs/>
          <w:szCs w:val="22"/>
        </w:rPr>
        <w:t xml:space="preserve"> being made publicly available. Moreover, as addressed in other advice we have provided, the relevant parties will need to ensure that </w:t>
      </w:r>
      <w:r w:rsidR="00862F44">
        <w:rPr>
          <w:rFonts w:asciiTheme="majorHAnsi" w:eastAsia="Calibri" w:hAnsiTheme="majorHAnsi" w:cs="Calibri"/>
          <w:iCs/>
          <w:szCs w:val="22"/>
        </w:rPr>
        <w:t xml:space="preserve">they communicate </w:t>
      </w:r>
      <w:r w:rsidR="0069544B">
        <w:rPr>
          <w:rFonts w:asciiTheme="majorHAnsi" w:eastAsia="Calibri" w:hAnsiTheme="majorHAnsi" w:cs="Calibri"/>
          <w:iCs/>
          <w:szCs w:val="22"/>
        </w:rPr>
        <w:t xml:space="preserve">this information </w:t>
      </w:r>
      <w:r w:rsidR="00862F44">
        <w:rPr>
          <w:rFonts w:asciiTheme="majorHAnsi" w:eastAsia="Calibri" w:hAnsiTheme="majorHAnsi" w:cs="Calibri"/>
          <w:iCs/>
          <w:szCs w:val="22"/>
        </w:rPr>
        <w:t xml:space="preserve">to data subjects that may not be the registrant. </w:t>
      </w:r>
    </w:p>
    <w:p w14:paraId="41E5C71B" w14:textId="77777777" w:rsidR="0069544B" w:rsidRDefault="0069544B" w:rsidP="0069544B">
      <w:pPr>
        <w:widowControl w:val="0"/>
        <w:autoSpaceDE w:val="0"/>
        <w:autoSpaceDN w:val="0"/>
        <w:spacing w:after="0"/>
        <w:rPr>
          <w:rFonts w:asciiTheme="majorHAnsi" w:eastAsia="Calibri" w:hAnsiTheme="majorHAnsi" w:cs="Calibri"/>
          <w:iCs/>
          <w:szCs w:val="22"/>
        </w:rPr>
      </w:pPr>
    </w:p>
    <w:p w14:paraId="6004DF0C" w14:textId="52D82DD7" w:rsidR="0069544B" w:rsidRPr="00E05451" w:rsidRDefault="0069544B" w:rsidP="00E05451">
      <w:pPr>
        <w:widowControl w:val="0"/>
        <w:numPr>
          <w:ilvl w:val="0"/>
          <w:numId w:val="4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 xml:space="preserve">The suggestion </w:t>
      </w:r>
      <w:r w:rsidR="000D4F62">
        <w:rPr>
          <w:rFonts w:asciiTheme="majorHAnsi" w:eastAsia="Calibri" w:hAnsiTheme="majorHAnsi" w:cs="Calibri"/>
          <w:iCs/>
          <w:szCs w:val="22"/>
        </w:rPr>
        <w:t xml:space="preserve">at para. 19 </w:t>
      </w:r>
      <w:r>
        <w:rPr>
          <w:rFonts w:asciiTheme="majorHAnsi" w:eastAsia="Calibri" w:hAnsiTheme="majorHAnsi" w:cs="Calibri"/>
          <w:iCs/>
          <w:szCs w:val="22"/>
        </w:rPr>
        <w:t xml:space="preserve">above of sending a confirmation email to the registrant and technical contact will be useful for meeting this requirement if it confirms the selection and explains whether registration data will be disclosed. To further address the rectification element of the Accuracy </w:t>
      </w:r>
      <w:r w:rsidR="00862F44">
        <w:rPr>
          <w:rFonts w:asciiTheme="majorHAnsi" w:eastAsia="Calibri" w:hAnsiTheme="majorHAnsi" w:cs="Calibri"/>
          <w:iCs/>
          <w:szCs w:val="22"/>
        </w:rPr>
        <w:t>P</w:t>
      </w:r>
      <w:r w:rsidR="0076518C">
        <w:rPr>
          <w:rFonts w:asciiTheme="majorHAnsi" w:eastAsia="Calibri" w:hAnsiTheme="majorHAnsi" w:cs="Calibri"/>
          <w:iCs/>
          <w:szCs w:val="22"/>
        </w:rPr>
        <w:t>rinciple, such a confirmation c</w:t>
      </w:r>
      <w:r>
        <w:rPr>
          <w:rFonts w:asciiTheme="majorHAnsi" w:eastAsia="Calibri" w:hAnsiTheme="majorHAnsi" w:cs="Calibri"/>
          <w:iCs/>
          <w:szCs w:val="22"/>
        </w:rPr>
        <w:t>ould</w:t>
      </w:r>
      <w:r w:rsidR="00862F44">
        <w:rPr>
          <w:rFonts w:asciiTheme="majorHAnsi" w:eastAsia="Calibri" w:hAnsiTheme="majorHAnsi" w:cs="Calibri"/>
          <w:iCs/>
          <w:szCs w:val="22"/>
        </w:rPr>
        <w:t xml:space="preserve"> also</w:t>
      </w:r>
      <w:r>
        <w:rPr>
          <w:rFonts w:asciiTheme="majorHAnsi" w:eastAsia="Calibri" w:hAnsiTheme="majorHAnsi" w:cs="Calibri"/>
          <w:iCs/>
          <w:szCs w:val="22"/>
        </w:rPr>
        <w:t xml:space="preserve"> include instructions for rectifying an erroneous classification.</w:t>
      </w:r>
    </w:p>
    <w:p w14:paraId="032547CE" w14:textId="3C0A9C59" w:rsidR="004B0F29" w:rsidRPr="00C34C1B" w:rsidRDefault="004B0F29" w:rsidP="0069544B">
      <w:pPr>
        <w:widowControl w:val="0"/>
        <w:autoSpaceDE w:val="0"/>
        <w:autoSpaceDN w:val="0"/>
        <w:spacing w:after="0"/>
        <w:rPr>
          <w:rFonts w:asciiTheme="majorHAnsi" w:eastAsia="Calibri" w:hAnsiTheme="majorHAnsi" w:cs="Calibri"/>
          <w:iCs/>
          <w:szCs w:val="22"/>
        </w:rPr>
      </w:pPr>
    </w:p>
    <w:sectPr w:rsidR="004B0F29" w:rsidRPr="00C34C1B" w:rsidSect="005101B0">
      <w:headerReference w:type="even" r:id="rId11"/>
      <w:headerReference w:type="default" r:id="rId12"/>
      <w:footerReference w:type="even" r:id="rId13"/>
      <w:footerReference w:type="default" r:id="rId14"/>
      <w:headerReference w:type="first" r:id="rId15"/>
      <w:footerReference w:type="first" r:id="rId16"/>
      <w:pgSz w:w="11906" w:h="16838" w:code="9"/>
      <w:pgMar w:top="1843" w:right="1418" w:bottom="1701" w:left="1418" w:header="56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FFC40" w14:textId="77777777" w:rsidR="00C630A7" w:rsidRDefault="00C630A7" w:rsidP="00F13581">
      <w:pPr>
        <w:spacing w:after="0"/>
      </w:pPr>
      <w:r>
        <w:separator/>
      </w:r>
    </w:p>
  </w:endnote>
  <w:endnote w:type="continuationSeparator" w:id="0">
    <w:p w14:paraId="19FDA860" w14:textId="77777777" w:rsidR="00C630A7" w:rsidRDefault="00C630A7"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4141D" w14:textId="77777777" w:rsidR="005101B0" w:rsidRDefault="00510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ACDAF" w14:textId="77777777" w:rsidR="00F028D1" w:rsidRDefault="00F028D1" w:rsidP="00E27172">
    <w:pPr>
      <w:pStyle w:val="Footer"/>
      <w:spacing w:after="120"/>
      <w:rPr>
        <w:noProof/>
      </w:rPr>
    </w:pPr>
    <w:r>
      <w:fldChar w:fldCharType="begin"/>
    </w:r>
    <w:r>
      <w:instrText xml:space="preserve"> PAGE   \* MERGEFORMAT</w:instrText>
    </w:r>
    <w:r>
      <w:fldChar w:fldCharType="separate"/>
    </w:r>
    <w:r w:rsidR="00D26585">
      <w:rPr>
        <w:noProof/>
      </w:rPr>
      <w:t>5</w:t>
    </w:r>
    <w:r>
      <w:rPr>
        <w:noProof/>
      </w:rPr>
      <w:fldChar w:fldCharType="end"/>
    </w:r>
  </w:p>
  <w:p w14:paraId="48A17077" w14:textId="39550CB1" w:rsidR="00364763" w:rsidRPr="00E27172" w:rsidRDefault="00364763" w:rsidP="00E27172">
    <w:pPr>
      <w:pStyle w:val="Footer"/>
      <w:spacing w:after="120"/>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153A7" w14:textId="77777777" w:rsidR="00433155" w:rsidRDefault="00176258" w:rsidP="00E27172">
    <w:pPr>
      <w:pStyle w:val="Footer"/>
      <w:spacing w:after="120"/>
    </w:pPr>
    <w:bookmarkStart w:id="13" w:name="bmkFooterLogo"/>
    <w:r>
      <w:rPr>
        <w:noProof/>
        <w:lang w:eastAsia="en-GB"/>
      </w:rPr>
      <w:drawing>
        <wp:inline distT="0" distB="0" distL="0" distR="0" wp14:anchorId="024E09AE" wp14:editId="06D614FB">
          <wp:extent cx="5759450" cy="7124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9450" cy="712470"/>
                  </a:xfrm>
                  <a:prstGeom prst="rect">
                    <a:avLst/>
                  </a:prstGeom>
                </pic:spPr>
              </pic:pic>
            </a:graphicData>
          </a:graphic>
        </wp:inline>
      </w:drawing>
    </w:r>
    <w:bookmarkEnd w:id="13"/>
  </w:p>
  <w:p w14:paraId="7FE31A63" w14:textId="77777777" w:rsidR="00DD28ED" w:rsidRPr="00E27172" w:rsidRDefault="00D2479F" w:rsidP="00E27172">
    <w:pPr>
      <w:pStyle w:val="Footer"/>
      <w:spacing w:after="120"/>
      <w:jc w:val="right"/>
      <w:rPr>
        <w:sz w:val="16"/>
      </w:rPr>
    </w:pPr>
    <w:r>
      <w:rPr>
        <w:sz w:val="16"/>
      </w:rPr>
      <w:t>Matters\45269922.1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CC389" w14:textId="77777777" w:rsidR="00C630A7" w:rsidRDefault="00C630A7" w:rsidP="00F13581">
      <w:pPr>
        <w:spacing w:after="0"/>
      </w:pPr>
      <w:r>
        <w:separator/>
      </w:r>
    </w:p>
  </w:footnote>
  <w:footnote w:type="continuationSeparator" w:id="0">
    <w:p w14:paraId="47CAAF97" w14:textId="77777777" w:rsidR="00C630A7" w:rsidRDefault="00C630A7" w:rsidP="00F13581">
      <w:pPr>
        <w:spacing w:after="0"/>
      </w:pPr>
      <w:r>
        <w:continuationSeparator/>
      </w:r>
    </w:p>
  </w:footnote>
  <w:footnote w:id="1">
    <w:p w14:paraId="74B96AF8" w14:textId="35652A4B" w:rsidR="000D4F62" w:rsidRDefault="000D4F62">
      <w:pPr>
        <w:pStyle w:val="FootnoteText"/>
      </w:pPr>
      <w:r>
        <w:rPr>
          <w:rStyle w:val="FootnoteReference"/>
        </w:rPr>
        <w:footnoteRef/>
      </w:r>
      <w:r>
        <w:t xml:space="preserve"> </w:t>
      </w:r>
      <w:r w:rsidRPr="000D4F62">
        <w:t>https://ec.europa.eu/justice/article-29/documentation/opinion-recommendation/files/2016/wp239_en.pdf</w:t>
      </w:r>
      <w:r>
        <w:t>.</w:t>
      </w:r>
    </w:p>
  </w:footnote>
  <w:footnote w:id="2">
    <w:p w14:paraId="62CFE757" w14:textId="77777777" w:rsidR="00EF3880" w:rsidRPr="0068072C" w:rsidRDefault="00EF3880" w:rsidP="00EF3880">
      <w:pPr>
        <w:pStyle w:val="FootnoteText"/>
        <w:rPr>
          <w:lang w:val="en-CA"/>
        </w:rPr>
      </w:pPr>
      <w:r>
        <w:rPr>
          <w:rStyle w:val="FootnoteReference"/>
        </w:rPr>
        <w:footnoteRef/>
      </w:r>
      <w:r>
        <w:t xml:space="preserve"> </w:t>
      </w:r>
      <w:r>
        <w:rPr>
          <w:lang w:val="en-CA"/>
        </w:rPr>
        <w:t>The only difference is that Article 6(1</w:t>
      </w:r>
      <w:proofErr w:type="gramStart"/>
      <w:r>
        <w:rPr>
          <w:lang w:val="en-CA"/>
        </w:rPr>
        <w:t>)(</w:t>
      </w:r>
      <w:proofErr w:type="gramEnd"/>
      <w:r>
        <w:rPr>
          <w:lang w:val="en-CA"/>
        </w:rPr>
        <w:t>d) of the Directive did not require the inaccurate data to be erased or rectified “</w:t>
      </w:r>
      <w:r>
        <w:rPr>
          <w:i/>
          <w:lang w:val="en-CA"/>
        </w:rPr>
        <w:t>without undue delay</w:t>
      </w:r>
      <w:r>
        <w:rPr>
          <w:lang w:val="en-CA"/>
        </w:rPr>
        <w:t>”.</w:t>
      </w:r>
    </w:p>
  </w:footnote>
  <w:footnote w:id="3">
    <w:p w14:paraId="113D02A4" w14:textId="3071D5E1" w:rsidR="00646EEA" w:rsidRPr="00646EEA" w:rsidRDefault="00646EEA">
      <w:pPr>
        <w:pStyle w:val="FootnoteText"/>
      </w:pPr>
      <w:r>
        <w:rPr>
          <w:rStyle w:val="FootnoteReference"/>
        </w:rPr>
        <w:footnoteRef/>
      </w:r>
      <w:r>
        <w:t xml:space="preserve"> The OECD Principles contained a "</w:t>
      </w:r>
      <w:r>
        <w:rPr>
          <w:i/>
        </w:rPr>
        <w:t>Data Quality Principle</w:t>
      </w:r>
      <w:r>
        <w:t>", which incorporated a similar concept of accuracy: "</w:t>
      </w:r>
      <w:r w:rsidRPr="00646EEA">
        <w:rPr>
          <w:i/>
        </w:rPr>
        <w:t xml:space="preserve">Personal data should be relevant to the purposes for which they are to be </w:t>
      </w:r>
      <w:proofErr w:type="gramStart"/>
      <w:r w:rsidRPr="00646EEA">
        <w:rPr>
          <w:i/>
        </w:rPr>
        <w:t>used,</w:t>
      </w:r>
      <w:proofErr w:type="gramEnd"/>
      <w:r w:rsidRPr="00646EEA">
        <w:rPr>
          <w:i/>
        </w:rPr>
        <w:t xml:space="preserve"> and, to the extent necessary for those purposes, should be accurate, complete and kept up-to-date</w:t>
      </w:r>
      <w:r>
        <w:t>".</w:t>
      </w:r>
    </w:p>
  </w:footnote>
  <w:footnote w:id="4">
    <w:p w14:paraId="20E2BFCF" w14:textId="3F97B059" w:rsidR="00FC6DF6" w:rsidRDefault="00FC6DF6">
      <w:pPr>
        <w:pStyle w:val="FootnoteText"/>
      </w:pPr>
      <w:r>
        <w:rPr>
          <w:rStyle w:val="FootnoteReference"/>
        </w:rPr>
        <w:footnoteRef/>
      </w:r>
      <w:r>
        <w:t xml:space="preserve"> </w:t>
      </w:r>
      <w:r w:rsidRPr="00FC6DF6">
        <w:rPr>
          <w:iCs/>
        </w:rPr>
        <w:t>We were unable to find any case law in the UK, Belgium or Germany directly addressing the meaning of accuracy as relevant to this query within the time we had.</w:t>
      </w:r>
      <w:r>
        <w:rPr>
          <w:iCs/>
        </w:rPr>
        <w:t xml:space="preserve"> We would be happy to check in additional Member States if this would be helpful.</w:t>
      </w:r>
    </w:p>
  </w:footnote>
  <w:footnote w:id="5">
    <w:p w14:paraId="27104D51" w14:textId="54CB0383" w:rsidR="00EF3880" w:rsidRPr="00EF3880" w:rsidRDefault="00EF3880">
      <w:pPr>
        <w:pStyle w:val="FootnoteText"/>
        <w:rPr>
          <w:lang w:val="en-CA"/>
        </w:rPr>
      </w:pPr>
      <w:r>
        <w:rPr>
          <w:rStyle w:val="FootnoteReference"/>
        </w:rPr>
        <w:footnoteRef/>
      </w:r>
      <w:r>
        <w:t xml:space="preserve"> </w:t>
      </w:r>
      <w:r w:rsidRPr="00EF3880">
        <w:t>https://ico.org.uk/for-organisations/guide-to-data-protection/guide-to-the-general-data-protection-regulation-gdpr/principles/accuracy/</w:t>
      </w:r>
      <w:r>
        <w:t>.</w:t>
      </w:r>
    </w:p>
  </w:footnote>
  <w:footnote w:id="6">
    <w:p w14:paraId="70B56E69" w14:textId="1D0D4F87" w:rsidR="000D4F62" w:rsidRDefault="000D4F62">
      <w:pPr>
        <w:pStyle w:val="FootnoteText"/>
      </w:pPr>
      <w:r>
        <w:rPr>
          <w:rStyle w:val="FootnoteReference"/>
        </w:rPr>
        <w:footnoteRef/>
      </w:r>
      <w:r>
        <w:t xml:space="preserve"> </w:t>
      </w:r>
      <w:r w:rsidRPr="000D4F62">
        <w:t>https://ec.europa.eu/newsroom/article29/item-detail.cfm?item_id=622227</w:t>
      </w:r>
      <w:r>
        <w:t>.</w:t>
      </w:r>
    </w:p>
  </w:footnote>
  <w:footnote w:id="7">
    <w:p w14:paraId="016961BB" w14:textId="1C904B32" w:rsidR="0076518C" w:rsidRDefault="0076518C">
      <w:pPr>
        <w:pStyle w:val="FootnoteText"/>
      </w:pPr>
      <w:r>
        <w:rPr>
          <w:rStyle w:val="FootnoteReference"/>
        </w:rPr>
        <w:footnoteRef/>
      </w:r>
      <w:r>
        <w:t xml:space="preserve"> We understand it may even be the case that the personal contact details are provided by a registrant that is not the data subject.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289E3" w14:textId="77777777" w:rsidR="005101B0" w:rsidRDefault="00510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F028D1" w14:paraId="38424B55" w14:textId="77777777" w:rsidTr="00225B04">
      <w:tc>
        <w:tcPr>
          <w:tcW w:w="9286" w:type="dxa"/>
        </w:tcPr>
        <w:p w14:paraId="7B599F54" w14:textId="77777777" w:rsidR="00F028D1" w:rsidRDefault="00176258" w:rsidP="00176258">
          <w:pPr>
            <w:pStyle w:val="Header"/>
          </w:pPr>
          <w:bookmarkStart w:id="10" w:name="bmkLogo1"/>
          <w:r>
            <w:rPr>
              <w:noProof/>
              <w:lang w:eastAsia="en-GB"/>
            </w:rPr>
            <w:drawing>
              <wp:inline distT="0" distB="0" distL="0" distR="0" wp14:anchorId="29082E00" wp14:editId="39D978E9">
                <wp:extent cx="1505715" cy="265177"/>
                <wp:effectExtent l="0" t="0" r="0" b="190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5715" cy="265177"/>
                        </a:xfrm>
                        <a:prstGeom prst="rect">
                          <a:avLst/>
                        </a:prstGeom>
                      </pic:spPr>
                    </pic:pic>
                  </a:graphicData>
                </a:graphic>
              </wp:inline>
            </w:drawing>
          </w:r>
          <w:bookmarkEnd w:id="10"/>
        </w:p>
      </w:tc>
    </w:tr>
  </w:tbl>
  <w:p w14:paraId="6250D26B" w14:textId="77777777" w:rsidR="00F13581" w:rsidRPr="00F028D1" w:rsidRDefault="00F13581" w:rsidP="00F02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07" w:type="dxa"/>
      <w:tblInd w:w="-851" w:type="dxa"/>
      <w:tblLook w:val="04A0" w:firstRow="1" w:lastRow="0" w:firstColumn="1" w:lastColumn="0" w:noHBand="0" w:noVBand="1"/>
    </w:tblPr>
    <w:tblGrid>
      <w:gridCol w:w="8614"/>
      <w:gridCol w:w="2693"/>
    </w:tblGrid>
    <w:tr w:rsidR="005513B1" w14:paraId="759CCA99" w14:textId="77777777" w:rsidTr="00894459">
      <w:tc>
        <w:tcPr>
          <w:tcW w:w="8614" w:type="dxa"/>
        </w:tcPr>
        <w:p w14:paraId="49D3C4E2" w14:textId="77777777" w:rsidR="005513B1" w:rsidRPr="008F63DB" w:rsidRDefault="00176258" w:rsidP="00894459">
          <w:pPr>
            <w:pStyle w:val="Header"/>
            <w:tabs>
              <w:tab w:val="clear" w:pos="4513"/>
              <w:tab w:val="clear" w:pos="9026"/>
            </w:tabs>
            <w:ind w:right="-3335"/>
          </w:pPr>
          <w:bookmarkStart w:id="11" w:name="bmkLogo"/>
          <w:r>
            <w:rPr>
              <w:noProof/>
              <w:lang w:eastAsia="en-GB"/>
            </w:rPr>
            <w:drawing>
              <wp:inline distT="0" distB="0" distL="0" distR="0" wp14:anchorId="67006459" wp14:editId="1516A524">
                <wp:extent cx="1505715" cy="265177"/>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5715" cy="265177"/>
                        </a:xfrm>
                        <a:prstGeom prst="rect">
                          <a:avLst/>
                        </a:prstGeom>
                      </pic:spPr>
                    </pic:pic>
                  </a:graphicData>
                </a:graphic>
              </wp:inline>
            </w:drawing>
          </w:r>
          <w:bookmarkEnd w:id="11"/>
          <w:r w:rsidR="005513B1">
            <w:rPr>
              <w:noProof/>
              <w:lang w:eastAsia="en-GB"/>
            </w:rPr>
            <mc:AlternateContent>
              <mc:Choice Requires="wps">
                <w:drawing>
                  <wp:anchor distT="0" distB="0" distL="114300" distR="114300" simplePos="0" relativeHeight="251659264" behindDoc="1" locked="0" layoutInCell="1" allowOverlap="1" wp14:anchorId="20CA24C1" wp14:editId="05F0CF51">
                    <wp:simplePos x="0" y="0"/>
                    <wp:positionH relativeFrom="column">
                      <wp:posOffset>5393055</wp:posOffset>
                    </wp:positionH>
                    <wp:positionV relativeFrom="paragraph">
                      <wp:posOffset>-17145</wp:posOffset>
                    </wp:positionV>
                    <wp:extent cx="1707515" cy="543877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5438775"/>
                            </a:xfrm>
                            <a:prstGeom prst="rect">
                              <a:avLst/>
                            </a:prstGeom>
                            <a:solidFill>
                              <a:srgbClr val="FFFFFF"/>
                            </a:solidFill>
                            <a:ln w="9525">
                              <a:noFill/>
                              <a:miter lim="800000"/>
                              <a:headEnd/>
                              <a:tailEnd/>
                            </a:ln>
                          </wps:spPr>
                          <wps:txbx>
                            <w:txbxContent>
                              <w:p w14:paraId="5DEFA093" w14:textId="77777777" w:rsidR="005513B1" w:rsidRDefault="00176258" w:rsidP="005513B1">
                                <w:bookmarkStart w:id="12" w:name="bmkOfficeAddress"/>
                                <w:r>
                                  <w:rPr>
                                    <w:noProof/>
                                    <w:lang w:eastAsia="en-GB"/>
                                  </w:rPr>
                                  <w:drawing>
                                    <wp:inline distT="0" distB="0" distL="0" distR="0" wp14:anchorId="08571664" wp14:editId="1002ABDC">
                                      <wp:extent cx="1515745" cy="1264285"/>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15745" cy="1264285"/>
                                              </a:xfrm>
                                              <a:prstGeom prst="rect">
                                                <a:avLst/>
                                              </a:prstGeom>
                                            </pic:spPr>
                                          </pic:pic>
                                        </a:graphicData>
                                      </a:graphic>
                                    </wp:inline>
                                  </w:drawing>
                                </w:r>
                                <w:bookmarkEnd w:id="1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65pt;margin-top:-1.35pt;width:134.45pt;height:4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" stroked="f">
                    <v:textbox>
                      <w:txbxContent>
                        <w:p w14:paraId="5DEFA093" w14:textId="77777777" w:rsidR="005513B1" w:rsidRDefault="00176258" w:rsidP="005513B1">
                          <w:bookmarkStart w:id="13" w:name="bmkOfficeAddress"/>
                          <w:r>
                            <w:rPr>
                              <w:noProof/>
                              <w:lang w:eastAsia="en-GB"/>
                            </w:rPr>
                            <w:drawing>
                              <wp:inline distT="0" distB="0" distL="0" distR="0" wp14:anchorId="08571664" wp14:editId="1002ABDC">
                                <wp:extent cx="1515745" cy="1264285"/>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515745" cy="1264285"/>
                                        </a:xfrm>
                                        <a:prstGeom prst="rect">
                                          <a:avLst/>
                                        </a:prstGeom>
                                      </pic:spPr>
                                    </pic:pic>
                                  </a:graphicData>
                                </a:graphic>
                              </wp:inline>
                            </w:drawing>
                          </w:r>
                          <w:bookmarkEnd w:id="13"/>
                        </w:p>
                      </w:txbxContent>
                    </v:textbox>
                  </v:shape>
                </w:pict>
              </mc:Fallback>
            </mc:AlternateContent>
          </w:r>
        </w:p>
      </w:tc>
      <w:tc>
        <w:tcPr>
          <w:tcW w:w="2693" w:type="dxa"/>
        </w:tcPr>
        <w:p w14:paraId="5C34EE0A" w14:textId="77777777" w:rsidR="005513B1" w:rsidRDefault="005513B1" w:rsidP="00894459">
          <w:pPr>
            <w:pStyle w:val="Header"/>
            <w:tabs>
              <w:tab w:val="clear" w:pos="4513"/>
              <w:tab w:val="clear" w:pos="9026"/>
            </w:tabs>
            <w:ind w:right="-1136"/>
          </w:pPr>
        </w:p>
      </w:tc>
    </w:tr>
  </w:tbl>
  <w:p w14:paraId="1B154F0A" w14:textId="77777777" w:rsidR="00DD28ED" w:rsidRPr="005513B1" w:rsidRDefault="00DD28ED" w:rsidP="00551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nsid w:val="0ACF4A5A"/>
    <w:multiLevelType w:val="multilevel"/>
    <w:tmpl w:val="22B85D12"/>
    <w:numStyleLink w:val="NumberingSchedules"/>
  </w:abstractNum>
  <w:abstractNum w:abstractNumId="2">
    <w:nsid w:val="182D1E23"/>
    <w:multiLevelType w:val="hybridMultilevel"/>
    <w:tmpl w:val="32348662"/>
    <w:lvl w:ilvl="0" w:tplc="E3D054C0">
      <w:start w:val="1"/>
      <w:numFmt w:val="decimal"/>
      <w:lvlText w:val="%1."/>
      <w:lvlJc w:val="left"/>
      <w:pPr>
        <w:ind w:left="720" w:hanging="360"/>
      </w:pPr>
      <w:rPr>
        <w:b w:val="0"/>
      </w:rPr>
    </w:lvl>
    <w:lvl w:ilvl="1" w:tplc="08090019">
      <w:start w:val="1"/>
      <w:numFmt w:val="lowerLetter"/>
      <w:lvlText w:val="%2."/>
      <w:lvlJc w:val="left"/>
      <w:pPr>
        <w:ind w:left="1211"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58929C5"/>
    <w:multiLevelType w:val="multilevel"/>
    <w:tmpl w:val="2D08F10E"/>
    <w:numStyleLink w:val="NumberingMain"/>
  </w:abstractNum>
  <w:abstractNum w:abstractNumId="4">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5">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6">
    <w:nsid w:val="416A30EA"/>
    <w:multiLevelType w:val="multilevel"/>
    <w:tmpl w:val="77080A38"/>
    <w:numStyleLink w:val="BulletList"/>
  </w:abstractNum>
  <w:abstractNum w:abstractNumId="7">
    <w:nsid w:val="4C077BFA"/>
    <w:multiLevelType w:val="multilevel"/>
    <w:tmpl w:val="2D08F10E"/>
    <w:numStyleLink w:val="NumberingMain"/>
  </w:abstractNum>
  <w:abstractNum w:abstractNumId="8">
    <w:nsid w:val="55FA1686"/>
    <w:multiLevelType w:val="hybridMultilevel"/>
    <w:tmpl w:val="DD50043C"/>
    <w:lvl w:ilvl="0" w:tplc="0809001B">
      <w:start w:val="1"/>
      <w:numFmt w:val="lowerRoman"/>
      <w:lvlText w:val="%1."/>
      <w:lvlJc w:val="right"/>
      <w:pPr>
        <w:ind w:left="1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07D20"/>
    <w:multiLevelType w:val="multilevel"/>
    <w:tmpl w:val="22B85D12"/>
    <w:numStyleLink w:val="NumberingSchedules"/>
  </w:abstractNum>
  <w:abstractNum w:abstractNumId="10">
    <w:nsid w:val="77A14002"/>
    <w:multiLevelType w:val="multilevel"/>
    <w:tmpl w:val="98F2F0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4"/>
  </w:num>
  <w:num w:numId="2">
    <w:abstractNumId w:val="5"/>
  </w:num>
  <w:num w:numId="3">
    <w:abstractNumId w:val="7"/>
  </w:num>
  <w:num w:numId="4">
    <w:abstractNumId w:val="0"/>
  </w:num>
  <w:num w:numId="5">
    <w:abstractNumId w:val="1"/>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0"/>
  </w:num>
  <w:num w:numId="26">
    <w:abstractNumId w:val="3"/>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4"/>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8"/>
  </w:num>
  <w:num w:numId="5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AF"/>
    <w:rsid w:val="00007C88"/>
    <w:rsid w:val="00011068"/>
    <w:rsid w:val="00027C51"/>
    <w:rsid w:val="000330AA"/>
    <w:rsid w:val="00034B47"/>
    <w:rsid w:val="00037934"/>
    <w:rsid w:val="00042DC9"/>
    <w:rsid w:val="00046814"/>
    <w:rsid w:val="0006369B"/>
    <w:rsid w:val="00072F39"/>
    <w:rsid w:val="00074B5C"/>
    <w:rsid w:val="000801C1"/>
    <w:rsid w:val="000A0CBE"/>
    <w:rsid w:val="000B5371"/>
    <w:rsid w:val="000C0ADC"/>
    <w:rsid w:val="000D25EF"/>
    <w:rsid w:val="000D4F62"/>
    <w:rsid w:val="000E5B91"/>
    <w:rsid w:val="000E69F2"/>
    <w:rsid w:val="001064A5"/>
    <w:rsid w:val="001178E2"/>
    <w:rsid w:val="00131065"/>
    <w:rsid w:val="00132ADD"/>
    <w:rsid w:val="001451E7"/>
    <w:rsid w:val="00151BCE"/>
    <w:rsid w:val="00163E79"/>
    <w:rsid w:val="001664E6"/>
    <w:rsid w:val="00167770"/>
    <w:rsid w:val="00176258"/>
    <w:rsid w:val="00186923"/>
    <w:rsid w:val="00192851"/>
    <w:rsid w:val="001A242F"/>
    <w:rsid w:val="001A6A99"/>
    <w:rsid w:val="001B1800"/>
    <w:rsid w:val="001B35BD"/>
    <w:rsid w:val="001C15FE"/>
    <w:rsid w:val="001D1077"/>
    <w:rsid w:val="001E64E3"/>
    <w:rsid w:val="00207DB5"/>
    <w:rsid w:val="002117CD"/>
    <w:rsid w:val="00217374"/>
    <w:rsid w:val="00225B04"/>
    <w:rsid w:val="00240C0F"/>
    <w:rsid w:val="00257F08"/>
    <w:rsid w:val="00265DBD"/>
    <w:rsid w:val="00266E11"/>
    <w:rsid w:val="002861DF"/>
    <w:rsid w:val="002945D6"/>
    <w:rsid w:val="0029566A"/>
    <w:rsid w:val="002B6038"/>
    <w:rsid w:val="002B69EA"/>
    <w:rsid w:val="002B7CFB"/>
    <w:rsid w:val="002D45EF"/>
    <w:rsid w:val="002D5D7F"/>
    <w:rsid w:val="002E23C5"/>
    <w:rsid w:val="003143EB"/>
    <w:rsid w:val="0033509B"/>
    <w:rsid w:val="003621A7"/>
    <w:rsid w:val="00364763"/>
    <w:rsid w:val="00374581"/>
    <w:rsid w:val="00377D74"/>
    <w:rsid w:val="003A0280"/>
    <w:rsid w:val="003A199A"/>
    <w:rsid w:val="003B288B"/>
    <w:rsid w:val="004037C8"/>
    <w:rsid w:val="00421F0A"/>
    <w:rsid w:val="004233B8"/>
    <w:rsid w:val="00433155"/>
    <w:rsid w:val="00443E87"/>
    <w:rsid w:val="00460753"/>
    <w:rsid w:val="00463906"/>
    <w:rsid w:val="004802D5"/>
    <w:rsid w:val="004930BB"/>
    <w:rsid w:val="004A66DE"/>
    <w:rsid w:val="004B0F29"/>
    <w:rsid w:val="004B4C47"/>
    <w:rsid w:val="004C13E3"/>
    <w:rsid w:val="004C165B"/>
    <w:rsid w:val="004C5260"/>
    <w:rsid w:val="004F2633"/>
    <w:rsid w:val="0050328C"/>
    <w:rsid w:val="005101B0"/>
    <w:rsid w:val="00521793"/>
    <w:rsid w:val="005513B1"/>
    <w:rsid w:val="005733A3"/>
    <w:rsid w:val="00582B7E"/>
    <w:rsid w:val="005952EA"/>
    <w:rsid w:val="00596B95"/>
    <w:rsid w:val="005A2F00"/>
    <w:rsid w:val="005B0710"/>
    <w:rsid w:val="005C7E90"/>
    <w:rsid w:val="005D23E9"/>
    <w:rsid w:val="005D4668"/>
    <w:rsid w:val="005D51BF"/>
    <w:rsid w:val="005D72E8"/>
    <w:rsid w:val="005D7FA5"/>
    <w:rsid w:val="005E0445"/>
    <w:rsid w:val="00640DCF"/>
    <w:rsid w:val="00646EEA"/>
    <w:rsid w:val="0065775E"/>
    <w:rsid w:val="00667A13"/>
    <w:rsid w:val="006725BC"/>
    <w:rsid w:val="0068072C"/>
    <w:rsid w:val="0069544B"/>
    <w:rsid w:val="006A378B"/>
    <w:rsid w:val="006A7B3D"/>
    <w:rsid w:val="006C0408"/>
    <w:rsid w:val="006E5498"/>
    <w:rsid w:val="006F6FFC"/>
    <w:rsid w:val="00712E7A"/>
    <w:rsid w:val="00716A3C"/>
    <w:rsid w:val="00720E51"/>
    <w:rsid w:val="007269AB"/>
    <w:rsid w:val="00752E82"/>
    <w:rsid w:val="00754280"/>
    <w:rsid w:val="00757E3E"/>
    <w:rsid w:val="0076518C"/>
    <w:rsid w:val="00766013"/>
    <w:rsid w:val="00771490"/>
    <w:rsid w:val="00774996"/>
    <w:rsid w:val="00782183"/>
    <w:rsid w:val="00782E1C"/>
    <w:rsid w:val="007A55C9"/>
    <w:rsid w:val="007B548F"/>
    <w:rsid w:val="007C300A"/>
    <w:rsid w:val="007D6D65"/>
    <w:rsid w:val="00837363"/>
    <w:rsid w:val="00852CC1"/>
    <w:rsid w:val="00852CD5"/>
    <w:rsid w:val="00862F44"/>
    <w:rsid w:val="00863FA9"/>
    <w:rsid w:val="008833F3"/>
    <w:rsid w:val="00892F0A"/>
    <w:rsid w:val="008B0518"/>
    <w:rsid w:val="008B5C15"/>
    <w:rsid w:val="008B6263"/>
    <w:rsid w:val="008C2354"/>
    <w:rsid w:val="008F42C7"/>
    <w:rsid w:val="009237CE"/>
    <w:rsid w:val="00931FFE"/>
    <w:rsid w:val="009322FE"/>
    <w:rsid w:val="00934436"/>
    <w:rsid w:val="00971EE3"/>
    <w:rsid w:val="009729A5"/>
    <w:rsid w:val="00975DDE"/>
    <w:rsid w:val="00990113"/>
    <w:rsid w:val="009909A9"/>
    <w:rsid w:val="009A227E"/>
    <w:rsid w:val="009D1611"/>
    <w:rsid w:val="009F4341"/>
    <w:rsid w:val="009F6EAB"/>
    <w:rsid w:val="009F729E"/>
    <w:rsid w:val="00A01B7C"/>
    <w:rsid w:val="00A36ADA"/>
    <w:rsid w:val="00A56645"/>
    <w:rsid w:val="00A640F1"/>
    <w:rsid w:val="00A72C00"/>
    <w:rsid w:val="00A770A3"/>
    <w:rsid w:val="00A83D92"/>
    <w:rsid w:val="00AA0E03"/>
    <w:rsid w:val="00AA1B8A"/>
    <w:rsid w:val="00AA3723"/>
    <w:rsid w:val="00AA51A5"/>
    <w:rsid w:val="00AB01AF"/>
    <w:rsid w:val="00AB16E8"/>
    <w:rsid w:val="00AC096A"/>
    <w:rsid w:val="00AE0152"/>
    <w:rsid w:val="00AF327B"/>
    <w:rsid w:val="00AF613E"/>
    <w:rsid w:val="00B146A7"/>
    <w:rsid w:val="00B260EF"/>
    <w:rsid w:val="00B34382"/>
    <w:rsid w:val="00B45553"/>
    <w:rsid w:val="00B64626"/>
    <w:rsid w:val="00B65D47"/>
    <w:rsid w:val="00B86CCD"/>
    <w:rsid w:val="00B90375"/>
    <w:rsid w:val="00B9688E"/>
    <w:rsid w:val="00BA279D"/>
    <w:rsid w:val="00BA67B9"/>
    <w:rsid w:val="00BA7D81"/>
    <w:rsid w:val="00BD196E"/>
    <w:rsid w:val="00C028B3"/>
    <w:rsid w:val="00C14BFD"/>
    <w:rsid w:val="00C15716"/>
    <w:rsid w:val="00C34C1B"/>
    <w:rsid w:val="00C630A7"/>
    <w:rsid w:val="00C7686B"/>
    <w:rsid w:val="00C96AD1"/>
    <w:rsid w:val="00CB6B0F"/>
    <w:rsid w:val="00CC362E"/>
    <w:rsid w:val="00CE5E56"/>
    <w:rsid w:val="00CF015C"/>
    <w:rsid w:val="00CF4F7C"/>
    <w:rsid w:val="00D16785"/>
    <w:rsid w:val="00D2479F"/>
    <w:rsid w:val="00D25952"/>
    <w:rsid w:val="00D26585"/>
    <w:rsid w:val="00D425F3"/>
    <w:rsid w:val="00D42BAE"/>
    <w:rsid w:val="00D66878"/>
    <w:rsid w:val="00D756B2"/>
    <w:rsid w:val="00D767DF"/>
    <w:rsid w:val="00DB0F49"/>
    <w:rsid w:val="00DD0737"/>
    <w:rsid w:val="00DD28ED"/>
    <w:rsid w:val="00DD4E75"/>
    <w:rsid w:val="00DD59E6"/>
    <w:rsid w:val="00E029AC"/>
    <w:rsid w:val="00E05451"/>
    <w:rsid w:val="00E1483E"/>
    <w:rsid w:val="00E25B1D"/>
    <w:rsid w:val="00E27172"/>
    <w:rsid w:val="00E31FAD"/>
    <w:rsid w:val="00E44BA5"/>
    <w:rsid w:val="00E63D46"/>
    <w:rsid w:val="00E6643B"/>
    <w:rsid w:val="00E74AC5"/>
    <w:rsid w:val="00E8324F"/>
    <w:rsid w:val="00E853A8"/>
    <w:rsid w:val="00EA34A3"/>
    <w:rsid w:val="00EC084B"/>
    <w:rsid w:val="00ED7262"/>
    <w:rsid w:val="00EE0FF5"/>
    <w:rsid w:val="00EF3880"/>
    <w:rsid w:val="00F028D1"/>
    <w:rsid w:val="00F13581"/>
    <w:rsid w:val="00F220F3"/>
    <w:rsid w:val="00F33B2A"/>
    <w:rsid w:val="00F55423"/>
    <w:rsid w:val="00F81BE8"/>
    <w:rsid w:val="00F85AE8"/>
    <w:rsid w:val="00F923CF"/>
    <w:rsid w:val="00F93584"/>
    <w:rsid w:val="00F97E3A"/>
    <w:rsid w:val="00FA0EAF"/>
    <w:rsid w:val="00FA1232"/>
    <w:rsid w:val="00FC5E8A"/>
    <w:rsid w:val="00FC6DF6"/>
    <w:rsid w:val="00FD2D64"/>
    <w:rsid w:val="00FD68D5"/>
    <w:rsid w:val="00FF66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CB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FA0EAF"/>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36"/>
      </w:numPr>
    </w:pPr>
  </w:style>
  <w:style w:type="paragraph" w:customStyle="1" w:styleId="BBBullet2">
    <w:name w:val="B&amp;B Bullet 2"/>
    <w:basedOn w:val="BodyText"/>
    <w:uiPriority w:val="39"/>
    <w:rsid w:val="003A0280"/>
    <w:pPr>
      <w:numPr>
        <w:ilvl w:val="2"/>
        <w:numId w:val="36"/>
      </w:numPr>
    </w:pPr>
  </w:style>
  <w:style w:type="paragraph" w:customStyle="1" w:styleId="BBBullet3">
    <w:name w:val="B&amp;B Bullet 3"/>
    <w:basedOn w:val="BodyText"/>
    <w:uiPriority w:val="39"/>
    <w:rsid w:val="003A0280"/>
    <w:pPr>
      <w:numPr>
        <w:ilvl w:val="3"/>
        <w:numId w:val="36"/>
      </w:numPr>
    </w:pPr>
  </w:style>
  <w:style w:type="paragraph" w:customStyle="1" w:styleId="BBBullet4">
    <w:name w:val="B&amp;B Bullet 4"/>
    <w:basedOn w:val="BodyText"/>
    <w:uiPriority w:val="39"/>
    <w:rsid w:val="003A0280"/>
    <w:pPr>
      <w:numPr>
        <w:ilvl w:val="4"/>
        <w:numId w:val="36"/>
      </w:numPr>
    </w:pPr>
  </w:style>
  <w:style w:type="paragraph" w:customStyle="1" w:styleId="BBBullet5">
    <w:name w:val="B&amp;B Bullet 5"/>
    <w:basedOn w:val="BodyText"/>
    <w:uiPriority w:val="39"/>
    <w:rsid w:val="003A0280"/>
    <w:pPr>
      <w:numPr>
        <w:ilvl w:val="5"/>
        <w:numId w:val="36"/>
      </w:numPr>
    </w:pPr>
  </w:style>
  <w:style w:type="paragraph" w:customStyle="1" w:styleId="BBBullet6">
    <w:name w:val="B&amp;B Bullet 6"/>
    <w:basedOn w:val="BodyText"/>
    <w:uiPriority w:val="39"/>
    <w:rsid w:val="003A0280"/>
    <w:pPr>
      <w:numPr>
        <w:ilvl w:val="6"/>
        <w:numId w:val="36"/>
      </w:numPr>
    </w:pPr>
  </w:style>
  <w:style w:type="paragraph" w:customStyle="1" w:styleId="BBBullet7">
    <w:name w:val="B&amp;B Bullet 7"/>
    <w:basedOn w:val="BodyText"/>
    <w:uiPriority w:val="39"/>
    <w:rsid w:val="003A0280"/>
    <w:pPr>
      <w:numPr>
        <w:ilvl w:val="7"/>
        <w:numId w:val="36"/>
      </w:numPr>
    </w:pPr>
  </w:style>
  <w:style w:type="paragraph" w:customStyle="1" w:styleId="BBBullet8">
    <w:name w:val="B&amp;B Bullet 8"/>
    <w:basedOn w:val="BodyText"/>
    <w:uiPriority w:val="39"/>
    <w:rsid w:val="003A0280"/>
    <w:pPr>
      <w:numPr>
        <w:ilvl w:val="8"/>
        <w:numId w:val="36"/>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4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46"/>
      </w:numPr>
    </w:pPr>
  </w:style>
  <w:style w:type="paragraph" w:customStyle="1" w:styleId="BBClause3">
    <w:name w:val="B&amp;B Clause 3"/>
    <w:basedOn w:val="BodyText"/>
    <w:uiPriority w:val="29"/>
    <w:qFormat/>
    <w:rsid w:val="003A0280"/>
    <w:pPr>
      <w:numPr>
        <w:ilvl w:val="2"/>
        <w:numId w:val="46"/>
      </w:numPr>
    </w:pPr>
  </w:style>
  <w:style w:type="paragraph" w:customStyle="1" w:styleId="BBClause4">
    <w:name w:val="B&amp;B Clause 4"/>
    <w:basedOn w:val="BodyText"/>
    <w:uiPriority w:val="29"/>
    <w:qFormat/>
    <w:rsid w:val="003A0280"/>
    <w:pPr>
      <w:numPr>
        <w:ilvl w:val="3"/>
        <w:numId w:val="46"/>
      </w:numPr>
    </w:pPr>
  </w:style>
  <w:style w:type="paragraph" w:customStyle="1" w:styleId="BBClause5">
    <w:name w:val="B&amp;B Clause 5"/>
    <w:basedOn w:val="BodyText"/>
    <w:uiPriority w:val="29"/>
    <w:rsid w:val="003A0280"/>
    <w:pPr>
      <w:numPr>
        <w:ilvl w:val="4"/>
        <w:numId w:val="46"/>
      </w:numPr>
    </w:pPr>
  </w:style>
  <w:style w:type="paragraph" w:customStyle="1" w:styleId="BBClause6">
    <w:name w:val="B&amp;B Clause 6"/>
    <w:basedOn w:val="BodyText"/>
    <w:uiPriority w:val="29"/>
    <w:rsid w:val="003A0280"/>
    <w:pPr>
      <w:numPr>
        <w:ilvl w:val="5"/>
        <w:numId w:val="46"/>
      </w:numPr>
    </w:pPr>
  </w:style>
  <w:style w:type="paragraph" w:customStyle="1" w:styleId="BBClause7">
    <w:name w:val="B&amp;B Clause 7"/>
    <w:basedOn w:val="BodyText"/>
    <w:uiPriority w:val="29"/>
    <w:rsid w:val="003A0280"/>
    <w:pPr>
      <w:numPr>
        <w:ilvl w:val="6"/>
        <w:numId w:val="46"/>
      </w:numPr>
    </w:pPr>
  </w:style>
  <w:style w:type="paragraph" w:customStyle="1" w:styleId="BBClause8">
    <w:name w:val="B&amp;B Clause 8"/>
    <w:basedOn w:val="BodyText"/>
    <w:uiPriority w:val="29"/>
    <w:rsid w:val="003A0280"/>
    <w:pPr>
      <w:numPr>
        <w:ilvl w:val="7"/>
        <w:numId w:val="46"/>
      </w:numPr>
    </w:pPr>
  </w:style>
  <w:style w:type="paragraph" w:customStyle="1" w:styleId="BBClause9">
    <w:name w:val="B&amp;B Clause 9"/>
    <w:basedOn w:val="BodyText"/>
    <w:uiPriority w:val="29"/>
    <w:rsid w:val="003A0280"/>
    <w:pPr>
      <w:numPr>
        <w:ilvl w:val="8"/>
        <w:numId w:val="4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4F2633"/>
    <w:rPr>
      <w:b/>
    </w:rPr>
  </w:style>
  <w:style w:type="paragraph" w:customStyle="1" w:styleId="BBHeading3">
    <w:name w:val="B&amp;B Heading 3"/>
    <w:basedOn w:val="BBClause3"/>
    <w:next w:val="BBBodyTextIndent3"/>
    <w:uiPriority w:val="9"/>
    <w:qFormat/>
    <w:rsid w:val="004F2633"/>
    <w:rPr>
      <w:b/>
    </w:rPr>
  </w:style>
  <w:style w:type="paragraph" w:customStyle="1" w:styleId="BBHeading4">
    <w:name w:val="B&amp;B Heading 4"/>
    <w:basedOn w:val="BBClause4"/>
    <w:next w:val="BBBodyTextIndent4"/>
    <w:uiPriority w:val="9"/>
    <w:qFormat/>
    <w:rsid w:val="004F2633"/>
    <w:rPr>
      <w:b/>
    </w:rPr>
  </w:style>
  <w:style w:type="paragraph" w:customStyle="1" w:styleId="BBHeading5">
    <w:name w:val="B&amp;B Heading 5"/>
    <w:basedOn w:val="BBClause5"/>
    <w:next w:val="BBBodyTextIndent5"/>
    <w:uiPriority w:val="9"/>
    <w:rsid w:val="004F2633"/>
    <w:rPr>
      <w:b/>
    </w:rPr>
  </w:style>
  <w:style w:type="paragraph" w:customStyle="1" w:styleId="BBHeading6">
    <w:name w:val="B&amp;B Heading 6"/>
    <w:basedOn w:val="BBClause6"/>
    <w:next w:val="BBBodyTextIndent6"/>
    <w:uiPriority w:val="9"/>
    <w:rsid w:val="004F2633"/>
    <w:rPr>
      <w:b/>
    </w:rPr>
  </w:style>
  <w:style w:type="paragraph" w:customStyle="1" w:styleId="BBHeading7">
    <w:name w:val="B&amp;B Heading 7"/>
    <w:basedOn w:val="BBClause7"/>
    <w:next w:val="BBBodyTextIndent7"/>
    <w:uiPriority w:val="9"/>
    <w:rsid w:val="004F2633"/>
    <w:rPr>
      <w:b/>
    </w:rPr>
  </w:style>
  <w:style w:type="paragraph" w:customStyle="1" w:styleId="BBHeading8">
    <w:name w:val="B&amp;B Heading 8"/>
    <w:basedOn w:val="BBClause8"/>
    <w:next w:val="BBBodyTextIndent8"/>
    <w:uiPriority w:val="9"/>
    <w:rsid w:val="004F2633"/>
    <w:rPr>
      <w:b/>
    </w:rPr>
  </w:style>
  <w:style w:type="paragraph" w:customStyle="1" w:styleId="BBHeading9">
    <w:name w:val="B&amp;B Heading 9"/>
    <w:basedOn w:val="BBClause9"/>
    <w:next w:val="BBBodyTextIndent9"/>
    <w:uiPriority w:val="9"/>
    <w:rsid w:val="004F2633"/>
    <w:rPr>
      <w:b/>
    </w:rPr>
  </w:style>
  <w:style w:type="paragraph" w:customStyle="1" w:styleId="BBScheduleHeading1">
    <w:name w:val="B&amp;B Schedule Heading 1"/>
    <w:basedOn w:val="BodyText"/>
    <w:next w:val="BBBodyTextIndent1"/>
    <w:uiPriority w:val="49"/>
    <w:rsid w:val="00971EE3"/>
    <w:pPr>
      <w:keepNext/>
      <w:numPr>
        <w:numId w:val="25"/>
      </w:numPr>
      <w:spacing w:before="120"/>
      <w:outlineLvl w:val="0"/>
    </w:pPr>
    <w:rPr>
      <w:b/>
    </w:rPr>
  </w:style>
  <w:style w:type="paragraph" w:customStyle="1" w:styleId="BBSchedule1">
    <w:name w:val="B&amp;B Schedule 1"/>
    <w:basedOn w:val="BBScheduleHeading1"/>
    <w:uiPriority w:val="59"/>
    <w:rsid w:val="00852CC1"/>
    <w:rPr>
      <w:b w:val="0"/>
    </w:rPr>
  </w:style>
  <w:style w:type="paragraph" w:customStyle="1" w:styleId="BBSchedule2">
    <w:name w:val="B&amp;B Schedule 2"/>
    <w:basedOn w:val="BodyText"/>
    <w:uiPriority w:val="59"/>
    <w:rsid w:val="00971EE3"/>
    <w:pPr>
      <w:numPr>
        <w:ilvl w:val="1"/>
        <w:numId w:val="25"/>
      </w:numPr>
    </w:pPr>
  </w:style>
  <w:style w:type="paragraph" w:customStyle="1" w:styleId="BBSchedule3">
    <w:name w:val="B&amp;B Schedule 3"/>
    <w:basedOn w:val="BodyText"/>
    <w:uiPriority w:val="59"/>
    <w:rsid w:val="00971EE3"/>
    <w:pPr>
      <w:numPr>
        <w:ilvl w:val="2"/>
        <w:numId w:val="25"/>
      </w:numPr>
    </w:pPr>
  </w:style>
  <w:style w:type="paragraph" w:customStyle="1" w:styleId="BBSchedule4">
    <w:name w:val="B&amp;B Schedule 4"/>
    <w:basedOn w:val="BodyText"/>
    <w:uiPriority w:val="59"/>
    <w:rsid w:val="00971EE3"/>
    <w:pPr>
      <w:numPr>
        <w:ilvl w:val="3"/>
        <w:numId w:val="25"/>
      </w:numPr>
    </w:pPr>
  </w:style>
  <w:style w:type="paragraph" w:customStyle="1" w:styleId="BBSchedule5">
    <w:name w:val="B&amp;B Schedule 5"/>
    <w:basedOn w:val="BodyText"/>
    <w:uiPriority w:val="59"/>
    <w:rsid w:val="00971EE3"/>
    <w:pPr>
      <w:numPr>
        <w:ilvl w:val="4"/>
        <w:numId w:val="25"/>
      </w:numPr>
    </w:pPr>
  </w:style>
  <w:style w:type="paragraph" w:customStyle="1" w:styleId="BBSchedule6">
    <w:name w:val="B&amp;B Schedule 6"/>
    <w:basedOn w:val="BodyText"/>
    <w:uiPriority w:val="59"/>
    <w:rsid w:val="00971EE3"/>
    <w:pPr>
      <w:numPr>
        <w:ilvl w:val="5"/>
        <w:numId w:val="25"/>
      </w:numPr>
    </w:pPr>
  </w:style>
  <w:style w:type="paragraph" w:customStyle="1" w:styleId="BBSchedule7">
    <w:name w:val="B&amp;B Schedule 7"/>
    <w:basedOn w:val="BodyText"/>
    <w:uiPriority w:val="59"/>
    <w:rsid w:val="00971EE3"/>
    <w:pPr>
      <w:numPr>
        <w:ilvl w:val="6"/>
        <w:numId w:val="25"/>
      </w:numPr>
    </w:pPr>
  </w:style>
  <w:style w:type="paragraph" w:customStyle="1" w:styleId="BBSchedule8">
    <w:name w:val="B&amp;B Schedule 8"/>
    <w:basedOn w:val="BodyText"/>
    <w:uiPriority w:val="59"/>
    <w:rsid w:val="00971EE3"/>
    <w:pPr>
      <w:numPr>
        <w:ilvl w:val="7"/>
        <w:numId w:val="25"/>
      </w:numPr>
    </w:pPr>
  </w:style>
  <w:style w:type="paragraph" w:customStyle="1" w:styleId="BBSchedule9">
    <w:name w:val="B&amp;B Schedule 9"/>
    <w:basedOn w:val="BodyText"/>
    <w:uiPriority w:val="59"/>
    <w:rsid w:val="00971EE3"/>
    <w:pPr>
      <w:numPr>
        <w:ilvl w:val="8"/>
        <w:numId w:val="25"/>
      </w:numPr>
    </w:pPr>
  </w:style>
  <w:style w:type="paragraph" w:customStyle="1" w:styleId="BBScheduleHeading2">
    <w:name w:val="B&amp;B Schedule Heading 2"/>
    <w:basedOn w:val="BBSchedule2"/>
    <w:next w:val="BBBodyTextIndent2"/>
    <w:uiPriority w:val="49"/>
    <w:rsid w:val="00852CC1"/>
    <w:rPr>
      <w:b/>
    </w:rPr>
  </w:style>
  <w:style w:type="paragraph" w:customStyle="1" w:styleId="BBScheduleHeading3">
    <w:name w:val="B&amp;B Schedule Heading 3"/>
    <w:basedOn w:val="BBSchedule3"/>
    <w:next w:val="BBBodyTextIndent3"/>
    <w:uiPriority w:val="49"/>
    <w:rsid w:val="00852CC1"/>
    <w:rPr>
      <w:b/>
    </w:rPr>
  </w:style>
  <w:style w:type="paragraph" w:customStyle="1" w:styleId="BBScheduleHeading4">
    <w:name w:val="B&amp;B Schedule Heading 4"/>
    <w:basedOn w:val="BBSchedule4"/>
    <w:next w:val="BBBodyTextIndent4"/>
    <w:uiPriority w:val="49"/>
    <w:rsid w:val="00852CC1"/>
    <w:rPr>
      <w:b/>
    </w:rPr>
  </w:style>
  <w:style w:type="paragraph" w:customStyle="1" w:styleId="BBScheduleHeading5">
    <w:name w:val="B&amp;B Schedule Heading 5"/>
    <w:basedOn w:val="BBSchedule5"/>
    <w:next w:val="BBBodyTextIndent5"/>
    <w:uiPriority w:val="49"/>
    <w:rsid w:val="008B5C15"/>
    <w:pPr>
      <w:keepNext/>
    </w:pPr>
    <w:rPr>
      <w:b/>
    </w:rPr>
  </w:style>
  <w:style w:type="paragraph" w:customStyle="1" w:styleId="BBScheduleHeading6">
    <w:name w:val="B&amp;B Schedule Heading 6"/>
    <w:basedOn w:val="BBSchedule6"/>
    <w:next w:val="BBBodyTextIndent6"/>
    <w:uiPriority w:val="49"/>
    <w:rsid w:val="00852CC1"/>
    <w:rPr>
      <w:b/>
    </w:rPr>
  </w:style>
  <w:style w:type="paragraph" w:customStyle="1" w:styleId="BBScheduleHeading7">
    <w:name w:val="B&amp;B Schedule Heading 7"/>
    <w:basedOn w:val="BBSchedule7"/>
    <w:next w:val="BBBodyTextIndent7"/>
    <w:uiPriority w:val="49"/>
    <w:rsid w:val="00852CC1"/>
    <w:rPr>
      <w:b/>
    </w:rPr>
  </w:style>
  <w:style w:type="paragraph" w:customStyle="1" w:styleId="BBScheduleHeading8">
    <w:name w:val="B&amp;B Schedule Heading 8"/>
    <w:basedOn w:val="BBSchedule8"/>
    <w:next w:val="BBBodyTextIndent8"/>
    <w:uiPriority w:val="49"/>
    <w:rsid w:val="00852CC1"/>
    <w:rPr>
      <w:b/>
    </w:rPr>
  </w:style>
  <w:style w:type="paragraph" w:customStyle="1" w:styleId="BBScheduleHeading9">
    <w:name w:val="B&amp;B Schedule Heading 9"/>
    <w:basedOn w:val="BBSchedule9"/>
    <w:next w:val="BBBodyTextIndent9"/>
    <w:uiPriority w:val="49"/>
    <w:rsid w:val="00852CC1"/>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4"/>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paragraph" w:styleId="ListParagraph">
    <w:name w:val="List Paragraph"/>
    <w:basedOn w:val="Normal"/>
    <w:uiPriority w:val="34"/>
    <w:semiHidden/>
    <w:qFormat/>
    <w:rsid w:val="007A55C9"/>
    <w:pPr>
      <w:ind w:left="720"/>
      <w:contextualSpacing/>
    </w:pPr>
  </w:style>
  <w:style w:type="character" w:styleId="FootnoteReference">
    <w:name w:val="footnote reference"/>
    <w:basedOn w:val="DefaultParagraphFont"/>
    <w:uiPriority w:val="99"/>
    <w:semiHidden/>
    <w:rsid w:val="008B0518"/>
    <w:rPr>
      <w:vertAlign w:val="superscript"/>
    </w:rPr>
  </w:style>
  <w:style w:type="character" w:styleId="Hyperlink">
    <w:name w:val="Hyperlink"/>
    <w:basedOn w:val="DefaultParagraphFont"/>
    <w:uiPriority w:val="99"/>
    <w:unhideWhenUsed/>
    <w:rsid w:val="00074B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FA0EAF"/>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36"/>
      </w:numPr>
    </w:pPr>
  </w:style>
  <w:style w:type="paragraph" w:customStyle="1" w:styleId="BBBullet2">
    <w:name w:val="B&amp;B Bullet 2"/>
    <w:basedOn w:val="BodyText"/>
    <w:uiPriority w:val="39"/>
    <w:rsid w:val="003A0280"/>
    <w:pPr>
      <w:numPr>
        <w:ilvl w:val="2"/>
        <w:numId w:val="36"/>
      </w:numPr>
    </w:pPr>
  </w:style>
  <w:style w:type="paragraph" w:customStyle="1" w:styleId="BBBullet3">
    <w:name w:val="B&amp;B Bullet 3"/>
    <w:basedOn w:val="BodyText"/>
    <w:uiPriority w:val="39"/>
    <w:rsid w:val="003A0280"/>
    <w:pPr>
      <w:numPr>
        <w:ilvl w:val="3"/>
        <w:numId w:val="36"/>
      </w:numPr>
    </w:pPr>
  </w:style>
  <w:style w:type="paragraph" w:customStyle="1" w:styleId="BBBullet4">
    <w:name w:val="B&amp;B Bullet 4"/>
    <w:basedOn w:val="BodyText"/>
    <w:uiPriority w:val="39"/>
    <w:rsid w:val="003A0280"/>
    <w:pPr>
      <w:numPr>
        <w:ilvl w:val="4"/>
        <w:numId w:val="36"/>
      </w:numPr>
    </w:pPr>
  </w:style>
  <w:style w:type="paragraph" w:customStyle="1" w:styleId="BBBullet5">
    <w:name w:val="B&amp;B Bullet 5"/>
    <w:basedOn w:val="BodyText"/>
    <w:uiPriority w:val="39"/>
    <w:rsid w:val="003A0280"/>
    <w:pPr>
      <w:numPr>
        <w:ilvl w:val="5"/>
        <w:numId w:val="36"/>
      </w:numPr>
    </w:pPr>
  </w:style>
  <w:style w:type="paragraph" w:customStyle="1" w:styleId="BBBullet6">
    <w:name w:val="B&amp;B Bullet 6"/>
    <w:basedOn w:val="BodyText"/>
    <w:uiPriority w:val="39"/>
    <w:rsid w:val="003A0280"/>
    <w:pPr>
      <w:numPr>
        <w:ilvl w:val="6"/>
        <w:numId w:val="36"/>
      </w:numPr>
    </w:pPr>
  </w:style>
  <w:style w:type="paragraph" w:customStyle="1" w:styleId="BBBullet7">
    <w:name w:val="B&amp;B Bullet 7"/>
    <w:basedOn w:val="BodyText"/>
    <w:uiPriority w:val="39"/>
    <w:rsid w:val="003A0280"/>
    <w:pPr>
      <w:numPr>
        <w:ilvl w:val="7"/>
        <w:numId w:val="36"/>
      </w:numPr>
    </w:pPr>
  </w:style>
  <w:style w:type="paragraph" w:customStyle="1" w:styleId="BBBullet8">
    <w:name w:val="B&amp;B Bullet 8"/>
    <w:basedOn w:val="BodyText"/>
    <w:uiPriority w:val="39"/>
    <w:rsid w:val="003A0280"/>
    <w:pPr>
      <w:numPr>
        <w:ilvl w:val="8"/>
        <w:numId w:val="36"/>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4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46"/>
      </w:numPr>
    </w:pPr>
  </w:style>
  <w:style w:type="paragraph" w:customStyle="1" w:styleId="BBClause3">
    <w:name w:val="B&amp;B Clause 3"/>
    <w:basedOn w:val="BodyText"/>
    <w:uiPriority w:val="29"/>
    <w:qFormat/>
    <w:rsid w:val="003A0280"/>
    <w:pPr>
      <w:numPr>
        <w:ilvl w:val="2"/>
        <w:numId w:val="46"/>
      </w:numPr>
    </w:pPr>
  </w:style>
  <w:style w:type="paragraph" w:customStyle="1" w:styleId="BBClause4">
    <w:name w:val="B&amp;B Clause 4"/>
    <w:basedOn w:val="BodyText"/>
    <w:uiPriority w:val="29"/>
    <w:qFormat/>
    <w:rsid w:val="003A0280"/>
    <w:pPr>
      <w:numPr>
        <w:ilvl w:val="3"/>
        <w:numId w:val="46"/>
      </w:numPr>
    </w:pPr>
  </w:style>
  <w:style w:type="paragraph" w:customStyle="1" w:styleId="BBClause5">
    <w:name w:val="B&amp;B Clause 5"/>
    <w:basedOn w:val="BodyText"/>
    <w:uiPriority w:val="29"/>
    <w:rsid w:val="003A0280"/>
    <w:pPr>
      <w:numPr>
        <w:ilvl w:val="4"/>
        <w:numId w:val="46"/>
      </w:numPr>
    </w:pPr>
  </w:style>
  <w:style w:type="paragraph" w:customStyle="1" w:styleId="BBClause6">
    <w:name w:val="B&amp;B Clause 6"/>
    <w:basedOn w:val="BodyText"/>
    <w:uiPriority w:val="29"/>
    <w:rsid w:val="003A0280"/>
    <w:pPr>
      <w:numPr>
        <w:ilvl w:val="5"/>
        <w:numId w:val="46"/>
      </w:numPr>
    </w:pPr>
  </w:style>
  <w:style w:type="paragraph" w:customStyle="1" w:styleId="BBClause7">
    <w:name w:val="B&amp;B Clause 7"/>
    <w:basedOn w:val="BodyText"/>
    <w:uiPriority w:val="29"/>
    <w:rsid w:val="003A0280"/>
    <w:pPr>
      <w:numPr>
        <w:ilvl w:val="6"/>
        <w:numId w:val="46"/>
      </w:numPr>
    </w:pPr>
  </w:style>
  <w:style w:type="paragraph" w:customStyle="1" w:styleId="BBClause8">
    <w:name w:val="B&amp;B Clause 8"/>
    <w:basedOn w:val="BodyText"/>
    <w:uiPriority w:val="29"/>
    <w:rsid w:val="003A0280"/>
    <w:pPr>
      <w:numPr>
        <w:ilvl w:val="7"/>
        <w:numId w:val="46"/>
      </w:numPr>
    </w:pPr>
  </w:style>
  <w:style w:type="paragraph" w:customStyle="1" w:styleId="BBClause9">
    <w:name w:val="B&amp;B Clause 9"/>
    <w:basedOn w:val="BodyText"/>
    <w:uiPriority w:val="29"/>
    <w:rsid w:val="003A0280"/>
    <w:pPr>
      <w:numPr>
        <w:ilvl w:val="8"/>
        <w:numId w:val="4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4F2633"/>
    <w:rPr>
      <w:b/>
    </w:rPr>
  </w:style>
  <w:style w:type="paragraph" w:customStyle="1" w:styleId="BBHeading3">
    <w:name w:val="B&amp;B Heading 3"/>
    <w:basedOn w:val="BBClause3"/>
    <w:next w:val="BBBodyTextIndent3"/>
    <w:uiPriority w:val="9"/>
    <w:qFormat/>
    <w:rsid w:val="004F2633"/>
    <w:rPr>
      <w:b/>
    </w:rPr>
  </w:style>
  <w:style w:type="paragraph" w:customStyle="1" w:styleId="BBHeading4">
    <w:name w:val="B&amp;B Heading 4"/>
    <w:basedOn w:val="BBClause4"/>
    <w:next w:val="BBBodyTextIndent4"/>
    <w:uiPriority w:val="9"/>
    <w:qFormat/>
    <w:rsid w:val="004F2633"/>
    <w:rPr>
      <w:b/>
    </w:rPr>
  </w:style>
  <w:style w:type="paragraph" w:customStyle="1" w:styleId="BBHeading5">
    <w:name w:val="B&amp;B Heading 5"/>
    <w:basedOn w:val="BBClause5"/>
    <w:next w:val="BBBodyTextIndent5"/>
    <w:uiPriority w:val="9"/>
    <w:rsid w:val="004F2633"/>
    <w:rPr>
      <w:b/>
    </w:rPr>
  </w:style>
  <w:style w:type="paragraph" w:customStyle="1" w:styleId="BBHeading6">
    <w:name w:val="B&amp;B Heading 6"/>
    <w:basedOn w:val="BBClause6"/>
    <w:next w:val="BBBodyTextIndent6"/>
    <w:uiPriority w:val="9"/>
    <w:rsid w:val="004F2633"/>
    <w:rPr>
      <w:b/>
    </w:rPr>
  </w:style>
  <w:style w:type="paragraph" w:customStyle="1" w:styleId="BBHeading7">
    <w:name w:val="B&amp;B Heading 7"/>
    <w:basedOn w:val="BBClause7"/>
    <w:next w:val="BBBodyTextIndent7"/>
    <w:uiPriority w:val="9"/>
    <w:rsid w:val="004F2633"/>
    <w:rPr>
      <w:b/>
    </w:rPr>
  </w:style>
  <w:style w:type="paragraph" w:customStyle="1" w:styleId="BBHeading8">
    <w:name w:val="B&amp;B Heading 8"/>
    <w:basedOn w:val="BBClause8"/>
    <w:next w:val="BBBodyTextIndent8"/>
    <w:uiPriority w:val="9"/>
    <w:rsid w:val="004F2633"/>
    <w:rPr>
      <w:b/>
    </w:rPr>
  </w:style>
  <w:style w:type="paragraph" w:customStyle="1" w:styleId="BBHeading9">
    <w:name w:val="B&amp;B Heading 9"/>
    <w:basedOn w:val="BBClause9"/>
    <w:next w:val="BBBodyTextIndent9"/>
    <w:uiPriority w:val="9"/>
    <w:rsid w:val="004F2633"/>
    <w:rPr>
      <w:b/>
    </w:rPr>
  </w:style>
  <w:style w:type="paragraph" w:customStyle="1" w:styleId="BBScheduleHeading1">
    <w:name w:val="B&amp;B Schedule Heading 1"/>
    <w:basedOn w:val="BodyText"/>
    <w:next w:val="BBBodyTextIndent1"/>
    <w:uiPriority w:val="49"/>
    <w:rsid w:val="00971EE3"/>
    <w:pPr>
      <w:keepNext/>
      <w:numPr>
        <w:numId w:val="25"/>
      </w:numPr>
      <w:spacing w:before="120"/>
      <w:outlineLvl w:val="0"/>
    </w:pPr>
    <w:rPr>
      <w:b/>
    </w:rPr>
  </w:style>
  <w:style w:type="paragraph" w:customStyle="1" w:styleId="BBSchedule1">
    <w:name w:val="B&amp;B Schedule 1"/>
    <w:basedOn w:val="BBScheduleHeading1"/>
    <w:uiPriority w:val="59"/>
    <w:rsid w:val="00852CC1"/>
    <w:rPr>
      <w:b w:val="0"/>
    </w:rPr>
  </w:style>
  <w:style w:type="paragraph" w:customStyle="1" w:styleId="BBSchedule2">
    <w:name w:val="B&amp;B Schedule 2"/>
    <w:basedOn w:val="BodyText"/>
    <w:uiPriority w:val="59"/>
    <w:rsid w:val="00971EE3"/>
    <w:pPr>
      <w:numPr>
        <w:ilvl w:val="1"/>
        <w:numId w:val="25"/>
      </w:numPr>
    </w:pPr>
  </w:style>
  <w:style w:type="paragraph" w:customStyle="1" w:styleId="BBSchedule3">
    <w:name w:val="B&amp;B Schedule 3"/>
    <w:basedOn w:val="BodyText"/>
    <w:uiPriority w:val="59"/>
    <w:rsid w:val="00971EE3"/>
    <w:pPr>
      <w:numPr>
        <w:ilvl w:val="2"/>
        <w:numId w:val="25"/>
      </w:numPr>
    </w:pPr>
  </w:style>
  <w:style w:type="paragraph" w:customStyle="1" w:styleId="BBSchedule4">
    <w:name w:val="B&amp;B Schedule 4"/>
    <w:basedOn w:val="BodyText"/>
    <w:uiPriority w:val="59"/>
    <w:rsid w:val="00971EE3"/>
    <w:pPr>
      <w:numPr>
        <w:ilvl w:val="3"/>
        <w:numId w:val="25"/>
      </w:numPr>
    </w:pPr>
  </w:style>
  <w:style w:type="paragraph" w:customStyle="1" w:styleId="BBSchedule5">
    <w:name w:val="B&amp;B Schedule 5"/>
    <w:basedOn w:val="BodyText"/>
    <w:uiPriority w:val="59"/>
    <w:rsid w:val="00971EE3"/>
    <w:pPr>
      <w:numPr>
        <w:ilvl w:val="4"/>
        <w:numId w:val="25"/>
      </w:numPr>
    </w:pPr>
  </w:style>
  <w:style w:type="paragraph" w:customStyle="1" w:styleId="BBSchedule6">
    <w:name w:val="B&amp;B Schedule 6"/>
    <w:basedOn w:val="BodyText"/>
    <w:uiPriority w:val="59"/>
    <w:rsid w:val="00971EE3"/>
    <w:pPr>
      <w:numPr>
        <w:ilvl w:val="5"/>
        <w:numId w:val="25"/>
      </w:numPr>
    </w:pPr>
  </w:style>
  <w:style w:type="paragraph" w:customStyle="1" w:styleId="BBSchedule7">
    <w:name w:val="B&amp;B Schedule 7"/>
    <w:basedOn w:val="BodyText"/>
    <w:uiPriority w:val="59"/>
    <w:rsid w:val="00971EE3"/>
    <w:pPr>
      <w:numPr>
        <w:ilvl w:val="6"/>
        <w:numId w:val="25"/>
      </w:numPr>
    </w:pPr>
  </w:style>
  <w:style w:type="paragraph" w:customStyle="1" w:styleId="BBSchedule8">
    <w:name w:val="B&amp;B Schedule 8"/>
    <w:basedOn w:val="BodyText"/>
    <w:uiPriority w:val="59"/>
    <w:rsid w:val="00971EE3"/>
    <w:pPr>
      <w:numPr>
        <w:ilvl w:val="7"/>
        <w:numId w:val="25"/>
      </w:numPr>
    </w:pPr>
  </w:style>
  <w:style w:type="paragraph" w:customStyle="1" w:styleId="BBSchedule9">
    <w:name w:val="B&amp;B Schedule 9"/>
    <w:basedOn w:val="BodyText"/>
    <w:uiPriority w:val="59"/>
    <w:rsid w:val="00971EE3"/>
    <w:pPr>
      <w:numPr>
        <w:ilvl w:val="8"/>
        <w:numId w:val="25"/>
      </w:numPr>
    </w:pPr>
  </w:style>
  <w:style w:type="paragraph" w:customStyle="1" w:styleId="BBScheduleHeading2">
    <w:name w:val="B&amp;B Schedule Heading 2"/>
    <w:basedOn w:val="BBSchedule2"/>
    <w:next w:val="BBBodyTextIndent2"/>
    <w:uiPriority w:val="49"/>
    <w:rsid w:val="00852CC1"/>
    <w:rPr>
      <w:b/>
    </w:rPr>
  </w:style>
  <w:style w:type="paragraph" w:customStyle="1" w:styleId="BBScheduleHeading3">
    <w:name w:val="B&amp;B Schedule Heading 3"/>
    <w:basedOn w:val="BBSchedule3"/>
    <w:next w:val="BBBodyTextIndent3"/>
    <w:uiPriority w:val="49"/>
    <w:rsid w:val="00852CC1"/>
    <w:rPr>
      <w:b/>
    </w:rPr>
  </w:style>
  <w:style w:type="paragraph" w:customStyle="1" w:styleId="BBScheduleHeading4">
    <w:name w:val="B&amp;B Schedule Heading 4"/>
    <w:basedOn w:val="BBSchedule4"/>
    <w:next w:val="BBBodyTextIndent4"/>
    <w:uiPriority w:val="49"/>
    <w:rsid w:val="00852CC1"/>
    <w:rPr>
      <w:b/>
    </w:rPr>
  </w:style>
  <w:style w:type="paragraph" w:customStyle="1" w:styleId="BBScheduleHeading5">
    <w:name w:val="B&amp;B Schedule Heading 5"/>
    <w:basedOn w:val="BBSchedule5"/>
    <w:next w:val="BBBodyTextIndent5"/>
    <w:uiPriority w:val="49"/>
    <w:rsid w:val="008B5C15"/>
    <w:pPr>
      <w:keepNext/>
    </w:pPr>
    <w:rPr>
      <w:b/>
    </w:rPr>
  </w:style>
  <w:style w:type="paragraph" w:customStyle="1" w:styleId="BBScheduleHeading6">
    <w:name w:val="B&amp;B Schedule Heading 6"/>
    <w:basedOn w:val="BBSchedule6"/>
    <w:next w:val="BBBodyTextIndent6"/>
    <w:uiPriority w:val="49"/>
    <w:rsid w:val="00852CC1"/>
    <w:rPr>
      <w:b/>
    </w:rPr>
  </w:style>
  <w:style w:type="paragraph" w:customStyle="1" w:styleId="BBScheduleHeading7">
    <w:name w:val="B&amp;B Schedule Heading 7"/>
    <w:basedOn w:val="BBSchedule7"/>
    <w:next w:val="BBBodyTextIndent7"/>
    <w:uiPriority w:val="49"/>
    <w:rsid w:val="00852CC1"/>
    <w:rPr>
      <w:b/>
    </w:rPr>
  </w:style>
  <w:style w:type="paragraph" w:customStyle="1" w:styleId="BBScheduleHeading8">
    <w:name w:val="B&amp;B Schedule Heading 8"/>
    <w:basedOn w:val="BBSchedule8"/>
    <w:next w:val="BBBodyTextIndent8"/>
    <w:uiPriority w:val="49"/>
    <w:rsid w:val="00852CC1"/>
    <w:rPr>
      <w:b/>
    </w:rPr>
  </w:style>
  <w:style w:type="paragraph" w:customStyle="1" w:styleId="BBScheduleHeading9">
    <w:name w:val="B&amp;B Schedule Heading 9"/>
    <w:basedOn w:val="BBSchedule9"/>
    <w:next w:val="BBBodyTextIndent9"/>
    <w:uiPriority w:val="49"/>
    <w:rsid w:val="00852CC1"/>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4"/>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paragraph" w:styleId="ListParagraph">
    <w:name w:val="List Paragraph"/>
    <w:basedOn w:val="Normal"/>
    <w:uiPriority w:val="34"/>
    <w:semiHidden/>
    <w:qFormat/>
    <w:rsid w:val="007A55C9"/>
    <w:pPr>
      <w:ind w:left="720"/>
      <w:contextualSpacing/>
    </w:pPr>
  </w:style>
  <w:style w:type="character" w:styleId="FootnoteReference">
    <w:name w:val="footnote reference"/>
    <w:basedOn w:val="DefaultParagraphFont"/>
    <w:uiPriority w:val="99"/>
    <w:semiHidden/>
    <w:rsid w:val="008B0518"/>
    <w:rPr>
      <w:vertAlign w:val="superscript"/>
    </w:rPr>
  </w:style>
  <w:style w:type="character" w:styleId="Hyperlink">
    <w:name w:val="Hyperlink"/>
    <w:basedOn w:val="DefaultParagraphFont"/>
    <w:uiPriority w:val="99"/>
    <w:unhideWhenUsed/>
    <w:rsid w:val="00074B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9692">
      <w:bodyDiv w:val="1"/>
      <w:marLeft w:val="0"/>
      <w:marRight w:val="0"/>
      <w:marTop w:val="0"/>
      <w:marBottom w:val="0"/>
      <w:divBdr>
        <w:top w:val="none" w:sz="0" w:space="0" w:color="auto"/>
        <w:left w:val="none" w:sz="0" w:space="0" w:color="auto"/>
        <w:bottom w:val="none" w:sz="0" w:space="0" w:color="auto"/>
        <w:right w:val="none" w:sz="0" w:space="0" w:color="auto"/>
      </w:divBdr>
    </w:div>
    <w:div w:id="221404122">
      <w:bodyDiv w:val="1"/>
      <w:marLeft w:val="0"/>
      <w:marRight w:val="0"/>
      <w:marTop w:val="0"/>
      <w:marBottom w:val="0"/>
      <w:divBdr>
        <w:top w:val="none" w:sz="0" w:space="0" w:color="auto"/>
        <w:left w:val="none" w:sz="0" w:space="0" w:color="auto"/>
        <w:bottom w:val="none" w:sz="0" w:space="0" w:color="auto"/>
        <w:right w:val="none" w:sz="0" w:space="0" w:color="auto"/>
      </w:divBdr>
    </w:div>
    <w:div w:id="388571777">
      <w:bodyDiv w:val="1"/>
      <w:marLeft w:val="0"/>
      <w:marRight w:val="0"/>
      <w:marTop w:val="0"/>
      <w:marBottom w:val="0"/>
      <w:divBdr>
        <w:top w:val="none" w:sz="0" w:space="0" w:color="auto"/>
        <w:left w:val="none" w:sz="0" w:space="0" w:color="auto"/>
        <w:bottom w:val="none" w:sz="0" w:space="0" w:color="auto"/>
        <w:right w:val="none" w:sz="0" w:space="0" w:color="auto"/>
      </w:divBdr>
    </w:div>
    <w:div w:id="522134100">
      <w:bodyDiv w:val="1"/>
      <w:marLeft w:val="0"/>
      <w:marRight w:val="0"/>
      <w:marTop w:val="0"/>
      <w:marBottom w:val="0"/>
      <w:divBdr>
        <w:top w:val="none" w:sz="0" w:space="0" w:color="auto"/>
        <w:left w:val="none" w:sz="0" w:space="0" w:color="auto"/>
        <w:bottom w:val="none" w:sz="0" w:space="0" w:color="auto"/>
        <w:right w:val="none" w:sz="0" w:space="0" w:color="auto"/>
      </w:divBdr>
    </w:div>
    <w:div w:id="750468902">
      <w:bodyDiv w:val="1"/>
      <w:marLeft w:val="0"/>
      <w:marRight w:val="0"/>
      <w:marTop w:val="0"/>
      <w:marBottom w:val="0"/>
      <w:divBdr>
        <w:top w:val="none" w:sz="0" w:space="0" w:color="auto"/>
        <w:left w:val="none" w:sz="0" w:space="0" w:color="auto"/>
        <w:bottom w:val="none" w:sz="0" w:space="0" w:color="auto"/>
        <w:right w:val="none" w:sz="0" w:space="0" w:color="auto"/>
      </w:divBdr>
    </w:div>
    <w:div w:id="1161849238">
      <w:bodyDiv w:val="1"/>
      <w:marLeft w:val="0"/>
      <w:marRight w:val="0"/>
      <w:marTop w:val="0"/>
      <w:marBottom w:val="0"/>
      <w:divBdr>
        <w:top w:val="none" w:sz="0" w:space="0" w:color="auto"/>
        <w:left w:val="none" w:sz="0" w:space="0" w:color="auto"/>
        <w:bottom w:val="none" w:sz="0" w:space="0" w:color="auto"/>
        <w:right w:val="none" w:sz="0" w:space="0" w:color="auto"/>
      </w:divBdr>
    </w:div>
    <w:div w:id="1287925250">
      <w:bodyDiv w:val="1"/>
      <w:marLeft w:val="0"/>
      <w:marRight w:val="0"/>
      <w:marTop w:val="0"/>
      <w:marBottom w:val="0"/>
      <w:divBdr>
        <w:top w:val="none" w:sz="0" w:space="0" w:color="auto"/>
        <w:left w:val="none" w:sz="0" w:space="0" w:color="auto"/>
        <w:bottom w:val="none" w:sz="0" w:space="0" w:color="auto"/>
        <w:right w:val="none" w:sz="0" w:space="0" w:color="auto"/>
      </w:divBdr>
    </w:div>
    <w:div w:id="1344280318">
      <w:bodyDiv w:val="1"/>
      <w:marLeft w:val="0"/>
      <w:marRight w:val="0"/>
      <w:marTop w:val="0"/>
      <w:marBottom w:val="0"/>
      <w:divBdr>
        <w:top w:val="none" w:sz="0" w:space="0" w:color="auto"/>
        <w:left w:val="none" w:sz="0" w:space="0" w:color="auto"/>
        <w:bottom w:val="none" w:sz="0" w:space="0" w:color="auto"/>
        <w:right w:val="none" w:sz="0" w:space="0" w:color="auto"/>
      </w:divBdr>
    </w:div>
    <w:div w:id="1462000394">
      <w:bodyDiv w:val="1"/>
      <w:marLeft w:val="0"/>
      <w:marRight w:val="0"/>
      <w:marTop w:val="0"/>
      <w:marBottom w:val="0"/>
      <w:divBdr>
        <w:top w:val="none" w:sz="0" w:space="0" w:color="auto"/>
        <w:left w:val="none" w:sz="0" w:space="0" w:color="auto"/>
        <w:bottom w:val="none" w:sz="0" w:space="0" w:color="auto"/>
        <w:right w:val="none" w:sz="0" w:space="0" w:color="auto"/>
      </w:divBdr>
    </w:div>
    <w:div w:id="1528524001">
      <w:bodyDiv w:val="1"/>
      <w:marLeft w:val="0"/>
      <w:marRight w:val="0"/>
      <w:marTop w:val="0"/>
      <w:marBottom w:val="0"/>
      <w:divBdr>
        <w:top w:val="none" w:sz="0" w:space="0" w:color="auto"/>
        <w:left w:val="none" w:sz="0" w:space="0" w:color="auto"/>
        <w:bottom w:val="none" w:sz="0" w:space="0" w:color="auto"/>
        <w:right w:val="none" w:sz="0" w:space="0" w:color="auto"/>
      </w:divBdr>
    </w:div>
    <w:div w:id="1599681110">
      <w:bodyDiv w:val="1"/>
      <w:marLeft w:val="0"/>
      <w:marRight w:val="0"/>
      <w:marTop w:val="0"/>
      <w:marBottom w:val="0"/>
      <w:divBdr>
        <w:top w:val="none" w:sz="0" w:space="0" w:color="auto"/>
        <w:left w:val="none" w:sz="0" w:space="0" w:color="auto"/>
        <w:bottom w:val="none" w:sz="0" w:space="0" w:color="auto"/>
        <w:right w:val="none" w:sz="0" w:space="0" w:color="auto"/>
      </w:divBdr>
    </w:div>
    <w:div w:id="1957253712">
      <w:bodyDiv w:val="1"/>
      <w:marLeft w:val="0"/>
      <w:marRight w:val="0"/>
      <w:marTop w:val="0"/>
      <w:marBottom w:val="0"/>
      <w:divBdr>
        <w:top w:val="none" w:sz="0" w:space="0" w:color="auto"/>
        <w:left w:val="none" w:sz="0" w:space="0" w:color="auto"/>
        <w:bottom w:val="none" w:sz="0" w:space="0" w:color="auto"/>
        <w:right w:val="none" w:sz="0" w:space="0" w:color="auto"/>
      </w:divBdr>
    </w:div>
    <w:div w:id="2059238288">
      <w:bodyDiv w:val="1"/>
      <w:marLeft w:val="0"/>
      <w:marRight w:val="0"/>
      <w:marTop w:val="0"/>
      <w:marBottom w:val="0"/>
      <w:divBdr>
        <w:top w:val="none" w:sz="0" w:space="0" w:color="auto"/>
        <w:left w:val="none" w:sz="0" w:space="0" w:color="auto"/>
        <w:bottom w:val="none" w:sz="0" w:space="0" w:color="auto"/>
        <w:right w:val="none" w:sz="0" w:space="0" w:color="auto"/>
      </w:divBdr>
    </w:div>
    <w:div w:id="2109697092">
      <w:bodyDiv w:val="1"/>
      <w:marLeft w:val="0"/>
      <w:marRight w:val="0"/>
      <w:marTop w:val="0"/>
      <w:marBottom w:val="0"/>
      <w:divBdr>
        <w:top w:val="none" w:sz="0" w:space="0" w:color="auto"/>
        <w:left w:val="none" w:sz="0" w:space="0" w:color="auto"/>
        <w:bottom w:val="none" w:sz="0" w:space="0" w:color="auto"/>
        <w:right w:val="none" w:sz="0" w:space="0" w:color="auto"/>
      </w:divBdr>
    </w:div>
    <w:div w:id="21136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company.com" TargetMode="External"/><Relationship Id="rId4" Type="http://schemas.microsoft.com/office/2007/relationships/stylesWithEffects" Target="stylesWithEffects.xml"/><Relationship Id="rId9" Type="http://schemas.openxmlformats.org/officeDocument/2006/relationships/hyperlink" Target="mailto:firstname.lastname@company.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A72B-F3FD-4217-AF1F-DA87EEA1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1926</Words>
  <Characters>10906</Characters>
  <Application>Microsoft Office Word</Application>
  <DocSecurity>0</DocSecurity>
  <Lines>167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Bird &amp; Bird</cp:lastModifiedBy>
  <cp:revision>2</cp:revision>
  <dcterms:created xsi:type="dcterms:W3CDTF">2019-01-25T19:26:00Z</dcterms:created>
  <dcterms:modified xsi:type="dcterms:W3CDTF">2019-01-25T19:26:00Z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Matters\45329730.1</vt:lpwstr>
  </property>
  <property fmtid="{D5CDD505-2E9C-101B-9397-08002B2CF9AE}" pid="3" name="bbFooterStyle">
    <vt:lpwstr>SHORT</vt:lpwstr>
  </property>
</Properties>
</file>