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31CA9" w14:textId="77777777" w:rsidR="00364763" w:rsidRDefault="00176258" w:rsidP="00A56645">
      <w:pPr>
        <w:pStyle w:val="MemoHeading"/>
        <w:widowControl w:val="0"/>
        <w:spacing w:after="0"/>
        <w:rPr>
          <w:rFonts w:asciiTheme="majorHAnsi" w:hAnsiTheme="majorHAnsi"/>
        </w:rPr>
      </w:pPr>
      <w:bookmarkStart w:id="0" w:name="bmkMemoHeading"/>
      <w:r w:rsidRPr="00AA3723">
        <w:rPr>
          <w:rFonts w:asciiTheme="majorHAnsi" w:hAnsiTheme="majorHAnsi"/>
        </w:rPr>
        <w:t>MEMORANDUM</w:t>
      </w:r>
      <w:bookmarkEnd w:id="0"/>
    </w:p>
    <w:p w14:paraId="5452347C" w14:textId="77777777" w:rsidR="0076518C" w:rsidRDefault="0076518C" w:rsidP="0076518C">
      <w:pPr>
        <w:pStyle w:val="BodyText"/>
      </w:pPr>
    </w:p>
    <w:p w14:paraId="70B44CBD" w14:textId="77777777" w:rsidR="0076518C" w:rsidRPr="0076518C" w:rsidRDefault="0076518C" w:rsidP="0076518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236"/>
      </w:tblGrid>
      <w:tr w:rsidR="00027C51" w:rsidRPr="00AA3723" w14:paraId="1354A0F1" w14:textId="77777777" w:rsidTr="00176258">
        <w:tc>
          <w:tcPr>
            <w:tcW w:w="2050" w:type="dxa"/>
          </w:tcPr>
          <w:p w14:paraId="3C6F3B1D" w14:textId="77777777" w:rsidR="00364763" w:rsidRPr="00AA3723" w:rsidRDefault="00176258" w:rsidP="00A56645">
            <w:pPr>
              <w:pStyle w:val="BBBodyTextNoSpacing"/>
              <w:widowControl w:val="0"/>
              <w:rPr>
                <w:rFonts w:asciiTheme="majorHAnsi" w:hAnsiTheme="majorHAnsi"/>
                <w:b/>
              </w:rPr>
            </w:pPr>
            <w:bookmarkStart w:id="1" w:name="labTo"/>
            <w:r w:rsidRPr="00AA3723">
              <w:rPr>
                <w:rFonts w:asciiTheme="majorHAnsi" w:hAnsiTheme="majorHAnsi"/>
                <w:b/>
              </w:rPr>
              <w:t>To</w:t>
            </w:r>
            <w:bookmarkEnd w:id="1"/>
            <w:r w:rsidR="00364763" w:rsidRPr="00AA3723">
              <w:rPr>
                <w:rFonts w:asciiTheme="majorHAnsi" w:hAnsiTheme="majorHAnsi"/>
                <w:b/>
              </w:rPr>
              <w:t>:</w:t>
            </w:r>
          </w:p>
        </w:tc>
        <w:tc>
          <w:tcPr>
            <w:tcW w:w="7236" w:type="dxa"/>
          </w:tcPr>
          <w:p w14:paraId="123B9876" w14:textId="77777777" w:rsidR="00364763" w:rsidRPr="00AA3723" w:rsidRDefault="00176258" w:rsidP="00A56645">
            <w:pPr>
              <w:pStyle w:val="BBBodyTextNoSpacing"/>
              <w:widowControl w:val="0"/>
              <w:rPr>
                <w:rFonts w:asciiTheme="majorHAnsi" w:hAnsiTheme="majorHAnsi"/>
              </w:rPr>
            </w:pPr>
            <w:bookmarkStart w:id="2" w:name="bmkTo"/>
            <w:r w:rsidRPr="00AA3723">
              <w:rPr>
                <w:rFonts w:asciiTheme="majorHAnsi" w:hAnsiTheme="majorHAnsi"/>
              </w:rPr>
              <w:t>Internet Corporation for Assigned Names and Numbers</w:t>
            </w:r>
            <w:bookmarkEnd w:id="2"/>
            <w:r w:rsidR="00B64626" w:rsidRPr="00AA3723">
              <w:rPr>
                <w:rFonts w:asciiTheme="majorHAnsi" w:hAnsiTheme="majorHAnsi"/>
              </w:rPr>
              <w:t>, EPDP Team</w:t>
            </w:r>
          </w:p>
        </w:tc>
      </w:tr>
      <w:tr w:rsidR="00027C51" w:rsidRPr="00AA3723" w14:paraId="482C912A" w14:textId="77777777" w:rsidTr="00176258">
        <w:tc>
          <w:tcPr>
            <w:tcW w:w="2050" w:type="dxa"/>
          </w:tcPr>
          <w:p w14:paraId="30AEE843" w14:textId="77777777" w:rsidR="00364763" w:rsidRPr="001B35BD" w:rsidRDefault="00176258" w:rsidP="00A56645">
            <w:pPr>
              <w:pStyle w:val="BBBodyTextNoSpacing"/>
              <w:widowControl w:val="0"/>
              <w:rPr>
                <w:rFonts w:asciiTheme="majorHAnsi" w:hAnsiTheme="majorHAnsi"/>
                <w:b/>
              </w:rPr>
            </w:pPr>
            <w:bookmarkStart w:id="3" w:name="labFrom"/>
            <w:r w:rsidRPr="00AA3723">
              <w:rPr>
                <w:rFonts w:asciiTheme="majorHAnsi" w:hAnsiTheme="majorHAnsi"/>
                <w:b/>
              </w:rPr>
              <w:t>From</w:t>
            </w:r>
            <w:bookmarkEnd w:id="3"/>
            <w:r w:rsidR="00364763" w:rsidRPr="00AA3723">
              <w:rPr>
                <w:rFonts w:asciiTheme="majorHAnsi" w:hAnsiTheme="majorHAnsi"/>
                <w:b/>
              </w:rPr>
              <w:t>:</w:t>
            </w:r>
          </w:p>
        </w:tc>
        <w:tc>
          <w:tcPr>
            <w:tcW w:w="7236" w:type="dxa"/>
          </w:tcPr>
          <w:p w14:paraId="41111A59" w14:textId="77777777" w:rsidR="00364763" w:rsidRPr="00AA3723" w:rsidRDefault="00176258" w:rsidP="00A56645">
            <w:pPr>
              <w:pStyle w:val="BBBodyTextNoSpacing"/>
              <w:widowControl w:val="0"/>
              <w:rPr>
                <w:rFonts w:asciiTheme="majorHAnsi" w:hAnsiTheme="majorHAnsi"/>
              </w:rPr>
            </w:pPr>
            <w:bookmarkStart w:id="4" w:name="bmkFrom"/>
            <w:r w:rsidRPr="00AA3723">
              <w:rPr>
                <w:rFonts w:asciiTheme="majorHAnsi" w:hAnsiTheme="majorHAnsi"/>
              </w:rPr>
              <w:t>Ruth Boardman</w:t>
            </w:r>
            <w:bookmarkEnd w:id="4"/>
            <w:r w:rsidR="00B64626" w:rsidRPr="00AA3723">
              <w:rPr>
                <w:rFonts w:asciiTheme="majorHAnsi" w:hAnsiTheme="majorHAnsi"/>
              </w:rPr>
              <w:t xml:space="preserve"> &amp; Gabe Maldoff</w:t>
            </w:r>
          </w:p>
        </w:tc>
      </w:tr>
      <w:tr w:rsidR="00027C51" w:rsidRPr="00AA3723" w14:paraId="6B57A894" w14:textId="77777777" w:rsidTr="00176258">
        <w:tc>
          <w:tcPr>
            <w:tcW w:w="2050" w:type="dxa"/>
          </w:tcPr>
          <w:p w14:paraId="70C9C103" w14:textId="77777777" w:rsidR="00364763" w:rsidRPr="001B35BD" w:rsidRDefault="00176258" w:rsidP="00A56645">
            <w:pPr>
              <w:pStyle w:val="BBBodyTextNoSpacing"/>
              <w:widowControl w:val="0"/>
              <w:rPr>
                <w:rFonts w:asciiTheme="majorHAnsi" w:hAnsiTheme="majorHAnsi"/>
                <w:b/>
              </w:rPr>
            </w:pPr>
            <w:bookmarkStart w:id="5" w:name="labDate"/>
            <w:r w:rsidRPr="00AA3723">
              <w:rPr>
                <w:rFonts w:asciiTheme="majorHAnsi" w:hAnsiTheme="majorHAnsi"/>
                <w:b/>
              </w:rPr>
              <w:t>Date</w:t>
            </w:r>
            <w:bookmarkEnd w:id="5"/>
            <w:r w:rsidR="00364763" w:rsidRPr="00AA3723">
              <w:rPr>
                <w:rFonts w:asciiTheme="majorHAnsi" w:hAnsiTheme="majorHAnsi"/>
                <w:b/>
              </w:rPr>
              <w:t>:</w:t>
            </w:r>
          </w:p>
        </w:tc>
        <w:tc>
          <w:tcPr>
            <w:tcW w:w="7236" w:type="dxa"/>
          </w:tcPr>
          <w:p w14:paraId="06FE783E" w14:textId="7132572E" w:rsidR="00364763" w:rsidRPr="00AA3723" w:rsidRDefault="00742A25" w:rsidP="0076518C">
            <w:pPr>
              <w:pStyle w:val="BBBodyTextNoSpacing"/>
              <w:widowControl w:val="0"/>
              <w:rPr>
                <w:rFonts w:asciiTheme="majorHAnsi" w:hAnsiTheme="majorHAnsi"/>
              </w:rPr>
            </w:pPr>
            <w:bookmarkStart w:id="6" w:name="bmkDate"/>
            <w:r>
              <w:rPr>
                <w:rFonts w:asciiTheme="majorHAnsi" w:hAnsiTheme="majorHAnsi"/>
              </w:rPr>
              <w:t>8</w:t>
            </w:r>
            <w:r w:rsidR="0082729F">
              <w:rPr>
                <w:rFonts w:asciiTheme="majorHAnsi" w:hAnsiTheme="majorHAnsi"/>
              </w:rPr>
              <w:t xml:space="preserve"> February</w:t>
            </w:r>
            <w:r w:rsidR="00176258" w:rsidRPr="00AA3723">
              <w:rPr>
                <w:rFonts w:asciiTheme="majorHAnsi" w:hAnsiTheme="majorHAnsi"/>
              </w:rPr>
              <w:t xml:space="preserve"> 2019</w:t>
            </w:r>
            <w:bookmarkEnd w:id="6"/>
          </w:p>
        </w:tc>
      </w:tr>
      <w:tr w:rsidR="00027C51" w:rsidRPr="00AA3723" w14:paraId="30069BA1" w14:textId="77777777" w:rsidTr="00176258">
        <w:tc>
          <w:tcPr>
            <w:tcW w:w="2050" w:type="dxa"/>
          </w:tcPr>
          <w:p w14:paraId="1CEB2F9A" w14:textId="77777777" w:rsidR="00364763" w:rsidRPr="001B35BD" w:rsidRDefault="00176258" w:rsidP="00A56645">
            <w:pPr>
              <w:pStyle w:val="BBBodyTextNoSpacing"/>
              <w:widowControl w:val="0"/>
              <w:rPr>
                <w:rFonts w:asciiTheme="majorHAnsi" w:hAnsiTheme="majorHAnsi"/>
                <w:b/>
              </w:rPr>
            </w:pPr>
            <w:bookmarkStart w:id="7" w:name="labRe"/>
            <w:r w:rsidRPr="00AA3723">
              <w:rPr>
                <w:rFonts w:asciiTheme="majorHAnsi" w:hAnsiTheme="majorHAnsi"/>
                <w:b/>
              </w:rPr>
              <w:t>Subject</w:t>
            </w:r>
            <w:bookmarkEnd w:id="7"/>
            <w:r w:rsidR="00364763" w:rsidRPr="00AA3723">
              <w:rPr>
                <w:rFonts w:asciiTheme="majorHAnsi" w:hAnsiTheme="majorHAnsi"/>
                <w:b/>
              </w:rPr>
              <w:t>:</w:t>
            </w:r>
          </w:p>
        </w:tc>
        <w:tc>
          <w:tcPr>
            <w:tcW w:w="7236" w:type="dxa"/>
          </w:tcPr>
          <w:p w14:paraId="058DE7E9" w14:textId="7A0FD0E8" w:rsidR="00364763" w:rsidRPr="00AA3723" w:rsidRDefault="00176258" w:rsidP="00742A25">
            <w:pPr>
              <w:pStyle w:val="BBBodyTextNoSpacing"/>
              <w:widowControl w:val="0"/>
              <w:rPr>
                <w:rFonts w:asciiTheme="majorHAnsi" w:hAnsiTheme="majorHAnsi"/>
              </w:rPr>
            </w:pPr>
            <w:bookmarkStart w:id="8" w:name="bmkRe"/>
            <w:r w:rsidRPr="00AA3723">
              <w:rPr>
                <w:rFonts w:asciiTheme="majorHAnsi" w:hAnsiTheme="majorHAnsi"/>
              </w:rPr>
              <w:t xml:space="preserve">Advice on </w:t>
            </w:r>
            <w:r w:rsidR="0082729F">
              <w:rPr>
                <w:rFonts w:asciiTheme="majorHAnsi" w:hAnsiTheme="majorHAnsi"/>
              </w:rPr>
              <w:t xml:space="preserve">the meaning of the </w:t>
            </w:r>
            <w:r w:rsidR="00742A25">
              <w:rPr>
                <w:rFonts w:asciiTheme="majorHAnsi" w:hAnsiTheme="majorHAnsi"/>
              </w:rPr>
              <w:t>a</w:t>
            </w:r>
            <w:r w:rsidR="0082729F">
              <w:rPr>
                <w:rFonts w:asciiTheme="majorHAnsi" w:hAnsiTheme="majorHAnsi"/>
              </w:rPr>
              <w:t xml:space="preserve">ccuracy </w:t>
            </w:r>
            <w:r w:rsidR="00742A25">
              <w:rPr>
                <w:rFonts w:asciiTheme="majorHAnsi" w:hAnsiTheme="majorHAnsi"/>
              </w:rPr>
              <w:t>p</w:t>
            </w:r>
            <w:r w:rsidR="0082729F">
              <w:rPr>
                <w:rFonts w:asciiTheme="majorHAnsi" w:hAnsiTheme="majorHAnsi"/>
              </w:rPr>
              <w:t>rinciple</w:t>
            </w:r>
            <w:r w:rsidR="009F729E">
              <w:rPr>
                <w:rFonts w:asciiTheme="majorHAnsi" w:hAnsiTheme="majorHAnsi"/>
              </w:rPr>
              <w:t xml:space="preserve"> </w:t>
            </w:r>
            <w:r w:rsidR="009322FE">
              <w:rPr>
                <w:rFonts w:asciiTheme="majorHAnsi" w:hAnsiTheme="majorHAnsi"/>
              </w:rPr>
              <w:t xml:space="preserve">pursuant to </w:t>
            </w:r>
            <w:r w:rsidRPr="00AA3723">
              <w:rPr>
                <w:rFonts w:asciiTheme="majorHAnsi" w:hAnsiTheme="majorHAnsi"/>
              </w:rPr>
              <w:t>the General Data Protection Regul</w:t>
            </w:r>
            <w:r w:rsidR="00207DB5">
              <w:rPr>
                <w:rFonts w:asciiTheme="majorHAnsi" w:hAnsiTheme="majorHAnsi"/>
              </w:rPr>
              <w:t>ation (Regulation (EU) 2016/679)</w:t>
            </w:r>
            <w:r w:rsidRPr="00AA3723">
              <w:rPr>
                <w:rFonts w:asciiTheme="majorHAnsi" w:hAnsiTheme="majorHAnsi"/>
              </w:rPr>
              <w:t xml:space="preserve"> </w:t>
            </w:r>
            <w:r w:rsidR="00207DB5">
              <w:rPr>
                <w:rFonts w:asciiTheme="majorHAnsi" w:hAnsiTheme="majorHAnsi"/>
              </w:rPr>
              <w:t>(</w:t>
            </w:r>
            <w:r w:rsidRPr="00AA3723">
              <w:rPr>
                <w:rFonts w:asciiTheme="majorHAnsi" w:hAnsiTheme="majorHAnsi"/>
              </w:rPr>
              <w:t>"GDPR")</w:t>
            </w:r>
            <w:bookmarkEnd w:id="8"/>
          </w:p>
        </w:tc>
      </w:tr>
    </w:tbl>
    <w:p w14:paraId="088D3BFE" w14:textId="77777777" w:rsidR="00D42BAE" w:rsidRPr="00AA3723" w:rsidRDefault="00D42BAE" w:rsidP="00A56645">
      <w:pPr>
        <w:widowControl w:val="0"/>
        <w:pBdr>
          <w:bottom w:val="single" w:sz="12" w:space="1" w:color="auto"/>
        </w:pBdr>
        <w:spacing w:after="0"/>
        <w:rPr>
          <w:rFonts w:asciiTheme="majorHAnsi" w:eastAsia="Calibri" w:hAnsiTheme="majorHAnsi" w:cs="Calibri"/>
          <w:sz w:val="20"/>
        </w:rPr>
      </w:pPr>
    </w:p>
    <w:p w14:paraId="2D434435" w14:textId="77777777" w:rsidR="007A55C9" w:rsidRPr="00AA3723" w:rsidRDefault="007A55C9" w:rsidP="00A56645">
      <w:pPr>
        <w:widowControl w:val="0"/>
        <w:autoSpaceDE w:val="0"/>
        <w:autoSpaceDN w:val="0"/>
        <w:spacing w:after="0"/>
        <w:rPr>
          <w:rFonts w:asciiTheme="majorHAnsi" w:eastAsia="Calibri" w:hAnsiTheme="majorHAnsi" w:cs="Calibri"/>
          <w:szCs w:val="22"/>
        </w:rPr>
      </w:pPr>
    </w:p>
    <w:p w14:paraId="089C834B" w14:textId="77777777" w:rsidR="007A55C9" w:rsidRPr="00AA3723" w:rsidRDefault="007A55C9" w:rsidP="00A56645">
      <w:pPr>
        <w:widowControl w:val="0"/>
        <w:autoSpaceDE w:val="0"/>
        <w:autoSpaceDN w:val="0"/>
        <w:spacing w:after="0"/>
        <w:rPr>
          <w:rFonts w:asciiTheme="majorHAnsi" w:eastAsia="Calibri" w:hAnsiTheme="majorHAnsi" w:cs="Calibri"/>
          <w:szCs w:val="22"/>
        </w:rPr>
      </w:pPr>
    </w:p>
    <w:p w14:paraId="77658625" w14:textId="08A59E5E" w:rsidR="007A55C9" w:rsidRPr="00AA3723" w:rsidRDefault="0082729F" w:rsidP="00A56645">
      <w:pPr>
        <w:widowControl w:val="0"/>
        <w:autoSpaceDE w:val="0"/>
        <w:autoSpaceDN w:val="0"/>
        <w:spacing w:after="0"/>
        <w:rPr>
          <w:rFonts w:asciiTheme="majorHAnsi" w:eastAsia="Calibri" w:hAnsiTheme="majorHAnsi" w:cs="Calibri"/>
          <w:b/>
          <w:szCs w:val="22"/>
        </w:rPr>
      </w:pPr>
      <w:r>
        <w:rPr>
          <w:rFonts w:asciiTheme="majorHAnsi" w:eastAsia="Calibri" w:hAnsiTheme="majorHAnsi" w:cs="Calibri"/>
          <w:b/>
          <w:szCs w:val="22"/>
        </w:rPr>
        <w:t>Question Presented</w:t>
      </w:r>
    </w:p>
    <w:p w14:paraId="0CD83899" w14:textId="77777777" w:rsidR="007A55C9" w:rsidRPr="00AA3723" w:rsidRDefault="007A55C9" w:rsidP="00A56645">
      <w:pPr>
        <w:widowControl w:val="0"/>
        <w:autoSpaceDE w:val="0"/>
        <w:autoSpaceDN w:val="0"/>
        <w:spacing w:after="0"/>
        <w:rPr>
          <w:rFonts w:asciiTheme="majorHAnsi" w:eastAsia="Calibri" w:hAnsiTheme="majorHAnsi" w:cs="Calibri"/>
          <w:b/>
          <w:szCs w:val="22"/>
        </w:rPr>
      </w:pPr>
    </w:p>
    <w:p w14:paraId="10938C33" w14:textId="4BCE41C0" w:rsidR="0082729F" w:rsidRDefault="0082729F" w:rsidP="00BB3454">
      <w:pPr>
        <w:widowControl w:val="0"/>
        <w:numPr>
          <w:ilvl w:val="0"/>
          <w:numId w:val="7"/>
        </w:numPr>
        <w:autoSpaceDE w:val="0"/>
        <w:autoSpaceDN w:val="0"/>
        <w:spacing w:after="0"/>
        <w:rPr>
          <w:rFonts w:asciiTheme="majorHAnsi" w:eastAsia="Calibri" w:hAnsiTheme="majorHAnsi" w:cs="Calibri"/>
          <w:iCs/>
          <w:szCs w:val="22"/>
        </w:rPr>
      </w:pPr>
      <w:r w:rsidRPr="0082729F">
        <w:rPr>
          <w:rFonts w:asciiTheme="majorHAnsi" w:eastAsia="Calibri" w:hAnsiTheme="majorHAnsi" w:cs="Calibri"/>
          <w:iCs/>
          <w:szCs w:val="22"/>
        </w:rPr>
        <w:t>Some EPDP Team members cite Art. 5.1(d) of</w:t>
      </w:r>
      <w:r w:rsidR="00742A25">
        <w:rPr>
          <w:rFonts w:asciiTheme="majorHAnsi" w:eastAsia="Calibri" w:hAnsiTheme="majorHAnsi" w:cs="Calibri"/>
          <w:iCs/>
          <w:szCs w:val="22"/>
        </w:rPr>
        <w:t xml:space="preserve"> the</w:t>
      </w:r>
      <w:r w:rsidRPr="0082729F">
        <w:rPr>
          <w:rFonts w:asciiTheme="majorHAnsi" w:eastAsia="Calibri" w:hAnsiTheme="majorHAnsi" w:cs="Calibri"/>
          <w:iCs/>
          <w:szCs w:val="22"/>
        </w:rPr>
        <w:t xml:space="preserve"> GDPR as a requirement for the EPDP Team to examine how accuracy is currently defined in ICANN’s 2013 Registrar Accreditation Agreement (the contract with registrars) and possibly </w:t>
      </w:r>
      <w:proofErr w:type="gramStart"/>
      <w:r w:rsidRPr="0082729F">
        <w:rPr>
          <w:rFonts w:asciiTheme="majorHAnsi" w:eastAsia="Calibri" w:hAnsiTheme="majorHAnsi" w:cs="Calibri"/>
          <w:iCs/>
          <w:szCs w:val="22"/>
        </w:rPr>
        <w:t>require</w:t>
      </w:r>
      <w:proofErr w:type="gramEnd"/>
      <w:r w:rsidRPr="0082729F">
        <w:rPr>
          <w:rFonts w:asciiTheme="majorHAnsi" w:eastAsia="Calibri" w:hAnsiTheme="majorHAnsi" w:cs="Calibri"/>
          <w:iCs/>
          <w:szCs w:val="22"/>
        </w:rPr>
        <w:t xml:space="preserve"> changes. Some EPDP Team members cite the accuracy requirement in Art. 5.1(d) GDPR as support for additional accuracy related policies, such as a requirement for registrars to validate the correctness of the data as provided by the data subject or a requirement to validate when the accuracy is being challenged. Others maintain that the Art. 5.1(d) GDPR requirement is to accurately record, maintain and process the data provided by the data subject and to update that information as informed by the data subject. Is the accuracy requirement limited to correction at the request of the data subject or is it a broader requirement? Please </w:t>
      </w:r>
      <w:proofErr w:type="gramStart"/>
      <w:r w:rsidRPr="0082729F">
        <w:rPr>
          <w:rFonts w:asciiTheme="majorHAnsi" w:eastAsia="Calibri" w:hAnsiTheme="majorHAnsi" w:cs="Calibri"/>
          <w:iCs/>
          <w:szCs w:val="22"/>
        </w:rPr>
        <w:t>advise</w:t>
      </w:r>
      <w:proofErr w:type="gramEnd"/>
      <w:r w:rsidRPr="0082729F">
        <w:rPr>
          <w:rFonts w:asciiTheme="majorHAnsi" w:eastAsia="Calibri" w:hAnsiTheme="majorHAnsi" w:cs="Calibri"/>
          <w:iCs/>
          <w:szCs w:val="22"/>
        </w:rPr>
        <w:t xml:space="preserve"> on how the accuracy requirements of GDPR impact the contracted parties and ICANN.</w:t>
      </w:r>
    </w:p>
    <w:p w14:paraId="548EFAFF" w14:textId="77777777" w:rsidR="009F729E" w:rsidRDefault="009F729E" w:rsidP="00A56645">
      <w:pPr>
        <w:widowControl w:val="0"/>
        <w:autoSpaceDE w:val="0"/>
        <w:autoSpaceDN w:val="0"/>
        <w:spacing w:after="0"/>
        <w:rPr>
          <w:rFonts w:asciiTheme="majorHAnsi" w:eastAsia="Calibri" w:hAnsiTheme="majorHAnsi" w:cs="Calibri"/>
          <w:szCs w:val="22"/>
        </w:rPr>
      </w:pPr>
    </w:p>
    <w:p w14:paraId="5FD567E1" w14:textId="14D56C7C" w:rsidR="00186923" w:rsidRDefault="003818CE" w:rsidP="00A56645">
      <w:pPr>
        <w:widowControl w:val="0"/>
        <w:autoSpaceDE w:val="0"/>
        <w:autoSpaceDN w:val="0"/>
        <w:spacing w:after="0"/>
        <w:rPr>
          <w:rFonts w:asciiTheme="majorHAnsi" w:eastAsia="Calibri" w:hAnsiTheme="majorHAnsi" w:cs="Calibri"/>
          <w:szCs w:val="22"/>
        </w:rPr>
      </w:pPr>
      <w:r>
        <w:rPr>
          <w:rFonts w:asciiTheme="majorHAnsi" w:eastAsia="Calibri" w:hAnsiTheme="majorHAnsi" w:cs="Calibri"/>
          <w:b/>
          <w:szCs w:val="22"/>
        </w:rPr>
        <w:t>Legal Background</w:t>
      </w:r>
      <w:r w:rsidR="00186923" w:rsidRPr="00186923">
        <w:rPr>
          <w:rFonts w:asciiTheme="majorHAnsi" w:eastAsia="Calibri" w:hAnsiTheme="majorHAnsi" w:cs="Calibri"/>
          <w:szCs w:val="22"/>
        </w:rPr>
        <w:t xml:space="preserve"> </w:t>
      </w:r>
    </w:p>
    <w:p w14:paraId="18FF1D40" w14:textId="77777777" w:rsidR="00186923" w:rsidRPr="00186923" w:rsidRDefault="00186923" w:rsidP="00A56645">
      <w:pPr>
        <w:widowControl w:val="0"/>
        <w:autoSpaceDE w:val="0"/>
        <w:autoSpaceDN w:val="0"/>
        <w:spacing w:after="0"/>
        <w:rPr>
          <w:rFonts w:asciiTheme="majorHAnsi" w:eastAsia="Calibri" w:hAnsiTheme="majorHAnsi" w:cs="Calibri"/>
          <w:szCs w:val="22"/>
        </w:rPr>
      </w:pPr>
    </w:p>
    <w:p w14:paraId="6EEF7FAB" w14:textId="42BD4B20" w:rsidR="00BA7D81" w:rsidRPr="00211C7F" w:rsidRDefault="00BA7D81" w:rsidP="00BB3454">
      <w:pPr>
        <w:widowControl w:val="0"/>
        <w:numPr>
          <w:ilvl w:val="0"/>
          <w:numId w:val="7"/>
        </w:numPr>
        <w:autoSpaceDE w:val="0"/>
        <w:autoSpaceDN w:val="0"/>
        <w:spacing w:after="0"/>
        <w:rPr>
          <w:rFonts w:asciiTheme="majorHAnsi" w:eastAsia="Calibri" w:hAnsiTheme="majorHAnsi" w:cs="Calibri"/>
          <w:iCs/>
          <w:szCs w:val="22"/>
          <w:lang w:val="en-US"/>
        </w:rPr>
      </w:pPr>
      <w:r>
        <w:rPr>
          <w:rFonts w:asciiTheme="majorHAnsi" w:eastAsia="Calibri" w:hAnsiTheme="majorHAnsi" w:cs="Calibri"/>
          <w:iCs/>
          <w:szCs w:val="22"/>
        </w:rPr>
        <w:t>Article 5(1)(d)</w:t>
      </w:r>
      <w:r w:rsidR="00742A25">
        <w:rPr>
          <w:rFonts w:asciiTheme="majorHAnsi" w:eastAsia="Calibri" w:hAnsiTheme="majorHAnsi" w:cs="Calibri"/>
          <w:iCs/>
          <w:szCs w:val="22"/>
        </w:rPr>
        <w:t xml:space="preserve"> (the "Accuracy Principle")</w:t>
      </w:r>
      <w:r>
        <w:rPr>
          <w:rFonts w:asciiTheme="majorHAnsi" w:eastAsia="Calibri" w:hAnsiTheme="majorHAnsi" w:cs="Calibri"/>
          <w:iCs/>
          <w:szCs w:val="22"/>
        </w:rPr>
        <w:t xml:space="preserve"> sta</w:t>
      </w:r>
      <w:r w:rsidR="0082729F">
        <w:rPr>
          <w:rFonts w:asciiTheme="majorHAnsi" w:eastAsia="Calibri" w:hAnsiTheme="majorHAnsi" w:cs="Calibri"/>
          <w:iCs/>
          <w:szCs w:val="22"/>
        </w:rPr>
        <w:t>tes that personal data must be "</w:t>
      </w:r>
      <w:r w:rsidRPr="00BA7D81">
        <w:rPr>
          <w:rFonts w:asciiTheme="majorHAnsi" w:eastAsia="Calibri" w:hAnsiTheme="majorHAnsi" w:cs="Calibri"/>
          <w:i/>
          <w:iCs/>
          <w:szCs w:val="22"/>
          <w:lang w:val="en-US"/>
        </w:rPr>
        <w:t xml:space="preserve">accurate and, where necessary, kept up to date; every reasonable step must be taken to ensure that personal data that are inaccurate, having regard to the purposes for </w:t>
      </w:r>
      <w:r w:rsidRPr="00211C7F">
        <w:rPr>
          <w:rFonts w:asciiTheme="majorHAnsi" w:eastAsia="Calibri" w:hAnsiTheme="majorHAnsi" w:cs="Calibri"/>
          <w:i/>
          <w:iCs/>
          <w:szCs w:val="22"/>
          <w:lang w:val="en-US"/>
        </w:rPr>
        <w:t>which they are processed, are erased or rectified without delay</w:t>
      </w:r>
      <w:r w:rsidR="0082729F" w:rsidRPr="00211C7F">
        <w:rPr>
          <w:rFonts w:asciiTheme="majorHAnsi" w:eastAsia="Calibri" w:hAnsiTheme="majorHAnsi" w:cs="Calibri"/>
          <w:iCs/>
          <w:szCs w:val="22"/>
          <w:lang w:val="en-US"/>
        </w:rPr>
        <w:t>"</w:t>
      </w:r>
      <w:r w:rsidRPr="00211C7F">
        <w:rPr>
          <w:rFonts w:asciiTheme="majorHAnsi" w:eastAsia="Calibri" w:hAnsiTheme="majorHAnsi" w:cs="Calibri"/>
          <w:iCs/>
          <w:szCs w:val="22"/>
          <w:lang w:val="en-US"/>
        </w:rPr>
        <w:t>.</w:t>
      </w:r>
    </w:p>
    <w:p w14:paraId="2EF0DF6C" w14:textId="77777777" w:rsidR="00BA7D81" w:rsidRPr="00211C7F" w:rsidRDefault="00BA7D81" w:rsidP="00A56645">
      <w:pPr>
        <w:widowControl w:val="0"/>
        <w:autoSpaceDE w:val="0"/>
        <w:autoSpaceDN w:val="0"/>
        <w:spacing w:after="0"/>
        <w:ind w:left="720"/>
        <w:rPr>
          <w:rFonts w:asciiTheme="majorHAnsi" w:eastAsia="Calibri" w:hAnsiTheme="majorHAnsi" w:cs="Calibri"/>
          <w:iCs/>
          <w:szCs w:val="22"/>
          <w:lang w:val="en-US"/>
        </w:rPr>
      </w:pPr>
    </w:p>
    <w:p w14:paraId="30A3B94B" w14:textId="4F173A61" w:rsidR="00646EEA" w:rsidRPr="00211C7F" w:rsidRDefault="00646EEA" w:rsidP="00BB3454">
      <w:pPr>
        <w:widowControl w:val="0"/>
        <w:numPr>
          <w:ilvl w:val="0"/>
          <w:numId w:val="7"/>
        </w:numPr>
        <w:autoSpaceDE w:val="0"/>
        <w:autoSpaceDN w:val="0"/>
        <w:spacing w:after="0"/>
        <w:rPr>
          <w:rFonts w:asciiTheme="majorHAnsi" w:eastAsia="Calibri" w:hAnsiTheme="majorHAnsi" w:cs="Calibri"/>
          <w:iCs/>
          <w:szCs w:val="22"/>
        </w:rPr>
      </w:pPr>
      <w:r w:rsidRPr="00211C7F">
        <w:rPr>
          <w:rFonts w:asciiTheme="majorHAnsi" w:eastAsia="Calibri" w:hAnsiTheme="majorHAnsi" w:cs="Calibri"/>
          <w:iCs/>
          <w:szCs w:val="22"/>
        </w:rPr>
        <w:t>Despite the fact that the Accuracy Principle is a longstanding feature of data protection laws</w:t>
      </w:r>
      <w:r w:rsidR="00FC6DF6" w:rsidRPr="00211C7F">
        <w:rPr>
          <w:rFonts w:asciiTheme="majorHAnsi" w:eastAsia="Calibri" w:hAnsiTheme="majorHAnsi" w:cs="Calibri"/>
          <w:iCs/>
          <w:szCs w:val="22"/>
        </w:rPr>
        <w:t>,</w:t>
      </w:r>
      <w:r w:rsidRPr="00211C7F">
        <w:rPr>
          <w:rFonts w:asciiTheme="majorHAnsi" w:eastAsia="Calibri" w:hAnsiTheme="majorHAnsi" w:cs="Calibri"/>
          <w:iCs/>
          <w:szCs w:val="22"/>
        </w:rPr>
        <w:t xml:space="preserve"> dating back at least as far as the 1980 OECD Privacy Principles,</w:t>
      </w:r>
      <w:r w:rsidRPr="00211C7F">
        <w:rPr>
          <w:rStyle w:val="FootnoteReference"/>
          <w:rFonts w:asciiTheme="majorHAnsi" w:eastAsia="Calibri" w:hAnsiTheme="majorHAnsi" w:cs="Calibri"/>
          <w:iCs/>
          <w:szCs w:val="22"/>
        </w:rPr>
        <w:footnoteReference w:id="1"/>
      </w:r>
      <w:r w:rsidRPr="00211C7F">
        <w:rPr>
          <w:rFonts w:asciiTheme="majorHAnsi" w:eastAsia="Calibri" w:hAnsiTheme="majorHAnsi" w:cs="Calibri"/>
          <w:iCs/>
          <w:szCs w:val="22"/>
        </w:rPr>
        <w:t xml:space="preserve"> </w:t>
      </w:r>
      <w:r w:rsidR="00FC6DF6" w:rsidRPr="00211C7F">
        <w:rPr>
          <w:rFonts w:asciiTheme="majorHAnsi" w:eastAsia="Calibri" w:hAnsiTheme="majorHAnsi" w:cs="Calibri"/>
          <w:iCs/>
          <w:szCs w:val="22"/>
        </w:rPr>
        <w:t>there is little case law or guidance on its precise meaning.</w:t>
      </w:r>
      <w:r w:rsidR="00FC6DF6" w:rsidRPr="00211C7F">
        <w:rPr>
          <w:rStyle w:val="FootnoteReference"/>
          <w:rFonts w:asciiTheme="majorHAnsi" w:eastAsia="Calibri" w:hAnsiTheme="majorHAnsi" w:cs="Calibri"/>
          <w:iCs/>
          <w:szCs w:val="22"/>
        </w:rPr>
        <w:footnoteReference w:id="2"/>
      </w:r>
      <w:r w:rsidR="00FC6DF6" w:rsidRPr="00211C7F">
        <w:rPr>
          <w:rFonts w:asciiTheme="majorHAnsi" w:eastAsia="Calibri" w:hAnsiTheme="majorHAnsi" w:cs="Calibri"/>
          <w:iCs/>
          <w:szCs w:val="22"/>
        </w:rPr>
        <w:t xml:space="preserve"> </w:t>
      </w:r>
    </w:p>
    <w:p w14:paraId="29DB3084" w14:textId="77777777" w:rsidR="00FC6DF6" w:rsidRPr="00211C7F" w:rsidRDefault="00FC6DF6" w:rsidP="00FC6DF6">
      <w:pPr>
        <w:widowControl w:val="0"/>
        <w:autoSpaceDE w:val="0"/>
        <w:autoSpaceDN w:val="0"/>
        <w:spacing w:after="0"/>
        <w:ind w:left="720"/>
        <w:rPr>
          <w:rFonts w:asciiTheme="majorHAnsi" w:eastAsia="Calibri" w:hAnsiTheme="majorHAnsi" w:cs="Calibri"/>
          <w:iCs/>
          <w:szCs w:val="22"/>
        </w:rPr>
      </w:pPr>
    </w:p>
    <w:p w14:paraId="619C7460" w14:textId="5BFEA659" w:rsidR="00BC179B" w:rsidRDefault="00653456" w:rsidP="00BB3454">
      <w:pPr>
        <w:widowControl w:val="0"/>
        <w:numPr>
          <w:ilvl w:val="0"/>
          <w:numId w:val="7"/>
        </w:numPr>
        <w:autoSpaceDE w:val="0"/>
        <w:autoSpaceDN w:val="0"/>
        <w:spacing w:after="0"/>
        <w:rPr>
          <w:rFonts w:asciiTheme="majorHAnsi" w:eastAsia="Calibri" w:hAnsiTheme="majorHAnsi" w:cs="Calibri"/>
          <w:iCs/>
          <w:szCs w:val="22"/>
        </w:rPr>
      </w:pPr>
      <w:r w:rsidRPr="00211C7F">
        <w:rPr>
          <w:rFonts w:asciiTheme="majorHAnsi" w:eastAsia="Calibri" w:hAnsiTheme="majorHAnsi" w:cs="Calibri"/>
          <w:iCs/>
          <w:szCs w:val="22"/>
        </w:rPr>
        <w:t>T</w:t>
      </w:r>
      <w:r w:rsidR="0008484D" w:rsidRPr="00211C7F">
        <w:rPr>
          <w:rFonts w:asciiTheme="majorHAnsi" w:eastAsia="Calibri" w:hAnsiTheme="majorHAnsi" w:cs="Calibri"/>
          <w:iCs/>
          <w:szCs w:val="22"/>
        </w:rPr>
        <w:t xml:space="preserve">he Accuracy Principle appears in </w:t>
      </w:r>
      <w:r w:rsidRPr="00211C7F">
        <w:rPr>
          <w:rFonts w:asciiTheme="majorHAnsi" w:eastAsia="Calibri" w:hAnsiTheme="majorHAnsi" w:cs="Calibri"/>
          <w:iCs/>
          <w:szCs w:val="22"/>
        </w:rPr>
        <w:t xml:space="preserve">the Council of Europe's </w:t>
      </w:r>
      <w:r w:rsidR="0008484D" w:rsidRPr="00211C7F">
        <w:rPr>
          <w:rFonts w:asciiTheme="majorHAnsi" w:eastAsia="Calibri" w:hAnsiTheme="majorHAnsi" w:cs="Calibri"/>
          <w:iCs/>
          <w:szCs w:val="22"/>
        </w:rPr>
        <w:t>Convention 108,</w:t>
      </w:r>
      <w:r w:rsidRPr="00211C7F">
        <w:rPr>
          <w:rFonts w:asciiTheme="majorHAnsi" w:eastAsia="Calibri" w:hAnsiTheme="majorHAnsi" w:cs="Calibri"/>
          <w:iCs/>
          <w:szCs w:val="22"/>
        </w:rPr>
        <w:t xml:space="preserve"> which was the forerunner to European Union data protection law. </w:t>
      </w:r>
      <w:r w:rsidR="00BC179B" w:rsidRPr="00211C7F">
        <w:rPr>
          <w:rFonts w:asciiTheme="majorHAnsi" w:eastAsia="Calibri" w:hAnsiTheme="majorHAnsi" w:cs="Calibri"/>
          <w:iCs/>
          <w:szCs w:val="22"/>
        </w:rPr>
        <w:t>The Council of Europe</w:t>
      </w:r>
      <w:r w:rsidRPr="00211C7F">
        <w:rPr>
          <w:rFonts w:asciiTheme="majorHAnsi" w:eastAsia="Calibri" w:hAnsiTheme="majorHAnsi" w:cs="Calibri"/>
          <w:iCs/>
          <w:szCs w:val="22"/>
        </w:rPr>
        <w:t xml:space="preserve"> and the European Data Protection Supervisor jointly produced a</w:t>
      </w:r>
      <w:r w:rsidR="00BC179B" w:rsidRPr="00211C7F">
        <w:rPr>
          <w:rFonts w:asciiTheme="majorHAnsi" w:eastAsia="Calibri" w:hAnsiTheme="majorHAnsi" w:cs="Calibri"/>
          <w:iCs/>
          <w:szCs w:val="22"/>
        </w:rPr>
        <w:t xml:space="preserve"> Handbook on European Data Protection Law</w:t>
      </w:r>
      <w:r w:rsidRPr="00211C7F">
        <w:rPr>
          <w:rFonts w:asciiTheme="majorHAnsi" w:eastAsia="Calibri" w:hAnsiTheme="majorHAnsi" w:cs="Calibri"/>
          <w:iCs/>
          <w:szCs w:val="22"/>
        </w:rPr>
        <w:t xml:space="preserve">, which explains both Convention 108 and the GDPR. With respect to the Accuracy Principle, the Handbook concludes </w:t>
      </w:r>
      <w:r w:rsidR="00BC179B" w:rsidRPr="00211C7F">
        <w:rPr>
          <w:rFonts w:asciiTheme="majorHAnsi" w:eastAsia="Calibri" w:hAnsiTheme="majorHAnsi" w:cs="Calibri"/>
          <w:iCs/>
          <w:szCs w:val="22"/>
        </w:rPr>
        <w:t>that in some</w:t>
      </w:r>
      <w:r w:rsidR="00BC179B">
        <w:rPr>
          <w:rFonts w:asciiTheme="majorHAnsi" w:eastAsia="Calibri" w:hAnsiTheme="majorHAnsi" w:cs="Calibri"/>
          <w:iCs/>
          <w:szCs w:val="22"/>
        </w:rPr>
        <w:t xml:space="preserve"> circumstances, controllers may have a positive obligation to ensure that the personal </w:t>
      </w:r>
      <w:r w:rsidR="00BC179B">
        <w:rPr>
          <w:rFonts w:asciiTheme="majorHAnsi" w:eastAsia="Calibri" w:hAnsiTheme="majorHAnsi" w:cs="Calibri"/>
          <w:iCs/>
          <w:szCs w:val="22"/>
        </w:rPr>
        <w:lastRenderedPageBreak/>
        <w:t>data under their control is accurate</w:t>
      </w:r>
      <w:r w:rsidR="00BC179B">
        <w:rPr>
          <w:rStyle w:val="FootnoteReference"/>
          <w:rFonts w:asciiTheme="majorHAnsi" w:eastAsia="Calibri" w:hAnsiTheme="majorHAnsi" w:cs="Calibri"/>
          <w:iCs/>
          <w:szCs w:val="22"/>
        </w:rPr>
        <w:footnoteReference w:id="3"/>
      </w:r>
      <w:r w:rsidR="00BC179B">
        <w:rPr>
          <w:rFonts w:asciiTheme="majorHAnsi" w:eastAsia="Calibri" w:hAnsiTheme="majorHAnsi" w:cs="Calibri"/>
          <w:iCs/>
          <w:szCs w:val="22"/>
        </w:rPr>
        <w:t>: "</w:t>
      </w:r>
      <w:r w:rsidR="00BC179B" w:rsidRPr="00767AB3">
        <w:rPr>
          <w:rFonts w:asciiTheme="majorHAnsi" w:eastAsia="Calibri" w:hAnsiTheme="majorHAnsi" w:cs="Calibri"/>
          <w:i/>
          <w:iCs/>
          <w:szCs w:val="22"/>
        </w:rPr>
        <w:t>A controller holding personal information shall not use that information without taking steps to ensure with reasonable certainty that the data are accurate and up to date. The obligation to ensure accuracy of data must be seen in the context of the purpose of data processing</w:t>
      </w:r>
      <w:r w:rsidR="00BC179B">
        <w:rPr>
          <w:rFonts w:asciiTheme="majorHAnsi" w:eastAsia="Calibri" w:hAnsiTheme="majorHAnsi" w:cs="Calibri"/>
          <w:iCs/>
          <w:szCs w:val="22"/>
        </w:rPr>
        <w:t>"</w:t>
      </w:r>
      <w:r w:rsidR="00BC179B" w:rsidRPr="00767AB3">
        <w:rPr>
          <w:rFonts w:asciiTheme="majorHAnsi" w:eastAsia="Calibri" w:hAnsiTheme="majorHAnsi" w:cs="Calibri"/>
          <w:iCs/>
          <w:szCs w:val="22"/>
        </w:rPr>
        <w:t>.</w:t>
      </w:r>
    </w:p>
    <w:p w14:paraId="08BA0FFB" w14:textId="77777777" w:rsidR="00BC179B" w:rsidRDefault="00BC179B" w:rsidP="00BC179B">
      <w:pPr>
        <w:widowControl w:val="0"/>
        <w:autoSpaceDE w:val="0"/>
        <w:autoSpaceDN w:val="0"/>
        <w:spacing w:after="0"/>
        <w:rPr>
          <w:rFonts w:asciiTheme="majorHAnsi" w:eastAsia="Calibri" w:hAnsiTheme="majorHAnsi" w:cs="Calibri"/>
          <w:iCs/>
          <w:szCs w:val="22"/>
        </w:rPr>
      </w:pPr>
    </w:p>
    <w:p w14:paraId="6D5CB0B8" w14:textId="2024A008" w:rsidR="007C0869" w:rsidRPr="00211C7F" w:rsidRDefault="00742A25" w:rsidP="00BB3454">
      <w:pPr>
        <w:widowControl w:val="0"/>
        <w:numPr>
          <w:ilvl w:val="0"/>
          <w:numId w:val="7"/>
        </w:numPr>
        <w:autoSpaceDE w:val="0"/>
        <w:autoSpaceDN w:val="0"/>
        <w:spacing w:after="0"/>
        <w:rPr>
          <w:rFonts w:asciiTheme="majorHAnsi" w:eastAsia="Calibri" w:hAnsiTheme="majorHAnsi" w:cs="Calibri"/>
          <w:iCs/>
          <w:szCs w:val="22"/>
        </w:rPr>
      </w:pPr>
      <w:r w:rsidRPr="00211C7F">
        <w:rPr>
          <w:rFonts w:asciiTheme="majorHAnsi" w:eastAsia="Calibri" w:hAnsiTheme="majorHAnsi" w:cs="Calibri"/>
          <w:iCs/>
          <w:szCs w:val="22"/>
        </w:rPr>
        <w:t>Based on our review of guidance from supervisory authorities in the UK, Belgium</w:t>
      </w:r>
      <w:r w:rsidR="00211C7F">
        <w:rPr>
          <w:rFonts w:asciiTheme="majorHAnsi" w:eastAsia="Calibri" w:hAnsiTheme="majorHAnsi" w:cs="Calibri"/>
          <w:iCs/>
          <w:szCs w:val="22"/>
        </w:rPr>
        <w:t>, Ireland</w:t>
      </w:r>
      <w:bookmarkStart w:id="9" w:name="_GoBack"/>
      <w:bookmarkEnd w:id="9"/>
      <w:r w:rsidRPr="00211C7F">
        <w:rPr>
          <w:rFonts w:asciiTheme="majorHAnsi" w:eastAsia="Calibri" w:hAnsiTheme="majorHAnsi" w:cs="Calibri"/>
          <w:iCs/>
          <w:szCs w:val="22"/>
        </w:rPr>
        <w:t xml:space="preserve"> and Germany, t</w:t>
      </w:r>
      <w:r w:rsidR="00FC6DF6" w:rsidRPr="00211C7F">
        <w:rPr>
          <w:rFonts w:asciiTheme="majorHAnsi" w:eastAsia="Calibri" w:hAnsiTheme="majorHAnsi" w:cs="Calibri"/>
          <w:iCs/>
          <w:szCs w:val="22"/>
        </w:rPr>
        <w:t xml:space="preserve">he </w:t>
      </w:r>
      <w:r w:rsidR="00EF3880" w:rsidRPr="00211C7F">
        <w:rPr>
          <w:rFonts w:asciiTheme="majorHAnsi" w:eastAsia="Calibri" w:hAnsiTheme="majorHAnsi" w:cs="Calibri"/>
          <w:iCs/>
          <w:szCs w:val="22"/>
        </w:rPr>
        <w:t>UK Info</w:t>
      </w:r>
      <w:r w:rsidR="0082729F" w:rsidRPr="00211C7F">
        <w:rPr>
          <w:rFonts w:asciiTheme="majorHAnsi" w:eastAsia="Calibri" w:hAnsiTheme="majorHAnsi" w:cs="Calibri"/>
          <w:iCs/>
          <w:szCs w:val="22"/>
        </w:rPr>
        <w:t>rmation Commissioner’s Office ("</w:t>
      </w:r>
      <w:r w:rsidR="00EF3880" w:rsidRPr="00211C7F">
        <w:rPr>
          <w:rFonts w:asciiTheme="majorHAnsi" w:eastAsia="Calibri" w:hAnsiTheme="majorHAnsi" w:cs="Calibri"/>
          <w:iCs/>
          <w:szCs w:val="22"/>
        </w:rPr>
        <w:t>ICO</w:t>
      </w:r>
      <w:r w:rsidR="0082729F" w:rsidRPr="00211C7F">
        <w:rPr>
          <w:rFonts w:asciiTheme="majorHAnsi" w:eastAsia="Calibri" w:hAnsiTheme="majorHAnsi" w:cs="Calibri"/>
          <w:iCs/>
          <w:szCs w:val="22"/>
        </w:rPr>
        <w:t>"</w:t>
      </w:r>
      <w:r w:rsidR="00EF3880" w:rsidRPr="00211C7F">
        <w:rPr>
          <w:rFonts w:asciiTheme="majorHAnsi" w:eastAsia="Calibri" w:hAnsiTheme="majorHAnsi" w:cs="Calibri"/>
          <w:iCs/>
          <w:szCs w:val="22"/>
        </w:rPr>
        <w:t>)</w:t>
      </w:r>
      <w:r w:rsidR="00BC179B" w:rsidRPr="00211C7F">
        <w:rPr>
          <w:rFonts w:asciiTheme="majorHAnsi" w:eastAsia="Calibri" w:hAnsiTheme="majorHAnsi" w:cs="Calibri"/>
          <w:iCs/>
          <w:szCs w:val="22"/>
        </w:rPr>
        <w:t xml:space="preserve"> offers the most comprehensive guidance on this requirement</w:t>
      </w:r>
      <w:r w:rsidR="006E4664" w:rsidRPr="00211C7F">
        <w:rPr>
          <w:rStyle w:val="FootnoteReference"/>
          <w:rFonts w:asciiTheme="majorHAnsi" w:eastAsia="Calibri" w:hAnsiTheme="majorHAnsi" w:cs="Calibri"/>
          <w:iCs/>
          <w:szCs w:val="22"/>
          <w:lang w:val="en-US"/>
        </w:rPr>
        <w:footnoteReference w:id="4"/>
      </w:r>
      <w:r w:rsidR="00BC179B" w:rsidRPr="00211C7F">
        <w:rPr>
          <w:rFonts w:asciiTheme="majorHAnsi" w:eastAsia="Calibri" w:hAnsiTheme="majorHAnsi" w:cs="Calibri"/>
          <w:iCs/>
          <w:szCs w:val="22"/>
        </w:rPr>
        <w:t xml:space="preserve">. In </w:t>
      </w:r>
      <w:r w:rsidR="007C0869" w:rsidRPr="00211C7F">
        <w:rPr>
          <w:rFonts w:asciiTheme="majorHAnsi" w:eastAsia="Calibri" w:hAnsiTheme="majorHAnsi" w:cs="Calibri"/>
          <w:iCs/>
          <w:szCs w:val="22"/>
        </w:rPr>
        <w:t>its guidance</w:t>
      </w:r>
      <w:r w:rsidR="00BC179B" w:rsidRPr="00211C7F">
        <w:rPr>
          <w:rFonts w:asciiTheme="majorHAnsi" w:eastAsia="Calibri" w:hAnsiTheme="majorHAnsi" w:cs="Calibri"/>
          <w:iCs/>
          <w:szCs w:val="22"/>
        </w:rPr>
        <w:t xml:space="preserve">, the ICO </w:t>
      </w:r>
      <w:r w:rsidR="007C0869" w:rsidRPr="00211C7F">
        <w:rPr>
          <w:rFonts w:asciiTheme="majorHAnsi" w:eastAsia="Calibri" w:hAnsiTheme="majorHAnsi" w:cs="Calibri"/>
          <w:iCs/>
          <w:szCs w:val="22"/>
        </w:rPr>
        <w:t xml:space="preserve">suggests that </w:t>
      </w:r>
      <w:r w:rsidR="006E4664" w:rsidRPr="00211C7F">
        <w:rPr>
          <w:rFonts w:asciiTheme="majorHAnsi" w:eastAsia="Calibri" w:hAnsiTheme="majorHAnsi" w:cs="Calibri"/>
          <w:iCs/>
          <w:szCs w:val="22"/>
        </w:rPr>
        <w:t xml:space="preserve">complying with the </w:t>
      </w:r>
      <w:r w:rsidR="007C0869" w:rsidRPr="00211C7F">
        <w:rPr>
          <w:rFonts w:asciiTheme="majorHAnsi" w:eastAsia="Calibri" w:hAnsiTheme="majorHAnsi" w:cs="Calibri"/>
          <w:iCs/>
          <w:szCs w:val="22"/>
        </w:rPr>
        <w:t xml:space="preserve">Accuracy Principle </w:t>
      </w:r>
      <w:r w:rsidR="006E4664" w:rsidRPr="00211C7F">
        <w:rPr>
          <w:rFonts w:asciiTheme="majorHAnsi" w:eastAsia="Calibri" w:hAnsiTheme="majorHAnsi" w:cs="Calibri"/>
          <w:iCs/>
          <w:szCs w:val="22"/>
        </w:rPr>
        <w:t>requires an assessment of three separate questions</w:t>
      </w:r>
      <w:r w:rsidR="007C0869" w:rsidRPr="00211C7F">
        <w:rPr>
          <w:rFonts w:asciiTheme="majorHAnsi" w:eastAsia="Calibri" w:hAnsiTheme="majorHAnsi" w:cs="Calibri"/>
          <w:iCs/>
          <w:szCs w:val="22"/>
        </w:rPr>
        <w:t>:</w:t>
      </w:r>
    </w:p>
    <w:p w14:paraId="7AA0C785" w14:textId="77777777" w:rsidR="007C0869" w:rsidRPr="00211C7F" w:rsidRDefault="007C0869" w:rsidP="007C0869">
      <w:pPr>
        <w:widowControl w:val="0"/>
        <w:autoSpaceDE w:val="0"/>
        <w:autoSpaceDN w:val="0"/>
        <w:spacing w:after="0"/>
        <w:ind w:left="720"/>
        <w:rPr>
          <w:rFonts w:asciiTheme="majorHAnsi" w:eastAsia="Calibri" w:hAnsiTheme="majorHAnsi" w:cs="Calibri"/>
          <w:iCs/>
          <w:szCs w:val="22"/>
        </w:rPr>
      </w:pPr>
    </w:p>
    <w:p w14:paraId="7766E48E" w14:textId="77777777" w:rsidR="006E4664" w:rsidRDefault="007C0869" w:rsidP="00BB3454">
      <w:pPr>
        <w:widowControl w:val="0"/>
        <w:numPr>
          <w:ilvl w:val="1"/>
          <w:numId w:val="7"/>
        </w:numPr>
        <w:autoSpaceDE w:val="0"/>
        <w:autoSpaceDN w:val="0"/>
        <w:spacing w:after="0"/>
        <w:rPr>
          <w:rFonts w:asciiTheme="majorHAnsi" w:eastAsia="Calibri" w:hAnsiTheme="majorHAnsi" w:cs="Calibri"/>
          <w:iCs/>
          <w:szCs w:val="22"/>
        </w:rPr>
      </w:pPr>
      <w:r w:rsidRPr="00211C7F">
        <w:rPr>
          <w:rFonts w:asciiTheme="majorHAnsi" w:eastAsia="Calibri" w:hAnsiTheme="majorHAnsi" w:cs="Calibri"/>
          <w:iCs/>
          <w:szCs w:val="22"/>
        </w:rPr>
        <w:t>What is the obligation</w:t>
      </w:r>
      <w:r>
        <w:rPr>
          <w:rFonts w:asciiTheme="majorHAnsi" w:eastAsia="Calibri" w:hAnsiTheme="majorHAnsi" w:cs="Calibri"/>
          <w:iCs/>
          <w:szCs w:val="22"/>
        </w:rPr>
        <w:t xml:space="preserve"> to verify </w:t>
      </w:r>
      <w:r w:rsidR="006E4664">
        <w:rPr>
          <w:rFonts w:asciiTheme="majorHAnsi" w:eastAsia="Calibri" w:hAnsiTheme="majorHAnsi" w:cs="Calibri"/>
          <w:iCs/>
          <w:szCs w:val="22"/>
        </w:rPr>
        <w:t>that personal data collected by the controller is accurate at the time of collection?</w:t>
      </w:r>
    </w:p>
    <w:p w14:paraId="5EDE6AC9" w14:textId="77777777" w:rsidR="006E4664" w:rsidRDefault="006E4664" w:rsidP="006E4664">
      <w:pPr>
        <w:widowControl w:val="0"/>
        <w:autoSpaceDE w:val="0"/>
        <w:autoSpaceDN w:val="0"/>
        <w:spacing w:after="0"/>
        <w:ind w:left="1211"/>
        <w:rPr>
          <w:rFonts w:asciiTheme="majorHAnsi" w:eastAsia="Calibri" w:hAnsiTheme="majorHAnsi" w:cs="Calibri"/>
          <w:iCs/>
          <w:szCs w:val="22"/>
        </w:rPr>
      </w:pPr>
    </w:p>
    <w:p w14:paraId="5B0AD939" w14:textId="77777777" w:rsidR="006E4664" w:rsidRDefault="006E4664" w:rsidP="00BB3454">
      <w:pPr>
        <w:widowControl w:val="0"/>
        <w:numPr>
          <w:ilvl w:val="1"/>
          <w:numId w:val="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What is the controller's on-going responsibility to ensure that personal data remains accurate and up-to-date?</w:t>
      </w:r>
    </w:p>
    <w:p w14:paraId="77E383F9" w14:textId="77777777" w:rsidR="006E4664" w:rsidRDefault="006E4664" w:rsidP="006E4664">
      <w:pPr>
        <w:widowControl w:val="0"/>
        <w:autoSpaceDE w:val="0"/>
        <w:autoSpaceDN w:val="0"/>
        <w:spacing w:after="0"/>
        <w:ind w:left="1211"/>
        <w:rPr>
          <w:rFonts w:asciiTheme="majorHAnsi" w:eastAsia="Calibri" w:hAnsiTheme="majorHAnsi" w:cs="Calibri"/>
          <w:iCs/>
          <w:szCs w:val="22"/>
        </w:rPr>
      </w:pPr>
    </w:p>
    <w:p w14:paraId="0E7E713F" w14:textId="468FBF37" w:rsidR="007C0869" w:rsidRPr="006E4664" w:rsidRDefault="006E4664" w:rsidP="00BB3454">
      <w:pPr>
        <w:widowControl w:val="0"/>
        <w:numPr>
          <w:ilvl w:val="1"/>
          <w:numId w:val="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 xml:space="preserve">What must a controller do upon receiving a request from a data subject relating to the accuracy of personal data? </w:t>
      </w:r>
    </w:p>
    <w:p w14:paraId="60195054" w14:textId="77777777" w:rsidR="007C0869" w:rsidRDefault="007C0869" w:rsidP="007C0869">
      <w:pPr>
        <w:widowControl w:val="0"/>
        <w:autoSpaceDE w:val="0"/>
        <w:autoSpaceDN w:val="0"/>
        <w:spacing w:after="0"/>
        <w:ind w:left="720"/>
        <w:rPr>
          <w:rFonts w:asciiTheme="majorHAnsi" w:eastAsia="Calibri" w:hAnsiTheme="majorHAnsi" w:cs="Calibri"/>
          <w:iCs/>
          <w:szCs w:val="22"/>
        </w:rPr>
      </w:pPr>
    </w:p>
    <w:p w14:paraId="423DE0B2" w14:textId="654793AB" w:rsidR="00F843F8" w:rsidRPr="003B0F75" w:rsidRDefault="00F843F8" w:rsidP="00BB3454">
      <w:pPr>
        <w:pStyle w:val="ListParagraph"/>
        <w:widowControl w:val="0"/>
        <w:numPr>
          <w:ilvl w:val="0"/>
          <w:numId w:val="8"/>
        </w:numPr>
        <w:autoSpaceDE w:val="0"/>
        <w:autoSpaceDN w:val="0"/>
        <w:spacing w:after="0"/>
        <w:rPr>
          <w:rFonts w:asciiTheme="majorHAnsi" w:eastAsia="Calibri" w:hAnsiTheme="majorHAnsi" w:cs="Calibri"/>
          <w:b/>
          <w:i/>
          <w:iCs/>
          <w:szCs w:val="22"/>
        </w:rPr>
      </w:pPr>
      <w:r w:rsidRPr="003B0F75">
        <w:rPr>
          <w:rFonts w:asciiTheme="majorHAnsi" w:eastAsia="Calibri" w:hAnsiTheme="majorHAnsi" w:cs="Calibri"/>
          <w:b/>
          <w:i/>
          <w:iCs/>
          <w:szCs w:val="22"/>
        </w:rPr>
        <w:t>Ensuring the accuracy of personal data provided by the data subject</w:t>
      </w:r>
    </w:p>
    <w:p w14:paraId="562E5869" w14:textId="37C1A2AF" w:rsidR="0015511E" w:rsidRDefault="0015511E" w:rsidP="00767AB3">
      <w:pPr>
        <w:widowControl w:val="0"/>
        <w:autoSpaceDE w:val="0"/>
        <w:autoSpaceDN w:val="0"/>
        <w:spacing w:after="0"/>
        <w:ind w:left="720"/>
        <w:rPr>
          <w:rFonts w:asciiTheme="majorHAnsi" w:eastAsia="Calibri" w:hAnsiTheme="majorHAnsi" w:cs="Calibri"/>
          <w:iCs/>
          <w:szCs w:val="22"/>
        </w:rPr>
      </w:pPr>
    </w:p>
    <w:p w14:paraId="57D6A525" w14:textId="7D235DAE" w:rsidR="00767AB3" w:rsidRDefault="003B0F75" w:rsidP="00BB3454">
      <w:pPr>
        <w:widowControl w:val="0"/>
        <w:numPr>
          <w:ilvl w:val="0"/>
          <w:numId w:val="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A</w:t>
      </w:r>
      <w:r w:rsidR="006F2A2A">
        <w:rPr>
          <w:rFonts w:asciiTheme="majorHAnsi" w:eastAsia="Calibri" w:hAnsiTheme="majorHAnsi" w:cs="Calibri"/>
          <w:iCs/>
          <w:szCs w:val="22"/>
        </w:rPr>
        <w:t>t least under</w:t>
      </w:r>
      <w:r w:rsidR="00767AB3">
        <w:rPr>
          <w:rFonts w:asciiTheme="majorHAnsi" w:eastAsia="Calibri" w:hAnsiTheme="majorHAnsi" w:cs="Calibri"/>
          <w:iCs/>
          <w:szCs w:val="22"/>
        </w:rPr>
        <w:t xml:space="preserve"> some circumstances, there is a positive obligation on the controller to ensure that the data is accurate.</w:t>
      </w:r>
      <w:r w:rsidR="006F2A2A">
        <w:rPr>
          <w:rFonts w:asciiTheme="majorHAnsi" w:eastAsia="Calibri" w:hAnsiTheme="majorHAnsi" w:cs="Calibri"/>
          <w:iCs/>
          <w:szCs w:val="22"/>
        </w:rPr>
        <w:t xml:space="preserve"> However, the existence of such a positive obligation is contextual – it depends on the significance of the consequences for data subjects of processing inaccurate data and the effort that would be required to verify accuracy.</w:t>
      </w:r>
    </w:p>
    <w:p w14:paraId="5818BF1B" w14:textId="77777777" w:rsidR="00767AB3" w:rsidRDefault="00767AB3" w:rsidP="00767AB3">
      <w:pPr>
        <w:widowControl w:val="0"/>
        <w:autoSpaceDE w:val="0"/>
        <w:autoSpaceDN w:val="0"/>
        <w:spacing w:after="0"/>
        <w:rPr>
          <w:rFonts w:asciiTheme="majorHAnsi" w:eastAsia="Calibri" w:hAnsiTheme="majorHAnsi" w:cs="Calibri"/>
          <w:iCs/>
          <w:szCs w:val="22"/>
        </w:rPr>
      </w:pPr>
    </w:p>
    <w:p w14:paraId="1BAA235D" w14:textId="58DB15D0" w:rsidR="006F2A2A" w:rsidRDefault="006F2A2A" w:rsidP="00BB3454">
      <w:pPr>
        <w:widowControl w:val="0"/>
        <w:numPr>
          <w:ilvl w:val="0"/>
          <w:numId w:val="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As</w:t>
      </w:r>
      <w:r w:rsidR="00767AB3">
        <w:rPr>
          <w:rFonts w:asciiTheme="majorHAnsi" w:eastAsia="Calibri" w:hAnsiTheme="majorHAnsi" w:cs="Calibri"/>
          <w:iCs/>
          <w:szCs w:val="22"/>
        </w:rPr>
        <w:t xml:space="preserve"> </w:t>
      </w:r>
      <w:r>
        <w:rPr>
          <w:rFonts w:asciiTheme="majorHAnsi" w:eastAsia="Calibri" w:hAnsiTheme="majorHAnsi" w:cs="Calibri"/>
          <w:iCs/>
          <w:szCs w:val="22"/>
        </w:rPr>
        <w:t>explained in the ICO guidance, "</w:t>
      </w:r>
      <w:r w:rsidRPr="00A56645">
        <w:rPr>
          <w:rFonts w:asciiTheme="majorHAnsi" w:eastAsia="Calibri" w:hAnsiTheme="majorHAnsi" w:cs="Calibri"/>
          <w:i/>
          <w:iCs/>
          <w:szCs w:val="22"/>
        </w:rPr>
        <w:t>The more important it is that the personal data is accurate, the greater the effort you should put into ensuring its accuracy. So if you are using the data to make decisions that may significantly affect the individual concerned or others, you need to put more effort into ensuring accuracy</w:t>
      </w:r>
      <w:r>
        <w:rPr>
          <w:rFonts w:asciiTheme="majorHAnsi" w:eastAsia="Calibri" w:hAnsiTheme="majorHAnsi" w:cs="Calibri"/>
          <w:iCs/>
          <w:szCs w:val="22"/>
        </w:rPr>
        <w:t>"</w:t>
      </w:r>
      <w:r w:rsidRPr="00A56645">
        <w:rPr>
          <w:rFonts w:asciiTheme="majorHAnsi" w:eastAsia="Calibri" w:hAnsiTheme="majorHAnsi" w:cs="Calibri"/>
          <w:iCs/>
          <w:szCs w:val="22"/>
        </w:rPr>
        <w:t>.</w:t>
      </w:r>
    </w:p>
    <w:p w14:paraId="2F21E0FB" w14:textId="77777777" w:rsidR="006F2A2A" w:rsidRDefault="006F2A2A" w:rsidP="006F2A2A">
      <w:pPr>
        <w:widowControl w:val="0"/>
        <w:autoSpaceDE w:val="0"/>
        <w:autoSpaceDN w:val="0"/>
        <w:spacing w:after="0"/>
        <w:rPr>
          <w:rFonts w:asciiTheme="majorHAnsi" w:eastAsia="Calibri" w:hAnsiTheme="majorHAnsi" w:cs="Calibri"/>
          <w:iCs/>
          <w:szCs w:val="22"/>
        </w:rPr>
      </w:pPr>
    </w:p>
    <w:p w14:paraId="03CE82BE" w14:textId="77777777" w:rsidR="0019502E" w:rsidRDefault="006F2A2A" w:rsidP="00BB3454">
      <w:pPr>
        <w:pStyle w:val="ListParagraph"/>
        <w:widowControl w:val="0"/>
        <w:numPr>
          <w:ilvl w:val="0"/>
          <w:numId w:val="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T</w:t>
      </w:r>
      <w:r w:rsidRPr="00521793">
        <w:rPr>
          <w:rFonts w:asciiTheme="majorHAnsi" w:eastAsia="Calibri" w:hAnsiTheme="majorHAnsi" w:cs="Calibri"/>
          <w:iCs/>
          <w:szCs w:val="22"/>
        </w:rPr>
        <w:t xml:space="preserve">he GDPR is </w:t>
      </w:r>
      <w:r>
        <w:rPr>
          <w:rFonts w:asciiTheme="majorHAnsi" w:eastAsia="Calibri" w:hAnsiTheme="majorHAnsi" w:cs="Calibri"/>
          <w:iCs/>
          <w:szCs w:val="22"/>
        </w:rPr>
        <w:t xml:space="preserve">not </w:t>
      </w:r>
      <w:r w:rsidRPr="00521793">
        <w:rPr>
          <w:rFonts w:asciiTheme="majorHAnsi" w:eastAsia="Calibri" w:hAnsiTheme="majorHAnsi" w:cs="Calibri"/>
          <w:iCs/>
          <w:szCs w:val="22"/>
        </w:rPr>
        <w:t xml:space="preserve">prescriptive in mandating the types of measures a party must put in place to </w:t>
      </w:r>
      <w:r>
        <w:rPr>
          <w:rFonts w:asciiTheme="majorHAnsi" w:eastAsia="Calibri" w:hAnsiTheme="majorHAnsi" w:cs="Calibri"/>
          <w:iCs/>
          <w:szCs w:val="22"/>
        </w:rPr>
        <w:t>meet</w:t>
      </w:r>
      <w:r w:rsidRPr="00521793">
        <w:rPr>
          <w:rFonts w:asciiTheme="majorHAnsi" w:eastAsia="Calibri" w:hAnsiTheme="majorHAnsi" w:cs="Calibri"/>
          <w:iCs/>
          <w:szCs w:val="22"/>
        </w:rPr>
        <w:t xml:space="preserve"> this burden. The ICO guidance explains that "</w:t>
      </w:r>
      <w:r w:rsidRPr="00521793">
        <w:rPr>
          <w:rFonts w:asciiTheme="majorHAnsi" w:eastAsia="Calibri" w:hAnsiTheme="majorHAnsi" w:cs="Calibri"/>
          <w:i/>
          <w:iCs/>
          <w:szCs w:val="22"/>
        </w:rPr>
        <w:t>[w]hat is a ‘reasonable step’ will depend on the circumstances and, in particular, the nature of the personal data and what you will use it for</w:t>
      </w:r>
      <w:r w:rsidRPr="00521793">
        <w:rPr>
          <w:rFonts w:asciiTheme="majorHAnsi" w:eastAsia="Calibri" w:hAnsiTheme="majorHAnsi" w:cs="Calibri"/>
          <w:iCs/>
          <w:szCs w:val="22"/>
        </w:rPr>
        <w:t>"</w:t>
      </w:r>
      <w:r>
        <w:rPr>
          <w:rFonts w:asciiTheme="majorHAnsi" w:eastAsia="Calibri" w:hAnsiTheme="majorHAnsi" w:cs="Calibri"/>
          <w:iCs/>
          <w:szCs w:val="22"/>
        </w:rPr>
        <w:t xml:space="preserve">. </w:t>
      </w:r>
      <w:r w:rsidR="0019502E">
        <w:rPr>
          <w:rFonts w:asciiTheme="majorHAnsi" w:eastAsia="Calibri" w:hAnsiTheme="majorHAnsi" w:cs="Calibri"/>
          <w:iCs/>
          <w:szCs w:val="22"/>
        </w:rPr>
        <w:t>As a general rule, the ICO guidance says it is usually reasonable to assume information given by the data subject is accurate, "</w:t>
      </w:r>
      <w:r w:rsidR="0019502E">
        <w:rPr>
          <w:rFonts w:asciiTheme="majorHAnsi" w:eastAsia="Calibri" w:hAnsiTheme="majorHAnsi" w:cs="Calibri"/>
          <w:i/>
          <w:iCs/>
          <w:szCs w:val="22"/>
        </w:rPr>
        <w:t xml:space="preserve">unless </w:t>
      </w:r>
      <w:r w:rsidR="0019502E" w:rsidRPr="003818CE">
        <w:rPr>
          <w:rFonts w:asciiTheme="majorHAnsi" w:eastAsia="Calibri" w:hAnsiTheme="majorHAnsi" w:cs="Calibri"/>
          <w:i/>
          <w:iCs/>
          <w:szCs w:val="22"/>
        </w:rPr>
        <w:t>inaccurate information could have serious consequences, or if common sense suggests there may be a mistake</w:t>
      </w:r>
      <w:r w:rsidR="0019502E">
        <w:rPr>
          <w:rFonts w:asciiTheme="majorHAnsi" w:eastAsia="Calibri" w:hAnsiTheme="majorHAnsi" w:cs="Calibri"/>
          <w:iCs/>
          <w:szCs w:val="22"/>
        </w:rPr>
        <w:t xml:space="preserve">". </w:t>
      </w:r>
    </w:p>
    <w:p w14:paraId="042E8B88" w14:textId="77777777" w:rsidR="0019502E" w:rsidRPr="0019502E" w:rsidRDefault="0019502E" w:rsidP="0019502E">
      <w:pPr>
        <w:pStyle w:val="ListParagraph"/>
        <w:rPr>
          <w:rFonts w:asciiTheme="majorHAnsi" w:eastAsia="Calibri" w:hAnsiTheme="majorHAnsi" w:cs="Calibri"/>
          <w:iCs/>
          <w:szCs w:val="22"/>
        </w:rPr>
      </w:pPr>
    </w:p>
    <w:p w14:paraId="2FEF5401" w14:textId="4D113582" w:rsidR="006F2A2A" w:rsidRDefault="0019502E" w:rsidP="00BB3454">
      <w:pPr>
        <w:pStyle w:val="ListParagraph"/>
        <w:widowControl w:val="0"/>
        <w:numPr>
          <w:ilvl w:val="0"/>
          <w:numId w:val="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A</w:t>
      </w:r>
      <w:r w:rsidR="006F2A2A" w:rsidRPr="0019502E">
        <w:rPr>
          <w:rFonts w:asciiTheme="majorHAnsi" w:eastAsia="Calibri" w:hAnsiTheme="majorHAnsi" w:cs="Calibri"/>
          <w:iCs/>
          <w:szCs w:val="22"/>
        </w:rPr>
        <w:t xml:space="preserve"> controller "</w:t>
      </w:r>
      <w:r w:rsidR="006F2A2A" w:rsidRPr="0019502E">
        <w:rPr>
          <w:rFonts w:asciiTheme="majorHAnsi" w:eastAsia="Calibri" w:hAnsiTheme="majorHAnsi" w:cs="Calibri"/>
          <w:i/>
          <w:iCs/>
          <w:szCs w:val="22"/>
        </w:rPr>
        <w:t>may have to get independent confirmation</w:t>
      </w:r>
      <w:r w:rsidR="006F2A2A" w:rsidRPr="0019502E">
        <w:rPr>
          <w:rFonts w:asciiTheme="majorHAnsi" w:eastAsia="Calibri" w:hAnsiTheme="majorHAnsi" w:cs="Calibri"/>
          <w:iCs/>
          <w:szCs w:val="22"/>
        </w:rPr>
        <w:t xml:space="preserve">" where the impact is particularly significant. </w:t>
      </w:r>
      <w:r>
        <w:rPr>
          <w:rFonts w:asciiTheme="majorHAnsi" w:eastAsia="Calibri" w:hAnsiTheme="majorHAnsi" w:cs="Calibri"/>
          <w:iCs/>
          <w:szCs w:val="22"/>
        </w:rPr>
        <w:t xml:space="preserve">For example, where </w:t>
      </w:r>
      <w:r w:rsidR="006F2A2A" w:rsidRPr="0019502E">
        <w:rPr>
          <w:rFonts w:asciiTheme="majorHAnsi" w:eastAsia="Calibri" w:hAnsiTheme="majorHAnsi" w:cs="Calibri"/>
          <w:iCs/>
          <w:szCs w:val="22"/>
        </w:rPr>
        <w:t>an employer engages employees n</w:t>
      </w:r>
      <w:r w:rsidR="00CD5122" w:rsidRPr="0019502E">
        <w:rPr>
          <w:rFonts w:asciiTheme="majorHAnsi" w:eastAsia="Calibri" w:hAnsiTheme="majorHAnsi" w:cs="Calibri"/>
          <w:iCs/>
          <w:szCs w:val="22"/>
        </w:rPr>
        <w:t>eeding essential qualifications</w:t>
      </w:r>
      <w:r w:rsidR="003818CE" w:rsidRPr="0019502E">
        <w:rPr>
          <w:rFonts w:asciiTheme="majorHAnsi" w:eastAsia="Calibri" w:hAnsiTheme="majorHAnsi" w:cs="Calibri"/>
          <w:iCs/>
          <w:szCs w:val="22"/>
        </w:rPr>
        <w:t xml:space="preserve"> to be able to fulfil</w:t>
      </w:r>
      <w:r w:rsidR="00CD5122" w:rsidRPr="0019502E">
        <w:rPr>
          <w:rFonts w:asciiTheme="majorHAnsi" w:eastAsia="Calibri" w:hAnsiTheme="majorHAnsi" w:cs="Calibri"/>
          <w:iCs/>
          <w:szCs w:val="22"/>
        </w:rPr>
        <w:t xml:space="preserve"> the job description</w:t>
      </w:r>
      <w:r>
        <w:rPr>
          <w:rFonts w:asciiTheme="majorHAnsi" w:eastAsia="Calibri" w:hAnsiTheme="majorHAnsi" w:cs="Calibri"/>
          <w:iCs/>
          <w:szCs w:val="22"/>
        </w:rPr>
        <w:t xml:space="preserve">, </w:t>
      </w:r>
      <w:r w:rsidR="00CD5122" w:rsidRPr="0019502E">
        <w:rPr>
          <w:rFonts w:asciiTheme="majorHAnsi" w:eastAsia="Calibri" w:hAnsiTheme="majorHAnsi" w:cs="Calibri"/>
          <w:iCs/>
          <w:szCs w:val="22"/>
        </w:rPr>
        <w:t xml:space="preserve">it would be reasonable to independently verify an applicant's credentials. </w:t>
      </w:r>
      <w:r w:rsidR="00CD5122" w:rsidRPr="007455E2">
        <w:rPr>
          <w:rFonts w:asciiTheme="majorHAnsi" w:eastAsia="Calibri" w:hAnsiTheme="majorHAnsi" w:cs="Calibri"/>
          <w:iCs/>
          <w:szCs w:val="22"/>
        </w:rPr>
        <w:t>By contrast, where an</w:t>
      </w:r>
      <w:r w:rsidRPr="007455E2">
        <w:rPr>
          <w:rFonts w:asciiTheme="majorHAnsi" w:eastAsia="Calibri" w:hAnsiTheme="majorHAnsi" w:cs="Calibri"/>
          <w:iCs/>
          <w:szCs w:val="22"/>
        </w:rPr>
        <w:t xml:space="preserve"> individual </w:t>
      </w:r>
      <w:r w:rsidR="001537B6" w:rsidRPr="007455E2">
        <w:rPr>
          <w:rFonts w:asciiTheme="majorHAnsi" w:eastAsia="Calibri" w:hAnsiTheme="majorHAnsi" w:cs="Calibri"/>
          <w:iCs/>
          <w:szCs w:val="22"/>
        </w:rPr>
        <w:t xml:space="preserve">completes a lifestyle survey, which will be used for research and direct marketing, with information about interests, </w:t>
      </w:r>
      <w:r w:rsidRPr="007455E2">
        <w:rPr>
          <w:rFonts w:asciiTheme="majorHAnsi" w:eastAsia="Calibri" w:hAnsiTheme="majorHAnsi" w:cs="Calibri"/>
          <w:iCs/>
          <w:szCs w:val="22"/>
        </w:rPr>
        <w:t xml:space="preserve">there is no obligation on the organisation to verify the accuracy of the </w:t>
      </w:r>
      <w:r w:rsidR="001537B6">
        <w:rPr>
          <w:rFonts w:asciiTheme="majorHAnsi" w:eastAsia="Calibri" w:hAnsiTheme="majorHAnsi" w:cs="Calibri"/>
          <w:iCs/>
          <w:szCs w:val="22"/>
        </w:rPr>
        <w:t>information</w:t>
      </w:r>
      <w:r w:rsidRPr="0019502E">
        <w:rPr>
          <w:rFonts w:asciiTheme="majorHAnsi" w:eastAsia="Calibri" w:hAnsiTheme="majorHAnsi" w:cs="Calibri"/>
          <w:iCs/>
          <w:szCs w:val="22"/>
        </w:rPr>
        <w:t xml:space="preserve">. </w:t>
      </w:r>
      <w:r w:rsidR="00CD5122" w:rsidRPr="0019502E">
        <w:rPr>
          <w:rFonts w:asciiTheme="majorHAnsi" w:eastAsia="Calibri" w:hAnsiTheme="majorHAnsi" w:cs="Calibri"/>
          <w:iCs/>
          <w:szCs w:val="22"/>
        </w:rPr>
        <w:t xml:space="preserve"> </w:t>
      </w:r>
    </w:p>
    <w:p w14:paraId="65A6F4D5" w14:textId="77777777" w:rsidR="00F843F8" w:rsidRPr="00F843F8" w:rsidRDefault="00F843F8" w:rsidP="00F843F8">
      <w:pPr>
        <w:pStyle w:val="ListParagraph"/>
        <w:rPr>
          <w:rFonts w:asciiTheme="majorHAnsi" w:eastAsia="Calibri" w:hAnsiTheme="majorHAnsi" w:cs="Calibri"/>
          <w:iCs/>
          <w:szCs w:val="22"/>
        </w:rPr>
      </w:pPr>
    </w:p>
    <w:p w14:paraId="28CD4398" w14:textId="3FE1C934" w:rsidR="00F843F8" w:rsidRPr="003B0F75" w:rsidRDefault="00F843F8" w:rsidP="00BB3454">
      <w:pPr>
        <w:pStyle w:val="ListParagraph"/>
        <w:widowControl w:val="0"/>
        <w:numPr>
          <w:ilvl w:val="0"/>
          <w:numId w:val="8"/>
        </w:numPr>
        <w:autoSpaceDE w:val="0"/>
        <w:autoSpaceDN w:val="0"/>
        <w:spacing w:after="0"/>
        <w:rPr>
          <w:rFonts w:asciiTheme="majorHAnsi" w:eastAsia="Calibri" w:hAnsiTheme="majorHAnsi" w:cs="Calibri"/>
          <w:b/>
          <w:i/>
          <w:iCs/>
          <w:szCs w:val="22"/>
        </w:rPr>
      </w:pPr>
      <w:r w:rsidRPr="003B0F75">
        <w:rPr>
          <w:rFonts w:asciiTheme="majorHAnsi" w:eastAsia="Calibri" w:hAnsiTheme="majorHAnsi" w:cs="Calibri"/>
          <w:b/>
          <w:i/>
          <w:iCs/>
          <w:szCs w:val="22"/>
        </w:rPr>
        <w:t>Verifying that personal data remains accurate</w:t>
      </w:r>
    </w:p>
    <w:p w14:paraId="5A364F1F" w14:textId="77777777" w:rsidR="003818CE" w:rsidRPr="003818CE" w:rsidRDefault="003818CE" w:rsidP="003818CE">
      <w:pPr>
        <w:pStyle w:val="ListParagraph"/>
        <w:rPr>
          <w:rFonts w:asciiTheme="majorHAnsi" w:eastAsia="Calibri" w:hAnsiTheme="majorHAnsi" w:cs="Calibri"/>
          <w:iCs/>
          <w:szCs w:val="22"/>
        </w:rPr>
      </w:pPr>
    </w:p>
    <w:p w14:paraId="0BF9DE02" w14:textId="78E8038E" w:rsidR="003818CE" w:rsidRPr="0019502E" w:rsidRDefault="00F843F8" w:rsidP="00BB3454">
      <w:pPr>
        <w:pStyle w:val="ListParagraph"/>
        <w:widowControl w:val="0"/>
        <w:numPr>
          <w:ilvl w:val="0"/>
          <w:numId w:val="7"/>
        </w:numPr>
        <w:autoSpaceDE w:val="0"/>
        <w:autoSpaceDN w:val="0"/>
        <w:spacing w:after="0"/>
        <w:rPr>
          <w:rFonts w:asciiTheme="majorHAnsi" w:eastAsia="Calibri" w:hAnsiTheme="majorHAnsi" w:cs="Calibri"/>
          <w:i/>
          <w:iCs/>
          <w:szCs w:val="22"/>
        </w:rPr>
      </w:pPr>
      <w:r>
        <w:rPr>
          <w:rFonts w:asciiTheme="majorHAnsi" w:eastAsia="Calibri" w:hAnsiTheme="majorHAnsi" w:cs="Calibri"/>
          <w:iCs/>
          <w:szCs w:val="22"/>
        </w:rPr>
        <w:t>I</w:t>
      </w:r>
      <w:r w:rsidR="0019502E">
        <w:rPr>
          <w:rFonts w:asciiTheme="majorHAnsi" w:eastAsia="Calibri" w:hAnsiTheme="majorHAnsi" w:cs="Calibri"/>
          <w:iCs/>
          <w:szCs w:val="22"/>
        </w:rPr>
        <w:t xml:space="preserve">n terms of the requirement to ensure that personal data remains up to date, the same analysis applies. </w:t>
      </w:r>
      <w:r>
        <w:rPr>
          <w:rFonts w:asciiTheme="majorHAnsi" w:eastAsia="Calibri" w:hAnsiTheme="majorHAnsi" w:cs="Calibri"/>
          <w:iCs/>
          <w:szCs w:val="22"/>
        </w:rPr>
        <w:t>The ICO guidance states that "</w:t>
      </w:r>
      <w:r>
        <w:rPr>
          <w:rFonts w:asciiTheme="majorHAnsi" w:eastAsia="Calibri" w:hAnsiTheme="majorHAnsi" w:cs="Calibri"/>
          <w:i/>
          <w:iCs/>
          <w:szCs w:val="22"/>
        </w:rPr>
        <w:t>it is reasonable to rely on the individual to tell you when their personal data has changed</w:t>
      </w:r>
      <w:r>
        <w:rPr>
          <w:rFonts w:asciiTheme="majorHAnsi" w:eastAsia="Calibri" w:hAnsiTheme="majorHAnsi" w:cs="Calibri"/>
          <w:iCs/>
          <w:szCs w:val="22"/>
        </w:rPr>
        <w:t>". However, in some cases,</w:t>
      </w:r>
      <w:r w:rsidR="003818CE">
        <w:rPr>
          <w:rFonts w:asciiTheme="majorHAnsi" w:eastAsia="Calibri" w:hAnsiTheme="majorHAnsi" w:cs="Calibri"/>
          <w:iCs/>
          <w:szCs w:val="22"/>
        </w:rPr>
        <w:t xml:space="preserve"> "</w:t>
      </w:r>
      <w:r>
        <w:rPr>
          <w:rFonts w:asciiTheme="majorHAnsi" w:eastAsia="Calibri" w:hAnsiTheme="majorHAnsi" w:cs="Calibri"/>
          <w:iCs/>
          <w:szCs w:val="22"/>
        </w:rPr>
        <w:t>[i]</w:t>
      </w:r>
      <w:r w:rsidR="003818CE" w:rsidRPr="003818CE">
        <w:rPr>
          <w:rFonts w:asciiTheme="majorHAnsi" w:eastAsia="Calibri" w:hAnsiTheme="majorHAnsi" w:cs="Calibri"/>
          <w:i/>
          <w:iCs/>
          <w:szCs w:val="22"/>
        </w:rPr>
        <w:t>t may be sensible to periodically ask individuals to update their own details, but you do not need to take extreme measures to ensure your records are up to date, unless there is a corresponding privacy risk which justifies this</w:t>
      </w:r>
      <w:r w:rsidR="003818CE">
        <w:rPr>
          <w:rFonts w:asciiTheme="majorHAnsi" w:eastAsia="Calibri" w:hAnsiTheme="majorHAnsi" w:cs="Calibri"/>
          <w:iCs/>
          <w:szCs w:val="22"/>
        </w:rPr>
        <w:t>"</w:t>
      </w:r>
      <w:r w:rsidR="003818CE" w:rsidRPr="003818CE">
        <w:rPr>
          <w:rFonts w:asciiTheme="majorHAnsi" w:eastAsia="Calibri" w:hAnsiTheme="majorHAnsi" w:cs="Calibri"/>
          <w:i/>
          <w:iCs/>
          <w:szCs w:val="22"/>
        </w:rPr>
        <w:t>.</w:t>
      </w:r>
    </w:p>
    <w:p w14:paraId="7B3B9D5C" w14:textId="77777777" w:rsidR="0019502E" w:rsidRPr="0019502E" w:rsidRDefault="0019502E" w:rsidP="0019502E">
      <w:pPr>
        <w:pStyle w:val="ListParagraph"/>
        <w:rPr>
          <w:rFonts w:asciiTheme="majorHAnsi" w:eastAsia="Calibri" w:hAnsiTheme="majorHAnsi" w:cs="Calibri"/>
          <w:i/>
          <w:iCs/>
          <w:szCs w:val="22"/>
        </w:rPr>
      </w:pPr>
    </w:p>
    <w:p w14:paraId="57DAAD6A" w14:textId="579A4059" w:rsidR="0019502E" w:rsidRDefault="00F843F8" w:rsidP="00BB3454">
      <w:pPr>
        <w:pStyle w:val="ListParagraph"/>
        <w:widowControl w:val="0"/>
        <w:numPr>
          <w:ilvl w:val="0"/>
          <w:numId w:val="7"/>
        </w:numPr>
        <w:autoSpaceDE w:val="0"/>
        <w:autoSpaceDN w:val="0"/>
        <w:spacing w:after="0"/>
        <w:rPr>
          <w:rFonts w:asciiTheme="majorHAnsi" w:eastAsia="Calibri" w:hAnsiTheme="majorHAnsi" w:cs="Calibri"/>
          <w:i/>
          <w:iCs/>
          <w:szCs w:val="22"/>
        </w:rPr>
      </w:pPr>
      <w:r>
        <w:rPr>
          <w:rFonts w:asciiTheme="majorHAnsi" w:eastAsia="Calibri" w:hAnsiTheme="majorHAnsi" w:cs="Calibri"/>
          <w:iCs/>
          <w:szCs w:val="22"/>
        </w:rPr>
        <w:t xml:space="preserve">For example, if an organisation </w:t>
      </w:r>
      <w:r w:rsidR="0019502E">
        <w:rPr>
          <w:rFonts w:asciiTheme="majorHAnsi" w:eastAsia="Calibri" w:hAnsiTheme="majorHAnsi" w:cs="Calibri"/>
          <w:iCs/>
          <w:szCs w:val="22"/>
        </w:rPr>
        <w:t>keeps contact details as part of its marketing lists, "</w:t>
      </w:r>
      <w:r w:rsidR="0019502E" w:rsidRPr="00CD5122">
        <w:rPr>
          <w:rFonts w:asciiTheme="majorHAnsi" w:eastAsia="Calibri" w:hAnsiTheme="majorHAnsi" w:cs="Calibri"/>
          <w:i/>
          <w:iCs/>
          <w:szCs w:val="22"/>
        </w:rPr>
        <w:t>[i]t does not have to use data matching or tracing services to ensure its records are up to date – and it may actually be difficult to show that the processing involved in data matching or tracing for these purposes is fair, lawful and transparent</w:t>
      </w:r>
      <w:r w:rsidR="0019502E">
        <w:rPr>
          <w:rFonts w:asciiTheme="majorHAnsi" w:eastAsia="Calibri" w:hAnsiTheme="majorHAnsi" w:cs="Calibri"/>
          <w:iCs/>
          <w:szCs w:val="22"/>
        </w:rPr>
        <w:t>"</w:t>
      </w:r>
      <w:r w:rsidR="0019502E" w:rsidRPr="00CD5122">
        <w:rPr>
          <w:rFonts w:asciiTheme="majorHAnsi" w:eastAsia="Calibri" w:hAnsiTheme="majorHAnsi" w:cs="Calibri"/>
          <w:iCs/>
          <w:szCs w:val="22"/>
        </w:rPr>
        <w:t>.</w:t>
      </w:r>
    </w:p>
    <w:p w14:paraId="056A3A1D" w14:textId="77777777" w:rsidR="003818CE" w:rsidRDefault="003818CE" w:rsidP="003818CE">
      <w:pPr>
        <w:pStyle w:val="ListParagraph"/>
        <w:rPr>
          <w:rFonts w:asciiTheme="majorHAnsi" w:eastAsia="Calibri" w:hAnsiTheme="majorHAnsi" w:cs="Calibri"/>
          <w:iCs/>
          <w:szCs w:val="22"/>
        </w:rPr>
      </w:pPr>
    </w:p>
    <w:p w14:paraId="77DD52B9" w14:textId="50AC93A0" w:rsidR="00F843F8" w:rsidRPr="00211C7F" w:rsidRDefault="00F843F8" w:rsidP="00BB3454">
      <w:pPr>
        <w:pStyle w:val="ListParagraph"/>
        <w:numPr>
          <w:ilvl w:val="0"/>
          <w:numId w:val="8"/>
        </w:numPr>
        <w:rPr>
          <w:rFonts w:asciiTheme="majorHAnsi" w:eastAsia="Calibri" w:hAnsiTheme="majorHAnsi" w:cs="Calibri"/>
          <w:b/>
          <w:i/>
          <w:iCs/>
          <w:szCs w:val="22"/>
        </w:rPr>
      </w:pPr>
      <w:r w:rsidRPr="00211C7F">
        <w:rPr>
          <w:rFonts w:asciiTheme="majorHAnsi" w:eastAsia="Calibri" w:hAnsiTheme="majorHAnsi" w:cs="Calibri"/>
          <w:b/>
          <w:i/>
          <w:iCs/>
          <w:szCs w:val="22"/>
        </w:rPr>
        <w:t>Responding to correction requests</w:t>
      </w:r>
    </w:p>
    <w:p w14:paraId="320C8328" w14:textId="77777777" w:rsidR="00F843F8" w:rsidRPr="00211C7F" w:rsidRDefault="00F843F8" w:rsidP="003818CE">
      <w:pPr>
        <w:pStyle w:val="ListParagraph"/>
        <w:rPr>
          <w:rFonts w:asciiTheme="majorHAnsi" w:eastAsia="Calibri" w:hAnsiTheme="majorHAnsi" w:cs="Calibri"/>
          <w:iCs/>
          <w:szCs w:val="22"/>
        </w:rPr>
      </w:pPr>
    </w:p>
    <w:p w14:paraId="251054C6" w14:textId="08900D82" w:rsidR="00F843F8" w:rsidRPr="00211C7F" w:rsidRDefault="00F843F8" w:rsidP="00BB3454">
      <w:pPr>
        <w:pStyle w:val="ListParagraph"/>
        <w:numPr>
          <w:ilvl w:val="0"/>
          <w:numId w:val="7"/>
        </w:numPr>
        <w:rPr>
          <w:rFonts w:asciiTheme="majorHAnsi" w:eastAsia="Calibri" w:hAnsiTheme="majorHAnsi" w:cs="Calibri"/>
          <w:iCs/>
          <w:szCs w:val="22"/>
        </w:rPr>
      </w:pPr>
      <w:r w:rsidRPr="00211C7F">
        <w:rPr>
          <w:rFonts w:asciiTheme="majorHAnsi" w:eastAsia="Calibri" w:hAnsiTheme="majorHAnsi" w:cs="Calibri"/>
          <w:iCs/>
          <w:szCs w:val="22"/>
        </w:rPr>
        <w:t>Individuals have a</w:t>
      </w:r>
      <w:r w:rsidR="001537B6" w:rsidRPr="00211C7F">
        <w:rPr>
          <w:rFonts w:asciiTheme="majorHAnsi" w:eastAsia="Calibri" w:hAnsiTheme="majorHAnsi" w:cs="Calibri"/>
          <w:iCs/>
          <w:szCs w:val="22"/>
        </w:rPr>
        <w:t xml:space="preserve"> </w:t>
      </w:r>
      <w:r w:rsidRPr="00211C7F">
        <w:rPr>
          <w:rFonts w:asciiTheme="majorHAnsi" w:eastAsia="Calibri" w:hAnsiTheme="majorHAnsi" w:cs="Calibri"/>
          <w:iCs/>
          <w:szCs w:val="22"/>
        </w:rPr>
        <w:t xml:space="preserve">right to correct inaccurate data. </w:t>
      </w:r>
      <w:r w:rsidR="009F5106" w:rsidRPr="00211C7F">
        <w:rPr>
          <w:rFonts w:asciiTheme="majorHAnsi" w:eastAsia="Calibri" w:hAnsiTheme="majorHAnsi" w:cs="Calibri"/>
          <w:iCs/>
          <w:szCs w:val="22"/>
        </w:rPr>
        <w:t>The ICO guidance on the right to rectification</w:t>
      </w:r>
      <w:r w:rsidR="009F5106" w:rsidRPr="00211C7F">
        <w:rPr>
          <w:rStyle w:val="FootnoteReference"/>
          <w:rFonts w:asciiTheme="majorHAnsi" w:eastAsia="Calibri" w:hAnsiTheme="majorHAnsi" w:cs="Calibri"/>
          <w:iCs/>
          <w:szCs w:val="22"/>
        </w:rPr>
        <w:footnoteReference w:id="5"/>
      </w:r>
      <w:r w:rsidR="009F5106" w:rsidRPr="00211C7F">
        <w:rPr>
          <w:rFonts w:asciiTheme="majorHAnsi" w:eastAsia="Calibri" w:hAnsiTheme="majorHAnsi" w:cs="Calibri"/>
          <w:iCs/>
          <w:szCs w:val="22"/>
        </w:rPr>
        <w:t xml:space="preserve"> applies similar</w:t>
      </w:r>
      <w:r w:rsidR="00987FCF" w:rsidRPr="00211C7F">
        <w:rPr>
          <w:rFonts w:asciiTheme="majorHAnsi" w:eastAsia="Calibri" w:hAnsiTheme="majorHAnsi" w:cs="Calibri"/>
          <w:iCs/>
          <w:szCs w:val="22"/>
        </w:rPr>
        <w:t xml:space="preserve"> principles as above apply to the determination of </w:t>
      </w:r>
      <w:r w:rsidR="0093417E" w:rsidRPr="00211C7F">
        <w:rPr>
          <w:rFonts w:asciiTheme="majorHAnsi" w:eastAsia="Calibri" w:hAnsiTheme="majorHAnsi" w:cs="Calibri"/>
          <w:iCs/>
          <w:szCs w:val="22"/>
        </w:rPr>
        <w:t>whether data is</w:t>
      </w:r>
      <w:r w:rsidR="001537B6" w:rsidRPr="00211C7F">
        <w:rPr>
          <w:rFonts w:asciiTheme="majorHAnsi" w:eastAsia="Calibri" w:hAnsiTheme="majorHAnsi" w:cs="Calibri"/>
          <w:iCs/>
          <w:szCs w:val="22"/>
        </w:rPr>
        <w:t>,</w:t>
      </w:r>
      <w:r w:rsidR="0093417E" w:rsidRPr="00211C7F">
        <w:rPr>
          <w:rFonts w:asciiTheme="majorHAnsi" w:eastAsia="Calibri" w:hAnsiTheme="majorHAnsi" w:cs="Calibri"/>
          <w:iCs/>
          <w:szCs w:val="22"/>
        </w:rPr>
        <w:t xml:space="preserve"> in fact</w:t>
      </w:r>
      <w:r w:rsidR="001537B6" w:rsidRPr="00211C7F">
        <w:rPr>
          <w:rFonts w:asciiTheme="majorHAnsi" w:eastAsia="Calibri" w:hAnsiTheme="majorHAnsi" w:cs="Calibri"/>
          <w:iCs/>
          <w:szCs w:val="22"/>
        </w:rPr>
        <w:t>,</w:t>
      </w:r>
      <w:r w:rsidR="0093417E" w:rsidRPr="00211C7F">
        <w:rPr>
          <w:rFonts w:asciiTheme="majorHAnsi" w:eastAsia="Calibri" w:hAnsiTheme="majorHAnsi" w:cs="Calibri"/>
          <w:iCs/>
          <w:szCs w:val="22"/>
        </w:rPr>
        <w:t xml:space="preserve"> in</w:t>
      </w:r>
      <w:r w:rsidR="00987FCF" w:rsidRPr="00211C7F">
        <w:rPr>
          <w:rFonts w:asciiTheme="majorHAnsi" w:eastAsia="Calibri" w:hAnsiTheme="majorHAnsi" w:cs="Calibri"/>
          <w:iCs/>
          <w:szCs w:val="22"/>
        </w:rPr>
        <w:t>accura</w:t>
      </w:r>
      <w:r w:rsidR="0093417E" w:rsidRPr="00211C7F">
        <w:rPr>
          <w:rFonts w:asciiTheme="majorHAnsi" w:eastAsia="Calibri" w:hAnsiTheme="majorHAnsi" w:cs="Calibri"/>
          <w:iCs/>
          <w:szCs w:val="22"/>
        </w:rPr>
        <w:t>te</w:t>
      </w:r>
      <w:r w:rsidR="009F5106" w:rsidRPr="00211C7F">
        <w:rPr>
          <w:rFonts w:asciiTheme="majorHAnsi" w:eastAsia="Calibri" w:hAnsiTheme="majorHAnsi" w:cs="Calibri"/>
          <w:iCs/>
          <w:szCs w:val="22"/>
        </w:rPr>
        <w:t>:</w:t>
      </w:r>
      <w:r w:rsidR="00987FCF" w:rsidRPr="00211C7F">
        <w:rPr>
          <w:rFonts w:asciiTheme="majorHAnsi" w:eastAsia="Calibri" w:hAnsiTheme="majorHAnsi" w:cs="Calibri"/>
          <w:iCs/>
          <w:szCs w:val="22"/>
        </w:rPr>
        <w:t xml:space="preserve"> if an individual requests the correction of their personal data, the controller must take reasonable steps to verify the accuracy, in light of the circumstances and the risks to the individual caused by the inaccuracy.</w:t>
      </w:r>
      <w:r w:rsidR="009F5106" w:rsidRPr="00211C7F">
        <w:rPr>
          <w:rFonts w:asciiTheme="majorHAnsi" w:eastAsia="Calibri" w:hAnsiTheme="majorHAnsi" w:cs="Calibri"/>
          <w:iCs/>
          <w:szCs w:val="22"/>
        </w:rPr>
        <w:t xml:space="preserve"> While not related to this specific question, the ICO also notes that special procedures may be required when the fact that the data was mistaken is relevant. In those cases, the ICO recommends retaining the mistaken data as well as the updated information. </w:t>
      </w:r>
    </w:p>
    <w:p w14:paraId="3002245A" w14:textId="77777777" w:rsidR="0093417E" w:rsidRDefault="0093417E" w:rsidP="0093417E">
      <w:pPr>
        <w:pStyle w:val="ListParagraph"/>
        <w:rPr>
          <w:rFonts w:asciiTheme="majorHAnsi" w:eastAsia="Calibri" w:hAnsiTheme="majorHAnsi" w:cs="Calibri"/>
          <w:iCs/>
          <w:szCs w:val="22"/>
        </w:rPr>
      </w:pPr>
    </w:p>
    <w:p w14:paraId="5A02945A" w14:textId="47B07883" w:rsidR="0093417E" w:rsidRPr="00F843F8" w:rsidRDefault="0093417E" w:rsidP="00BB3454">
      <w:pPr>
        <w:pStyle w:val="ListParagraph"/>
        <w:numPr>
          <w:ilvl w:val="0"/>
          <w:numId w:val="7"/>
        </w:numPr>
        <w:rPr>
          <w:rFonts w:asciiTheme="majorHAnsi" w:eastAsia="Calibri" w:hAnsiTheme="majorHAnsi" w:cs="Calibri"/>
          <w:iCs/>
          <w:szCs w:val="22"/>
        </w:rPr>
      </w:pPr>
      <w:r>
        <w:rPr>
          <w:rFonts w:asciiTheme="majorHAnsi" w:eastAsia="Calibri" w:hAnsiTheme="majorHAnsi" w:cs="Calibri"/>
          <w:iCs/>
          <w:szCs w:val="22"/>
        </w:rPr>
        <w:t xml:space="preserve">Controllers must respond to correction requests </w:t>
      </w:r>
      <w:r w:rsidR="00FB76E7">
        <w:rPr>
          <w:rFonts w:asciiTheme="majorHAnsi" w:eastAsia="Calibri" w:hAnsiTheme="majorHAnsi" w:cs="Calibri"/>
          <w:iCs/>
          <w:szCs w:val="22"/>
        </w:rPr>
        <w:t>"</w:t>
      </w:r>
      <w:r w:rsidR="00FB76E7">
        <w:rPr>
          <w:rFonts w:asciiTheme="majorHAnsi" w:eastAsia="Calibri" w:hAnsiTheme="majorHAnsi" w:cs="Calibri"/>
          <w:i/>
          <w:iCs/>
          <w:szCs w:val="22"/>
        </w:rPr>
        <w:t>without undue delay and in any event within one month</w:t>
      </w:r>
      <w:r w:rsidR="00FB76E7">
        <w:rPr>
          <w:rFonts w:asciiTheme="majorHAnsi" w:eastAsia="Calibri" w:hAnsiTheme="majorHAnsi" w:cs="Calibri"/>
          <w:iCs/>
          <w:szCs w:val="22"/>
        </w:rPr>
        <w:t xml:space="preserve">". However, the time limit may be extended a further two months depending on the complexity and number of requests. </w:t>
      </w:r>
      <w:r w:rsidR="00FB76E7">
        <w:rPr>
          <w:rFonts w:asciiTheme="majorHAnsi" w:eastAsia="Calibri" w:hAnsiTheme="majorHAnsi" w:cs="Calibri"/>
          <w:i/>
          <w:iCs/>
          <w:szCs w:val="22"/>
        </w:rPr>
        <w:t xml:space="preserve"> </w:t>
      </w:r>
      <w:r w:rsidR="00FB76E7">
        <w:rPr>
          <w:rFonts w:asciiTheme="majorHAnsi" w:eastAsia="Calibri" w:hAnsiTheme="majorHAnsi" w:cs="Calibri"/>
          <w:iCs/>
          <w:szCs w:val="22"/>
        </w:rPr>
        <w:t>If time is needed to verify the accuracy of the data, data subjects are permitted to request the restriction of it (i.e. that the data not be used for other purposes until its accuracy is verified).</w:t>
      </w:r>
    </w:p>
    <w:p w14:paraId="2F7EB0BC" w14:textId="41E2BBDC" w:rsidR="00987FCF" w:rsidRDefault="003B0F75" w:rsidP="003B0F75">
      <w:pPr>
        <w:widowControl w:val="0"/>
        <w:autoSpaceDE w:val="0"/>
        <w:autoSpaceDN w:val="0"/>
        <w:spacing w:after="0"/>
        <w:rPr>
          <w:rFonts w:asciiTheme="majorHAnsi" w:eastAsia="Calibri" w:hAnsiTheme="majorHAnsi" w:cs="Calibri"/>
          <w:b/>
          <w:iCs/>
          <w:szCs w:val="22"/>
        </w:rPr>
      </w:pPr>
      <w:r>
        <w:rPr>
          <w:rFonts w:asciiTheme="majorHAnsi" w:eastAsia="Calibri" w:hAnsiTheme="majorHAnsi" w:cs="Calibri"/>
          <w:b/>
          <w:iCs/>
          <w:szCs w:val="22"/>
        </w:rPr>
        <w:t>ICANN Registrar Accreditation Agreement</w:t>
      </w:r>
    </w:p>
    <w:p w14:paraId="324DC615" w14:textId="77777777" w:rsidR="003B0F75" w:rsidRDefault="003B0F75" w:rsidP="003B0F75">
      <w:pPr>
        <w:widowControl w:val="0"/>
        <w:autoSpaceDE w:val="0"/>
        <w:autoSpaceDN w:val="0"/>
        <w:spacing w:after="0"/>
        <w:rPr>
          <w:rFonts w:asciiTheme="majorHAnsi" w:eastAsia="Calibri" w:hAnsiTheme="majorHAnsi" w:cs="Calibri"/>
          <w:iCs/>
          <w:szCs w:val="22"/>
        </w:rPr>
      </w:pPr>
    </w:p>
    <w:p w14:paraId="6CB4E154" w14:textId="6F195AFE" w:rsidR="003B0F75" w:rsidRDefault="003B0F75" w:rsidP="00BB3454">
      <w:pPr>
        <w:widowControl w:val="0"/>
        <w:numPr>
          <w:ilvl w:val="0"/>
          <w:numId w:val="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ICANN's Registrar Accreditation Agreement (the "</w:t>
      </w:r>
      <w:r>
        <w:rPr>
          <w:rFonts w:asciiTheme="majorHAnsi" w:eastAsia="Calibri" w:hAnsiTheme="majorHAnsi" w:cs="Calibri"/>
          <w:b/>
          <w:iCs/>
          <w:szCs w:val="22"/>
        </w:rPr>
        <w:t>Agreement</w:t>
      </w:r>
      <w:r>
        <w:rPr>
          <w:rFonts w:asciiTheme="majorHAnsi" w:eastAsia="Calibri" w:hAnsiTheme="majorHAnsi" w:cs="Calibri"/>
          <w:iCs/>
          <w:szCs w:val="22"/>
        </w:rPr>
        <w:t xml:space="preserve">") </w:t>
      </w:r>
      <w:r w:rsidR="00F530FE">
        <w:rPr>
          <w:rFonts w:asciiTheme="majorHAnsi" w:eastAsia="Calibri" w:hAnsiTheme="majorHAnsi" w:cs="Calibri"/>
          <w:iCs/>
          <w:szCs w:val="22"/>
        </w:rPr>
        <w:t xml:space="preserve">contains provisions that are relevant to the Accuracy Principle. </w:t>
      </w:r>
      <w:r w:rsidR="009F5106">
        <w:rPr>
          <w:rFonts w:asciiTheme="majorHAnsi" w:eastAsia="Calibri" w:hAnsiTheme="majorHAnsi" w:cs="Calibri"/>
          <w:iCs/>
          <w:szCs w:val="22"/>
        </w:rPr>
        <w:t>While these provisions may be intended, at least in part, for authentication reasons rather than solely to verify accuracy, they are nonetheless relevant for the application of the Accuracy Principle.</w:t>
      </w:r>
    </w:p>
    <w:p w14:paraId="0CD4C767" w14:textId="77777777" w:rsidR="00F530FE" w:rsidRDefault="00F530FE" w:rsidP="00F530FE">
      <w:pPr>
        <w:widowControl w:val="0"/>
        <w:autoSpaceDE w:val="0"/>
        <w:autoSpaceDN w:val="0"/>
        <w:spacing w:after="0"/>
        <w:ind w:left="720"/>
        <w:rPr>
          <w:rFonts w:asciiTheme="majorHAnsi" w:eastAsia="Calibri" w:hAnsiTheme="majorHAnsi" w:cs="Calibri"/>
          <w:iCs/>
          <w:szCs w:val="22"/>
        </w:rPr>
      </w:pPr>
    </w:p>
    <w:tbl>
      <w:tblPr>
        <w:tblStyle w:val="TableGrid"/>
        <w:tblW w:w="0" w:type="auto"/>
        <w:tblInd w:w="720" w:type="dxa"/>
        <w:tblLook w:val="04A0" w:firstRow="1" w:lastRow="0" w:firstColumn="1" w:lastColumn="0" w:noHBand="0" w:noVBand="1"/>
      </w:tblPr>
      <w:tblGrid>
        <w:gridCol w:w="2649"/>
        <w:gridCol w:w="5917"/>
      </w:tblGrid>
      <w:tr w:rsidR="00074907" w14:paraId="61FB0544" w14:textId="77777777" w:rsidTr="00074907">
        <w:tc>
          <w:tcPr>
            <w:tcW w:w="2649" w:type="dxa"/>
            <w:shd w:val="clear" w:color="auto" w:fill="D9D9D9" w:themeFill="background1" w:themeFillShade="D9"/>
          </w:tcPr>
          <w:p w14:paraId="38C4663D" w14:textId="19EE38AB" w:rsidR="00F530FE" w:rsidRPr="00F530FE" w:rsidRDefault="00F530FE" w:rsidP="00F530FE">
            <w:pPr>
              <w:widowControl w:val="0"/>
              <w:autoSpaceDE w:val="0"/>
              <w:autoSpaceDN w:val="0"/>
              <w:rPr>
                <w:rFonts w:asciiTheme="majorHAnsi" w:eastAsia="Calibri" w:hAnsiTheme="majorHAnsi" w:cs="Calibri"/>
                <w:b/>
                <w:iCs/>
                <w:szCs w:val="22"/>
              </w:rPr>
            </w:pPr>
            <w:r>
              <w:rPr>
                <w:rFonts w:asciiTheme="majorHAnsi" w:eastAsia="Calibri" w:hAnsiTheme="majorHAnsi" w:cs="Calibri"/>
                <w:b/>
                <w:iCs/>
                <w:szCs w:val="22"/>
              </w:rPr>
              <w:t>Element of Accuracy Principle</w:t>
            </w:r>
          </w:p>
        </w:tc>
        <w:tc>
          <w:tcPr>
            <w:tcW w:w="5917" w:type="dxa"/>
            <w:shd w:val="clear" w:color="auto" w:fill="D9D9D9" w:themeFill="background1" w:themeFillShade="D9"/>
          </w:tcPr>
          <w:p w14:paraId="619310DE" w14:textId="2C67B6E2" w:rsidR="00F530FE" w:rsidRPr="00F530FE" w:rsidRDefault="00F530FE" w:rsidP="00F530FE">
            <w:pPr>
              <w:widowControl w:val="0"/>
              <w:autoSpaceDE w:val="0"/>
              <w:autoSpaceDN w:val="0"/>
              <w:rPr>
                <w:rFonts w:asciiTheme="majorHAnsi" w:eastAsia="Calibri" w:hAnsiTheme="majorHAnsi" w:cs="Calibri"/>
                <w:b/>
                <w:iCs/>
                <w:szCs w:val="22"/>
              </w:rPr>
            </w:pPr>
            <w:r>
              <w:rPr>
                <w:rFonts w:asciiTheme="majorHAnsi" w:eastAsia="Calibri" w:hAnsiTheme="majorHAnsi" w:cs="Calibri"/>
                <w:b/>
                <w:iCs/>
                <w:szCs w:val="22"/>
              </w:rPr>
              <w:t>Relevant Agreement Provisions</w:t>
            </w:r>
          </w:p>
        </w:tc>
      </w:tr>
      <w:tr w:rsidR="00F530FE" w14:paraId="220BC9C2" w14:textId="77777777" w:rsidTr="00F530FE">
        <w:tc>
          <w:tcPr>
            <w:tcW w:w="2649" w:type="dxa"/>
          </w:tcPr>
          <w:p w14:paraId="7605DBC4" w14:textId="26CDF784" w:rsidR="00F530FE" w:rsidRPr="00F530FE" w:rsidRDefault="00F530FE" w:rsidP="00BB3454">
            <w:pPr>
              <w:pStyle w:val="ListParagraph"/>
              <w:widowControl w:val="0"/>
              <w:numPr>
                <w:ilvl w:val="0"/>
                <w:numId w:val="9"/>
              </w:numPr>
              <w:autoSpaceDE w:val="0"/>
              <w:autoSpaceDN w:val="0"/>
              <w:rPr>
                <w:rFonts w:asciiTheme="majorHAnsi" w:eastAsia="Calibri" w:hAnsiTheme="majorHAnsi" w:cs="Calibri"/>
                <w:i/>
                <w:iCs/>
                <w:szCs w:val="22"/>
              </w:rPr>
            </w:pPr>
            <w:r>
              <w:rPr>
                <w:rFonts w:asciiTheme="majorHAnsi" w:eastAsia="Calibri" w:hAnsiTheme="majorHAnsi" w:cs="Calibri"/>
                <w:i/>
                <w:iCs/>
                <w:szCs w:val="22"/>
              </w:rPr>
              <w:t>Verification of data provided</w:t>
            </w:r>
          </w:p>
        </w:tc>
        <w:tc>
          <w:tcPr>
            <w:tcW w:w="5917" w:type="dxa"/>
          </w:tcPr>
          <w:p w14:paraId="02AA5001" w14:textId="412FE16A" w:rsidR="00074907" w:rsidRDefault="00074907" w:rsidP="00BB3454">
            <w:pPr>
              <w:pStyle w:val="ListParagraph"/>
              <w:widowControl w:val="0"/>
              <w:numPr>
                <w:ilvl w:val="0"/>
                <w:numId w:val="10"/>
              </w:numPr>
              <w:autoSpaceDE w:val="0"/>
              <w:autoSpaceDN w:val="0"/>
              <w:rPr>
                <w:rFonts w:asciiTheme="majorHAnsi" w:eastAsia="Calibri" w:hAnsiTheme="majorHAnsi" w:cs="Calibri"/>
                <w:iCs/>
                <w:szCs w:val="22"/>
              </w:rPr>
            </w:pPr>
            <w:r>
              <w:rPr>
                <w:rFonts w:asciiTheme="majorHAnsi" w:eastAsia="Calibri" w:hAnsiTheme="majorHAnsi" w:cs="Calibri"/>
                <w:iCs/>
                <w:szCs w:val="22"/>
              </w:rPr>
              <w:t xml:space="preserve">Registrars must include </w:t>
            </w:r>
            <w:r w:rsidR="00CE711D">
              <w:rPr>
                <w:rFonts w:asciiTheme="majorHAnsi" w:eastAsia="Calibri" w:hAnsiTheme="majorHAnsi" w:cs="Calibri"/>
                <w:iCs/>
                <w:szCs w:val="22"/>
              </w:rPr>
              <w:t xml:space="preserve">the following </w:t>
            </w:r>
            <w:r>
              <w:rPr>
                <w:rFonts w:asciiTheme="majorHAnsi" w:eastAsia="Calibri" w:hAnsiTheme="majorHAnsi" w:cs="Calibri"/>
                <w:iCs/>
                <w:szCs w:val="22"/>
              </w:rPr>
              <w:t>in their terms with Registered Name Holders ("</w:t>
            </w:r>
            <w:r>
              <w:rPr>
                <w:rFonts w:asciiTheme="majorHAnsi" w:eastAsia="Calibri" w:hAnsiTheme="majorHAnsi" w:cs="Calibri"/>
                <w:b/>
                <w:iCs/>
                <w:szCs w:val="22"/>
              </w:rPr>
              <w:t>RNHs</w:t>
            </w:r>
            <w:r>
              <w:rPr>
                <w:rFonts w:asciiTheme="majorHAnsi" w:eastAsia="Calibri" w:hAnsiTheme="majorHAnsi" w:cs="Calibri"/>
                <w:iCs/>
                <w:szCs w:val="22"/>
              </w:rPr>
              <w:t>"):</w:t>
            </w:r>
          </w:p>
          <w:p w14:paraId="4EFF88DF" w14:textId="65E86753" w:rsidR="00F530FE" w:rsidRDefault="00074907" w:rsidP="00BB3454">
            <w:pPr>
              <w:pStyle w:val="ListParagraph"/>
              <w:widowControl w:val="0"/>
              <w:numPr>
                <w:ilvl w:val="1"/>
                <w:numId w:val="10"/>
              </w:numPr>
              <w:autoSpaceDE w:val="0"/>
              <w:autoSpaceDN w:val="0"/>
              <w:rPr>
                <w:rFonts w:asciiTheme="majorHAnsi" w:eastAsia="Calibri" w:hAnsiTheme="majorHAnsi" w:cs="Calibri"/>
                <w:iCs/>
                <w:szCs w:val="22"/>
              </w:rPr>
            </w:pPr>
            <w:r>
              <w:rPr>
                <w:rFonts w:asciiTheme="majorHAnsi" w:eastAsia="Calibri" w:hAnsiTheme="majorHAnsi" w:cs="Calibri"/>
                <w:iCs/>
                <w:szCs w:val="22"/>
              </w:rPr>
              <w:t>The RNH must provide "</w:t>
            </w:r>
            <w:r>
              <w:rPr>
                <w:rFonts w:asciiTheme="majorHAnsi" w:eastAsia="Calibri" w:hAnsiTheme="majorHAnsi" w:cs="Calibri"/>
                <w:i/>
                <w:iCs/>
                <w:szCs w:val="22"/>
              </w:rPr>
              <w:t>accurate and reliable contact details</w:t>
            </w:r>
            <w:r w:rsidR="003B5D07">
              <w:rPr>
                <w:rFonts w:asciiTheme="majorHAnsi" w:eastAsia="Calibri" w:hAnsiTheme="majorHAnsi" w:cs="Calibri"/>
                <w:iCs/>
                <w:szCs w:val="22"/>
              </w:rPr>
              <w:t>"</w:t>
            </w:r>
            <w:r>
              <w:rPr>
                <w:rFonts w:asciiTheme="majorHAnsi" w:eastAsia="Calibri" w:hAnsiTheme="majorHAnsi" w:cs="Calibri"/>
                <w:i/>
                <w:iCs/>
                <w:szCs w:val="22"/>
              </w:rPr>
              <w:t xml:space="preserve"> and correct and update them within seven (7) days of any change during the term…</w:t>
            </w:r>
            <w:r>
              <w:rPr>
                <w:rFonts w:asciiTheme="majorHAnsi" w:eastAsia="Calibri" w:hAnsiTheme="majorHAnsi" w:cs="Calibri"/>
                <w:iCs/>
                <w:szCs w:val="22"/>
              </w:rPr>
              <w:t>"</w:t>
            </w:r>
            <w:r w:rsidR="00DC6753">
              <w:rPr>
                <w:rStyle w:val="FootnoteReference"/>
                <w:rFonts w:asciiTheme="majorHAnsi" w:eastAsia="Calibri" w:hAnsiTheme="majorHAnsi" w:cs="Calibri"/>
                <w:iCs/>
                <w:szCs w:val="22"/>
              </w:rPr>
              <w:footnoteReference w:id="6"/>
            </w:r>
            <w:r>
              <w:rPr>
                <w:rFonts w:asciiTheme="majorHAnsi" w:eastAsia="Calibri" w:hAnsiTheme="majorHAnsi" w:cs="Calibri"/>
                <w:iCs/>
                <w:szCs w:val="22"/>
              </w:rPr>
              <w:t>;</w:t>
            </w:r>
            <w:r w:rsidR="003B5D07">
              <w:rPr>
                <w:rFonts w:asciiTheme="majorHAnsi" w:eastAsia="Calibri" w:hAnsiTheme="majorHAnsi" w:cs="Calibri"/>
                <w:iCs/>
                <w:szCs w:val="22"/>
              </w:rPr>
              <w:t xml:space="preserve"> and</w:t>
            </w:r>
          </w:p>
          <w:p w14:paraId="6E83C0F9" w14:textId="08BF7DDD" w:rsidR="00074907" w:rsidRPr="003B5D07" w:rsidRDefault="00074907" w:rsidP="00BB3454">
            <w:pPr>
              <w:pStyle w:val="ListParagraph"/>
              <w:widowControl w:val="0"/>
              <w:numPr>
                <w:ilvl w:val="1"/>
                <w:numId w:val="10"/>
              </w:numPr>
              <w:autoSpaceDE w:val="0"/>
              <w:autoSpaceDN w:val="0"/>
              <w:rPr>
                <w:rFonts w:asciiTheme="majorHAnsi" w:eastAsia="Calibri" w:hAnsiTheme="majorHAnsi" w:cs="Calibri"/>
                <w:iCs/>
                <w:szCs w:val="22"/>
              </w:rPr>
            </w:pPr>
            <w:r>
              <w:rPr>
                <w:rFonts w:asciiTheme="majorHAnsi" w:eastAsia="Calibri" w:hAnsiTheme="majorHAnsi" w:cs="Calibri"/>
                <w:iCs/>
                <w:szCs w:val="22"/>
              </w:rPr>
              <w:t xml:space="preserve">The </w:t>
            </w:r>
            <w:r w:rsidR="00CE711D">
              <w:rPr>
                <w:rFonts w:asciiTheme="majorHAnsi" w:eastAsia="Calibri" w:hAnsiTheme="majorHAnsi" w:cs="Calibri"/>
                <w:iCs/>
                <w:szCs w:val="22"/>
              </w:rPr>
              <w:t>wilful</w:t>
            </w:r>
            <w:r>
              <w:rPr>
                <w:rFonts w:asciiTheme="majorHAnsi" w:eastAsia="Calibri" w:hAnsiTheme="majorHAnsi" w:cs="Calibri"/>
                <w:iCs/>
                <w:szCs w:val="22"/>
              </w:rPr>
              <w:t xml:space="preserve"> provision of inaccurate or unreliable </w:t>
            </w:r>
            <w:proofErr w:type="gramStart"/>
            <w:r>
              <w:rPr>
                <w:rFonts w:asciiTheme="majorHAnsi" w:eastAsia="Calibri" w:hAnsiTheme="majorHAnsi" w:cs="Calibri"/>
                <w:iCs/>
                <w:szCs w:val="22"/>
              </w:rPr>
              <w:t>information,</w:t>
            </w:r>
            <w:proofErr w:type="gramEnd"/>
            <w:r>
              <w:rPr>
                <w:rFonts w:asciiTheme="majorHAnsi" w:eastAsia="Calibri" w:hAnsiTheme="majorHAnsi" w:cs="Calibri"/>
                <w:iCs/>
                <w:szCs w:val="22"/>
              </w:rPr>
              <w:t xml:space="preserve"> or a </w:t>
            </w:r>
            <w:r w:rsidR="00CE711D">
              <w:rPr>
                <w:rFonts w:asciiTheme="majorHAnsi" w:eastAsia="Calibri" w:hAnsiTheme="majorHAnsi" w:cs="Calibri"/>
                <w:iCs/>
                <w:szCs w:val="22"/>
              </w:rPr>
              <w:t>wilful</w:t>
            </w:r>
            <w:r>
              <w:rPr>
                <w:rFonts w:asciiTheme="majorHAnsi" w:eastAsia="Calibri" w:hAnsiTheme="majorHAnsi" w:cs="Calibri"/>
                <w:iCs/>
                <w:szCs w:val="22"/>
              </w:rPr>
              <w:t xml:space="preserve"> failure to update information or respond to inquiries from the Registrar concerning accuracy is a material </w:t>
            </w:r>
            <w:r>
              <w:rPr>
                <w:rFonts w:asciiTheme="majorHAnsi" w:eastAsia="Calibri" w:hAnsiTheme="majorHAnsi" w:cs="Calibri"/>
                <w:iCs/>
                <w:szCs w:val="22"/>
              </w:rPr>
              <w:lastRenderedPageBreak/>
              <w:t xml:space="preserve">breach and cause for the suspension and/or cancellation </w:t>
            </w:r>
            <w:r w:rsidR="003B5D07">
              <w:rPr>
                <w:rFonts w:asciiTheme="majorHAnsi" w:eastAsia="Calibri" w:hAnsiTheme="majorHAnsi" w:cs="Calibri"/>
                <w:iCs/>
                <w:szCs w:val="22"/>
              </w:rPr>
              <w:t>of the registration.</w:t>
            </w:r>
            <w:r w:rsidR="00DC6753">
              <w:rPr>
                <w:rStyle w:val="FootnoteReference"/>
                <w:rFonts w:asciiTheme="majorHAnsi" w:eastAsia="Calibri" w:hAnsiTheme="majorHAnsi" w:cs="Calibri"/>
                <w:iCs/>
                <w:szCs w:val="22"/>
              </w:rPr>
              <w:footnoteReference w:id="7"/>
            </w:r>
          </w:p>
          <w:p w14:paraId="18FB6E67" w14:textId="77777777" w:rsidR="00EF4529" w:rsidRDefault="00EF4529" w:rsidP="00EF4529">
            <w:pPr>
              <w:pStyle w:val="ListParagraph"/>
              <w:widowControl w:val="0"/>
              <w:autoSpaceDE w:val="0"/>
              <w:autoSpaceDN w:val="0"/>
              <w:ind w:left="360"/>
              <w:rPr>
                <w:rFonts w:asciiTheme="majorHAnsi" w:eastAsia="Calibri" w:hAnsiTheme="majorHAnsi" w:cs="Calibri"/>
                <w:iCs/>
                <w:szCs w:val="22"/>
              </w:rPr>
            </w:pPr>
          </w:p>
          <w:p w14:paraId="36F0CAE7" w14:textId="0FA38999" w:rsidR="003B5D07" w:rsidRPr="00211C7F" w:rsidRDefault="00EF4529" w:rsidP="00BB3454">
            <w:pPr>
              <w:pStyle w:val="ListParagraph"/>
              <w:widowControl w:val="0"/>
              <w:numPr>
                <w:ilvl w:val="0"/>
                <w:numId w:val="10"/>
              </w:numPr>
              <w:autoSpaceDE w:val="0"/>
              <w:autoSpaceDN w:val="0"/>
              <w:rPr>
                <w:rFonts w:asciiTheme="majorHAnsi" w:eastAsia="Calibri" w:hAnsiTheme="majorHAnsi" w:cs="Calibri"/>
                <w:iCs/>
                <w:szCs w:val="22"/>
              </w:rPr>
            </w:pPr>
            <w:r>
              <w:rPr>
                <w:rFonts w:asciiTheme="majorHAnsi" w:eastAsia="Calibri" w:hAnsiTheme="majorHAnsi" w:cs="Calibri"/>
                <w:iCs/>
                <w:szCs w:val="22"/>
              </w:rPr>
              <w:t xml:space="preserve">At the </w:t>
            </w:r>
            <w:r w:rsidRPr="00211C7F">
              <w:rPr>
                <w:rFonts w:asciiTheme="majorHAnsi" w:eastAsia="Calibri" w:hAnsiTheme="majorHAnsi" w:cs="Calibri"/>
                <w:iCs/>
                <w:szCs w:val="22"/>
              </w:rPr>
              <w:t>time of registration</w:t>
            </w:r>
            <w:r w:rsidR="009B0CCC" w:rsidRPr="00211C7F">
              <w:rPr>
                <w:rFonts w:asciiTheme="majorHAnsi" w:eastAsia="Calibri" w:hAnsiTheme="majorHAnsi" w:cs="Calibri"/>
                <w:iCs/>
                <w:szCs w:val="22"/>
              </w:rPr>
              <w:t>, upon a transfer of the sponsorship of a registration to the Registrar, or upon any change to the contact information in the registration</w:t>
            </w:r>
            <w:r w:rsidRPr="00211C7F">
              <w:rPr>
                <w:rFonts w:asciiTheme="majorHAnsi" w:eastAsia="Calibri" w:hAnsiTheme="majorHAnsi" w:cs="Calibri"/>
                <w:iCs/>
                <w:szCs w:val="22"/>
              </w:rPr>
              <w:t xml:space="preserve">, the Registrar must: </w:t>
            </w:r>
          </w:p>
          <w:p w14:paraId="5B8A3515" w14:textId="01136257" w:rsidR="00EF4529" w:rsidRPr="00211C7F" w:rsidRDefault="00EF4529" w:rsidP="00BB3454">
            <w:pPr>
              <w:pStyle w:val="ListParagraph"/>
              <w:widowControl w:val="0"/>
              <w:numPr>
                <w:ilvl w:val="1"/>
                <w:numId w:val="10"/>
              </w:numPr>
              <w:autoSpaceDE w:val="0"/>
              <w:autoSpaceDN w:val="0"/>
              <w:rPr>
                <w:rFonts w:asciiTheme="majorHAnsi" w:eastAsia="Calibri" w:hAnsiTheme="majorHAnsi" w:cs="Calibri"/>
                <w:iCs/>
                <w:szCs w:val="22"/>
              </w:rPr>
            </w:pPr>
            <w:r w:rsidRPr="00211C7F">
              <w:rPr>
                <w:rFonts w:asciiTheme="majorHAnsi" w:eastAsia="Calibri" w:hAnsiTheme="majorHAnsi" w:cs="Calibri"/>
                <w:iCs/>
                <w:szCs w:val="22"/>
              </w:rPr>
              <w:t xml:space="preserve">Verify the </w:t>
            </w:r>
            <w:r w:rsidR="002E426A" w:rsidRPr="00211C7F">
              <w:rPr>
                <w:rFonts w:asciiTheme="majorHAnsi" w:eastAsia="Calibri" w:hAnsiTheme="majorHAnsi" w:cs="Calibri"/>
                <w:iCs/>
                <w:szCs w:val="22"/>
              </w:rPr>
              <w:t>contact details</w:t>
            </w:r>
            <w:r w:rsidRPr="00211C7F">
              <w:rPr>
                <w:rFonts w:asciiTheme="majorHAnsi" w:eastAsia="Calibri" w:hAnsiTheme="majorHAnsi" w:cs="Calibri"/>
                <w:iCs/>
                <w:szCs w:val="22"/>
              </w:rPr>
              <w:t xml:space="preserve"> of the RNH</w:t>
            </w:r>
            <w:r w:rsidR="002E426A" w:rsidRPr="00211C7F">
              <w:rPr>
                <w:rFonts w:asciiTheme="majorHAnsi" w:eastAsia="Calibri" w:hAnsiTheme="majorHAnsi" w:cs="Calibri"/>
                <w:iCs/>
                <w:szCs w:val="22"/>
              </w:rPr>
              <w:t xml:space="preserve"> </w:t>
            </w:r>
            <w:r w:rsidRPr="00211C7F">
              <w:rPr>
                <w:rFonts w:asciiTheme="majorHAnsi" w:eastAsia="Calibri" w:hAnsiTheme="majorHAnsi" w:cs="Calibri"/>
                <w:iCs/>
                <w:szCs w:val="22"/>
              </w:rPr>
              <w:t xml:space="preserve">in one of several ways that each </w:t>
            </w:r>
            <w:r w:rsidR="00CE711D" w:rsidRPr="00211C7F">
              <w:rPr>
                <w:rFonts w:asciiTheme="majorHAnsi" w:eastAsia="Calibri" w:hAnsiTheme="majorHAnsi" w:cs="Calibri"/>
                <w:iCs/>
                <w:szCs w:val="22"/>
              </w:rPr>
              <w:t>requires</w:t>
            </w:r>
            <w:r w:rsidRPr="00211C7F">
              <w:rPr>
                <w:rFonts w:asciiTheme="majorHAnsi" w:eastAsia="Calibri" w:hAnsiTheme="majorHAnsi" w:cs="Calibri"/>
                <w:iCs/>
                <w:szCs w:val="22"/>
              </w:rPr>
              <w:t xml:space="preserve"> an affirmative response from the RNH and proof, using a unique code.</w:t>
            </w:r>
            <w:r w:rsidR="002E426A" w:rsidRPr="00211C7F">
              <w:rPr>
                <w:rFonts w:asciiTheme="majorHAnsi" w:eastAsia="Calibri" w:hAnsiTheme="majorHAnsi" w:cs="Calibri"/>
                <w:iCs/>
                <w:szCs w:val="22"/>
              </w:rPr>
              <w:t xml:space="preserve"> The registration must be suspended if the RNH does not respond, unless the Registrar manually verifies the RNH's contact details.</w:t>
            </w:r>
            <w:r w:rsidR="00A75DA1" w:rsidRPr="00211C7F">
              <w:rPr>
                <w:rStyle w:val="FootnoteReference"/>
                <w:rFonts w:asciiTheme="majorHAnsi" w:eastAsia="Calibri" w:hAnsiTheme="majorHAnsi" w:cs="Calibri"/>
                <w:iCs/>
                <w:szCs w:val="22"/>
              </w:rPr>
              <w:footnoteReference w:id="8"/>
            </w:r>
          </w:p>
          <w:p w14:paraId="3FBE8FCC" w14:textId="1F28D2DD" w:rsidR="002E426A" w:rsidRPr="00211C7F" w:rsidRDefault="002E426A" w:rsidP="00BB3454">
            <w:pPr>
              <w:pStyle w:val="ListParagraph"/>
              <w:widowControl w:val="0"/>
              <w:numPr>
                <w:ilvl w:val="1"/>
                <w:numId w:val="10"/>
              </w:numPr>
              <w:autoSpaceDE w:val="0"/>
              <w:autoSpaceDN w:val="0"/>
              <w:rPr>
                <w:rFonts w:asciiTheme="majorHAnsi" w:eastAsia="Calibri" w:hAnsiTheme="majorHAnsi" w:cs="Calibri"/>
                <w:iCs/>
                <w:szCs w:val="22"/>
              </w:rPr>
            </w:pPr>
            <w:r w:rsidRPr="00211C7F">
              <w:rPr>
                <w:rFonts w:asciiTheme="majorHAnsi" w:eastAsia="Calibri" w:hAnsiTheme="majorHAnsi" w:cs="Calibri"/>
                <w:iCs/>
                <w:szCs w:val="22"/>
              </w:rPr>
              <w:t>Verify the contact details of the Account Holder (if different from the RNH) in the same way; however, the Registrar is not required to suspend the registration if the contact details cannot be verified.</w:t>
            </w:r>
            <w:r w:rsidR="00A75DA1" w:rsidRPr="00211C7F">
              <w:rPr>
                <w:rStyle w:val="FootnoteReference"/>
                <w:rFonts w:asciiTheme="majorHAnsi" w:eastAsia="Calibri" w:hAnsiTheme="majorHAnsi" w:cs="Calibri"/>
                <w:iCs/>
                <w:szCs w:val="22"/>
              </w:rPr>
              <w:footnoteReference w:id="9"/>
            </w:r>
          </w:p>
          <w:p w14:paraId="13673BB1" w14:textId="3B14C122" w:rsidR="009B0CCC" w:rsidRPr="002E426A" w:rsidRDefault="009B0CCC" w:rsidP="00BB3454">
            <w:pPr>
              <w:pStyle w:val="ListParagraph"/>
              <w:widowControl w:val="0"/>
              <w:numPr>
                <w:ilvl w:val="1"/>
                <w:numId w:val="10"/>
              </w:numPr>
              <w:autoSpaceDE w:val="0"/>
              <w:autoSpaceDN w:val="0"/>
              <w:rPr>
                <w:rFonts w:asciiTheme="majorHAnsi" w:eastAsia="Calibri" w:hAnsiTheme="majorHAnsi" w:cs="Calibri"/>
                <w:iCs/>
                <w:szCs w:val="22"/>
              </w:rPr>
            </w:pPr>
            <w:r>
              <w:rPr>
                <w:rFonts w:asciiTheme="majorHAnsi" w:eastAsia="Calibri" w:hAnsiTheme="majorHAnsi" w:cs="Calibri"/>
                <w:iCs/>
                <w:szCs w:val="22"/>
              </w:rPr>
              <w:t xml:space="preserve">There are exceptions if the Registrar has already completed </w:t>
            </w:r>
            <w:proofErr w:type="gramStart"/>
            <w:r>
              <w:rPr>
                <w:rFonts w:asciiTheme="majorHAnsi" w:eastAsia="Calibri" w:hAnsiTheme="majorHAnsi" w:cs="Calibri"/>
                <w:iCs/>
                <w:szCs w:val="22"/>
              </w:rPr>
              <w:t>a verification</w:t>
            </w:r>
            <w:proofErr w:type="gramEnd"/>
            <w:r>
              <w:rPr>
                <w:rFonts w:asciiTheme="majorHAnsi" w:eastAsia="Calibri" w:hAnsiTheme="majorHAnsi" w:cs="Calibri"/>
                <w:iCs/>
                <w:szCs w:val="22"/>
              </w:rPr>
              <w:t xml:space="preserve"> and there is no reason to believe the contact information is inaccurate.</w:t>
            </w:r>
            <w:r w:rsidR="00A75DA1">
              <w:rPr>
                <w:rStyle w:val="FootnoteReference"/>
                <w:rFonts w:asciiTheme="majorHAnsi" w:eastAsia="Calibri" w:hAnsiTheme="majorHAnsi" w:cs="Calibri"/>
                <w:iCs/>
                <w:szCs w:val="22"/>
              </w:rPr>
              <w:footnoteReference w:id="10"/>
            </w:r>
          </w:p>
          <w:p w14:paraId="00C7251C" w14:textId="77777777" w:rsidR="00EF4529" w:rsidRDefault="00EF4529" w:rsidP="00EF4529">
            <w:pPr>
              <w:pStyle w:val="ListParagraph"/>
              <w:widowControl w:val="0"/>
              <w:autoSpaceDE w:val="0"/>
              <w:autoSpaceDN w:val="0"/>
              <w:ind w:left="360"/>
              <w:rPr>
                <w:rFonts w:asciiTheme="majorHAnsi" w:eastAsia="Calibri" w:hAnsiTheme="majorHAnsi" w:cs="Calibri"/>
                <w:iCs/>
                <w:szCs w:val="22"/>
              </w:rPr>
            </w:pPr>
          </w:p>
          <w:p w14:paraId="59CCD4C7" w14:textId="7B4C45B1" w:rsidR="00074907" w:rsidRPr="00074907" w:rsidRDefault="003B5D07" w:rsidP="00BB3454">
            <w:pPr>
              <w:pStyle w:val="ListParagraph"/>
              <w:widowControl w:val="0"/>
              <w:numPr>
                <w:ilvl w:val="0"/>
                <w:numId w:val="10"/>
              </w:numPr>
              <w:autoSpaceDE w:val="0"/>
              <w:autoSpaceDN w:val="0"/>
              <w:rPr>
                <w:rFonts w:asciiTheme="majorHAnsi" w:eastAsia="Calibri" w:hAnsiTheme="majorHAnsi" w:cs="Calibri"/>
                <w:iCs/>
                <w:szCs w:val="22"/>
              </w:rPr>
            </w:pPr>
            <w:r>
              <w:rPr>
                <w:rFonts w:asciiTheme="majorHAnsi" w:eastAsia="Calibri" w:hAnsiTheme="majorHAnsi" w:cs="Calibri"/>
                <w:iCs/>
                <w:szCs w:val="22"/>
              </w:rPr>
              <w:t>Registrars must comply with any Consensus Policy requiring "</w:t>
            </w:r>
            <w:r>
              <w:rPr>
                <w:rFonts w:asciiTheme="majorHAnsi" w:eastAsia="Calibri" w:hAnsiTheme="majorHAnsi" w:cs="Calibri"/>
                <w:i/>
                <w:iCs/>
                <w:szCs w:val="22"/>
              </w:rPr>
              <w:t>reasonable and commercially practicable</w:t>
            </w:r>
            <w:r>
              <w:rPr>
                <w:rFonts w:asciiTheme="majorHAnsi" w:eastAsia="Calibri" w:hAnsiTheme="majorHAnsi" w:cs="Calibri"/>
                <w:iCs/>
                <w:szCs w:val="22"/>
              </w:rPr>
              <w:t>" verification of information at the time of registration.</w:t>
            </w:r>
            <w:r w:rsidR="00DC6753">
              <w:rPr>
                <w:rStyle w:val="FootnoteReference"/>
                <w:rFonts w:asciiTheme="majorHAnsi" w:eastAsia="Calibri" w:hAnsiTheme="majorHAnsi" w:cs="Calibri"/>
                <w:iCs/>
                <w:szCs w:val="22"/>
              </w:rPr>
              <w:footnoteReference w:id="11"/>
            </w:r>
          </w:p>
        </w:tc>
      </w:tr>
      <w:tr w:rsidR="00F530FE" w14:paraId="4DFB619C" w14:textId="77777777" w:rsidTr="00F530FE">
        <w:tc>
          <w:tcPr>
            <w:tcW w:w="2649" w:type="dxa"/>
          </w:tcPr>
          <w:p w14:paraId="3947EDCB" w14:textId="7A69A69A" w:rsidR="00F530FE" w:rsidRPr="00F530FE" w:rsidRDefault="00F530FE" w:rsidP="00BB3454">
            <w:pPr>
              <w:pStyle w:val="ListParagraph"/>
              <w:widowControl w:val="0"/>
              <w:numPr>
                <w:ilvl w:val="0"/>
                <w:numId w:val="9"/>
              </w:numPr>
              <w:autoSpaceDE w:val="0"/>
              <w:autoSpaceDN w:val="0"/>
              <w:rPr>
                <w:rFonts w:asciiTheme="majorHAnsi" w:eastAsia="Calibri" w:hAnsiTheme="majorHAnsi" w:cs="Calibri"/>
                <w:i/>
                <w:iCs/>
                <w:szCs w:val="22"/>
              </w:rPr>
            </w:pPr>
            <w:r>
              <w:rPr>
                <w:rFonts w:asciiTheme="majorHAnsi" w:eastAsia="Calibri" w:hAnsiTheme="majorHAnsi" w:cs="Calibri"/>
                <w:i/>
                <w:iCs/>
                <w:szCs w:val="22"/>
              </w:rPr>
              <w:lastRenderedPageBreak/>
              <w:t>Verification of stored data</w:t>
            </w:r>
          </w:p>
        </w:tc>
        <w:tc>
          <w:tcPr>
            <w:tcW w:w="5917" w:type="dxa"/>
          </w:tcPr>
          <w:p w14:paraId="0CAC224B" w14:textId="77777777" w:rsidR="003B5D07" w:rsidRDefault="003B5D07" w:rsidP="00BB3454">
            <w:pPr>
              <w:pStyle w:val="ListParagraph"/>
              <w:widowControl w:val="0"/>
              <w:numPr>
                <w:ilvl w:val="0"/>
                <w:numId w:val="11"/>
              </w:numPr>
              <w:autoSpaceDE w:val="0"/>
              <w:autoSpaceDN w:val="0"/>
              <w:rPr>
                <w:rFonts w:asciiTheme="majorHAnsi" w:eastAsia="Calibri" w:hAnsiTheme="majorHAnsi" w:cs="Calibri"/>
                <w:iCs/>
                <w:szCs w:val="22"/>
              </w:rPr>
            </w:pPr>
            <w:r w:rsidRPr="003B5D07">
              <w:rPr>
                <w:rFonts w:asciiTheme="majorHAnsi" w:eastAsia="Calibri" w:hAnsiTheme="majorHAnsi" w:cs="Calibri"/>
                <w:iCs/>
                <w:szCs w:val="22"/>
              </w:rPr>
              <w:t>Registrars must include in their terms with Registered Name Holders ("</w:t>
            </w:r>
            <w:r w:rsidRPr="003B5D07">
              <w:rPr>
                <w:rFonts w:asciiTheme="majorHAnsi" w:eastAsia="Calibri" w:hAnsiTheme="majorHAnsi" w:cs="Calibri"/>
                <w:b/>
                <w:iCs/>
                <w:szCs w:val="22"/>
              </w:rPr>
              <w:t>RNHs</w:t>
            </w:r>
            <w:r w:rsidRPr="003B5D07">
              <w:rPr>
                <w:rFonts w:asciiTheme="majorHAnsi" w:eastAsia="Calibri" w:hAnsiTheme="majorHAnsi" w:cs="Calibri"/>
                <w:iCs/>
                <w:szCs w:val="22"/>
              </w:rPr>
              <w:t>") that:</w:t>
            </w:r>
          </w:p>
          <w:p w14:paraId="52F1C542" w14:textId="607450CB" w:rsidR="00EF4529" w:rsidRDefault="003B5D07" w:rsidP="00BB3454">
            <w:pPr>
              <w:pStyle w:val="ListParagraph"/>
              <w:widowControl w:val="0"/>
              <w:numPr>
                <w:ilvl w:val="1"/>
                <w:numId w:val="11"/>
              </w:numPr>
              <w:autoSpaceDE w:val="0"/>
              <w:autoSpaceDN w:val="0"/>
              <w:rPr>
                <w:rFonts w:asciiTheme="majorHAnsi" w:eastAsia="Calibri" w:hAnsiTheme="majorHAnsi" w:cs="Calibri"/>
                <w:iCs/>
                <w:szCs w:val="22"/>
              </w:rPr>
            </w:pPr>
            <w:r w:rsidRPr="003B5D07">
              <w:rPr>
                <w:rFonts w:asciiTheme="majorHAnsi" w:eastAsia="Calibri" w:hAnsiTheme="majorHAnsi" w:cs="Calibri"/>
                <w:iCs/>
                <w:szCs w:val="22"/>
              </w:rPr>
              <w:t>The RNH must provide "</w:t>
            </w:r>
            <w:r w:rsidRPr="003B5D07">
              <w:rPr>
                <w:rFonts w:asciiTheme="majorHAnsi" w:eastAsia="Calibri" w:hAnsiTheme="majorHAnsi" w:cs="Calibri"/>
                <w:i/>
                <w:iCs/>
                <w:szCs w:val="22"/>
              </w:rPr>
              <w:t xml:space="preserve">correct and update </w:t>
            </w:r>
            <w:r w:rsidR="00EF4529">
              <w:rPr>
                <w:rFonts w:asciiTheme="majorHAnsi" w:eastAsia="Calibri" w:hAnsiTheme="majorHAnsi" w:cs="Calibri"/>
                <w:i/>
                <w:iCs/>
                <w:szCs w:val="22"/>
              </w:rPr>
              <w:t>[contact details]</w:t>
            </w:r>
            <w:r w:rsidRPr="003B5D07">
              <w:rPr>
                <w:rFonts w:asciiTheme="majorHAnsi" w:eastAsia="Calibri" w:hAnsiTheme="majorHAnsi" w:cs="Calibri"/>
                <w:i/>
                <w:iCs/>
                <w:szCs w:val="22"/>
              </w:rPr>
              <w:t xml:space="preserve"> within seven (7) days of any change during the term…</w:t>
            </w:r>
            <w:r w:rsidRPr="003B5D07">
              <w:rPr>
                <w:rFonts w:asciiTheme="majorHAnsi" w:eastAsia="Calibri" w:hAnsiTheme="majorHAnsi" w:cs="Calibri"/>
                <w:iCs/>
                <w:szCs w:val="22"/>
              </w:rPr>
              <w:t>"</w:t>
            </w:r>
            <w:r w:rsidR="00DC6753">
              <w:rPr>
                <w:rStyle w:val="FootnoteReference"/>
                <w:rFonts w:asciiTheme="majorHAnsi" w:eastAsia="Calibri" w:hAnsiTheme="majorHAnsi" w:cs="Calibri"/>
                <w:iCs/>
                <w:szCs w:val="22"/>
              </w:rPr>
              <w:footnoteReference w:id="12"/>
            </w:r>
            <w:r w:rsidRPr="003B5D07">
              <w:rPr>
                <w:rFonts w:asciiTheme="majorHAnsi" w:eastAsia="Calibri" w:hAnsiTheme="majorHAnsi" w:cs="Calibri"/>
                <w:iCs/>
                <w:szCs w:val="22"/>
              </w:rPr>
              <w:t>; and</w:t>
            </w:r>
          </w:p>
          <w:p w14:paraId="2EF1256F" w14:textId="4E9EEF77" w:rsidR="003B5D07" w:rsidRPr="00EF4529" w:rsidRDefault="003B5D07" w:rsidP="00BB3454">
            <w:pPr>
              <w:pStyle w:val="ListParagraph"/>
              <w:widowControl w:val="0"/>
              <w:numPr>
                <w:ilvl w:val="1"/>
                <w:numId w:val="11"/>
              </w:numPr>
              <w:autoSpaceDE w:val="0"/>
              <w:autoSpaceDN w:val="0"/>
              <w:rPr>
                <w:rFonts w:asciiTheme="majorHAnsi" w:eastAsia="Calibri" w:hAnsiTheme="majorHAnsi" w:cs="Calibri"/>
                <w:iCs/>
                <w:szCs w:val="22"/>
              </w:rPr>
            </w:pPr>
            <w:r w:rsidRPr="00EF4529">
              <w:rPr>
                <w:rFonts w:asciiTheme="majorHAnsi" w:eastAsia="Calibri" w:hAnsiTheme="majorHAnsi" w:cs="Calibri"/>
                <w:iCs/>
                <w:szCs w:val="22"/>
              </w:rPr>
              <w:t xml:space="preserve">The </w:t>
            </w:r>
            <w:r w:rsidR="00CE711D" w:rsidRPr="00EF4529">
              <w:rPr>
                <w:rFonts w:asciiTheme="majorHAnsi" w:eastAsia="Calibri" w:hAnsiTheme="majorHAnsi" w:cs="Calibri"/>
                <w:iCs/>
                <w:szCs w:val="22"/>
              </w:rPr>
              <w:t>wilful</w:t>
            </w:r>
            <w:r w:rsidRPr="00EF4529">
              <w:rPr>
                <w:rFonts w:asciiTheme="majorHAnsi" w:eastAsia="Calibri" w:hAnsiTheme="majorHAnsi" w:cs="Calibri"/>
                <w:iCs/>
                <w:szCs w:val="22"/>
              </w:rPr>
              <w:t xml:space="preserve"> failure to update information or respond to inquiries from the Registrar concerning accuracy is a material breach and cause for the suspension and/or cancellation of the registration.</w:t>
            </w:r>
            <w:r w:rsidR="00DC6753">
              <w:rPr>
                <w:rStyle w:val="FootnoteReference"/>
                <w:rFonts w:asciiTheme="majorHAnsi" w:eastAsia="Calibri" w:hAnsiTheme="majorHAnsi" w:cs="Calibri"/>
                <w:iCs/>
                <w:szCs w:val="22"/>
              </w:rPr>
              <w:footnoteReference w:id="13"/>
            </w:r>
          </w:p>
          <w:p w14:paraId="4BE79C03" w14:textId="77777777" w:rsidR="003B5D07" w:rsidRDefault="003B5D07" w:rsidP="00EF4529">
            <w:pPr>
              <w:widowControl w:val="0"/>
              <w:autoSpaceDE w:val="0"/>
              <w:autoSpaceDN w:val="0"/>
              <w:rPr>
                <w:rFonts w:asciiTheme="majorHAnsi" w:eastAsia="Calibri" w:hAnsiTheme="majorHAnsi" w:cs="Calibri"/>
                <w:iCs/>
                <w:szCs w:val="22"/>
              </w:rPr>
            </w:pPr>
          </w:p>
          <w:p w14:paraId="571AC795" w14:textId="208136CE" w:rsidR="00E51A87" w:rsidRDefault="00E51A87" w:rsidP="00BB3454">
            <w:pPr>
              <w:pStyle w:val="ListParagraph"/>
              <w:widowControl w:val="0"/>
              <w:numPr>
                <w:ilvl w:val="0"/>
                <w:numId w:val="11"/>
              </w:numPr>
              <w:autoSpaceDE w:val="0"/>
              <w:autoSpaceDN w:val="0"/>
              <w:rPr>
                <w:rFonts w:asciiTheme="majorHAnsi" w:eastAsia="Calibri" w:hAnsiTheme="majorHAnsi" w:cs="Calibri"/>
                <w:iCs/>
                <w:szCs w:val="22"/>
              </w:rPr>
            </w:pPr>
            <w:r w:rsidRPr="00EF4529">
              <w:rPr>
                <w:rFonts w:asciiTheme="majorHAnsi" w:eastAsia="Calibri" w:hAnsiTheme="majorHAnsi" w:cs="Calibri"/>
                <w:iCs/>
                <w:szCs w:val="22"/>
              </w:rPr>
              <w:t>Registrars must comply with any Consensus Policy requiring "</w:t>
            </w:r>
            <w:r w:rsidRPr="00EF4529">
              <w:rPr>
                <w:rFonts w:asciiTheme="majorHAnsi" w:eastAsia="Calibri" w:hAnsiTheme="majorHAnsi" w:cs="Calibri"/>
                <w:i/>
                <w:iCs/>
                <w:szCs w:val="22"/>
              </w:rPr>
              <w:t>reasonable and commercially practicable</w:t>
            </w:r>
            <w:r w:rsidRPr="00EF4529">
              <w:rPr>
                <w:rFonts w:asciiTheme="majorHAnsi" w:eastAsia="Calibri" w:hAnsiTheme="majorHAnsi" w:cs="Calibri"/>
                <w:iCs/>
                <w:szCs w:val="22"/>
              </w:rPr>
              <w:t>" periodic re-verification of information.</w:t>
            </w:r>
            <w:r w:rsidR="00DC6753">
              <w:rPr>
                <w:rStyle w:val="FootnoteReference"/>
                <w:rFonts w:asciiTheme="majorHAnsi" w:eastAsia="Calibri" w:hAnsiTheme="majorHAnsi" w:cs="Calibri"/>
                <w:iCs/>
                <w:szCs w:val="22"/>
              </w:rPr>
              <w:footnoteReference w:id="14"/>
            </w:r>
          </w:p>
          <w:p w14:paraId="144E0423" w14:textId="39679272" w:rsidR="0018499A" w:rsidRDefault="0018499A" w:rsidP="00BB3454">
            <w:pPr>
              <w:pStyle w:val="ListParagraph"/>
              <w:widowControl w:val="0"/>
              <w:numPr>
                <w:ilvl w:val="1"/>
                <w:numId w:val="11"/>
              </w:numPr>
              <w:autoSpaceDE w:val="0"/>
              <w:autoSpaceDN w:val="0"/>
              <w:rPr>
                <w:rFonts w:asciiTheme="majorHAnsi" w:eastAsia="Calibri" w:hAnsiTheme="majorHAnsi" w:cs="Calibri"/>
                <w:iCs/>
                <w:szCs w:val="22"/>
              </w:rPr>
            </w:pPr>
            <w:r>
              <w:rPr>
                <w:rFonts w:asciiTheme="majorHAnsi" w:eastAsia="Calibri" w:hAnsiTheme="majorHAnsi" w:cs="Calibri"/>
                <w:iCs/>
                <w:szCs w:val="22"/>
              </w:rPr>
              <w:t xml:space="preserve">The </w:t>
            </w:r>
            <w:proofErr w:type="spellStart"/>
            <w:r>
              <w:rPr>
                <w:rFonts w:asciiTheme="majorHAnsi" w:eastAsia="Calibri" w:hAnsiTheme="majorHAnsi" w:cs="Calibri"/>
                <w:iCs/>
                <w:szCs w:val="22"/>
              </w:rPr>
              <w:t>Whois</w:t>
            </w:r>
            <w:proofErr w:type="spellEnd"/>
            <w:r>
              <w:rPr>
                <w:rFonts w:asciiTheme="majorHAnsi" w:eastAsia="Calibri" w:hAnsiTheme="majorHAnsi" w:cs="Calibri"/>
                <w:iCs/>
                <w:szCs w:val="22"/>
              </w:rPr>
              <w:t xml:space="preserve"> Data Reminder Policy</w:t>
            </w:r>
            <w:r w:rsidR="00C87715">
              <w:rPr>
                <w:rStyle w:val="FootnoteReference"/>
                <w:rFonts w:asciiTheme="majorHAnsi" w:eastAsia="Calibri" w:hAnsiTheme="majorHAnsi" w:cs="Calibri"/>
                <w:iCs/>
                <w:szCs w:val="22"/>
              </w:rPr>
              <w:footnoteReference w:id="15"/>
            </w:r>
            <w:r>
              <w:rPr>
                <w:rFonts w:asciiTheme="majorHAnsi" w:eastAsia="Calibri" w:hAnsiTheme="majorHAnsi" w:cs="Calibri"/>
                <w:iCs/>
                <w:szCs w:val="22"/>
              </w:rPr>
              <w:t xml:space="preserve"> requires Registrars to </w:t>
            </w:r>
            <w:r w:rsidR="00C87715">
              <w:rPr>
                <w:rFonts w:asciiTheme="majorHAnsi" w:eastAsia="Calibri" w:hAnsiTheme="majorHAnsi" w:cs="Calibri"/>
                <w:iCs/>
                <w:szCs w:val="22"/>
              </w:rPr>
              <w:t xml:space="preserve">send an annual reminder to </w:t>
            </w:r>
            <w:r w:rsidR="00C87715">
              <w:rPr>
                <w:rFonts w:asciiTheme="majorHAnsi" w:eastAsia="Calibri" w:hAnsiTheme="majorHAnsi" w:cs="Calibri"/>
                <w:iCs/>
                <w:szCs w:val="22"/>
              </w:rPr>
              <w:lastRenderedPageBreak/>
              <w:t>registrants. The reminder includes details of the contact information for the registrant, administrative contact and technical contact. The registrant is offered to opportunity to correct errors, but is not required to respond.</w:t>
            </w:r>
          </w:p>
          <w:p w14:paraId="41F9DC6C" w14:textId="77777777" w:rsidR="00C87715" w:rsidRDefault="00C87715" w:rsidP="00C87715">
            <w:pPr>
              <w:pStyle w:val="ListParagraph"/>
              <w:widowControl w:val="0"/>
              <w:autoSpaceDE w:val="0"/>
              <w:autoSpaceDN w:val="0"/>
              <w:ind w:left="360"/>
              <w:rPr>
                <w:rFonts w:asciiTheme="majorHAnsi" w:eastAsia="Calibri" w:hAnsiTheme="majorHAnsi" w:cs="Calibri"/>
                <w:iCs/>
                <w:szCs w:val="22"/>
              </w:rPr>
            </w:pPr>
          </w:p>
          <w:p w14:paraId="177A682E" w14:textId="51ADC26A" w:rsidR="00F530FE" w:rsidRPr="00E51A87" w:rsidRDefault="0018499A" w:rsidP="00BB3454">
            <w:pPr>
              <w:pStyle w:val="ListParagraph"/>
              <w:widowControl w:val="0"/>
              <w:numPr>
                <w:ilvl w:val="0"/>
                <w:numId w:val="11"/>
              </w:numPr>
              <w:autoSpaceDE w:val="0"/>
              <w:autoSpaceDN w:val="0"/>
              <w:rPr>
                <w:rFonts w:asciiTheme="majorHAnsi" w:eastAsia="Calibri" w:hAnsiTheme="majorHAnsi" w:cs="Calibri"/>
                <w:iCs/>
                <w:szCs w:val="22"/>
              </w:rPr>
            </w:pPr>
            <w:r>
              <w:rPr>
                <w:rFonts w:asciiTheme="majorHAnsi" w:eastAsia="Calibri" w:hAnsiTheme="majorHAnsi" w:cs="Calibri"/>
                <w:iCs/>
                <w:szCs w:val="22"/>
              </w:rPr>
              <w:t>If a Registrar has any information suggesting that contact information is incorrect</w:t>
            </w:r>
            <w:r w:rsidR="00C87715">
              <w:rPr>
                <w:rFonts w:asciiTheme="majorHAnsi" w:eastAsia="Calibri" w:hAnsiTheme="majorHAnsi" w:cs="Calibri"/>
                <w:iCs/>
                <w:szCs w:val="22"/>
              </w:rPr>
              <w:t xml:space="preserve"> (e.g. because a </w:t>
            </w:r>
            <w:proofErr w:type="spellStart"/>
            <w:r w:rsidR="00C87715">
              <w:rPr>
                <w:rFonts w:asciiTheme="majorHAnsi" w:eastAsia="Calibri" w:hAnsiTheme="majorHAnsi" w:cs="Calibri"/>
                <w:iCs/>
                <w:szCs w:val="22"/>
              </w:rPr>
              <w:t>Whois</w:t>
            </w:r>
            <w:proofErr w:type="spellEnd"/>
            <w:r w:rsidR="00C87715">
              <w:rPr>
                <w:rFonts w:asciiTheme="majorHAnsi" w:eastAsia="Calibri" w:hAnsiTheme="majorHAnsi" w:cs="Calibri"/>
                <w:iCs/>
                <w:szCs w:val="22"/>
              </w:rPr>
              <w:t xml:space="preserve"> Data Reminder email bounces back), the Registrar must verify the contact details as it would for a new registration.</w:t>
            </w:r>
            <w:r w:rsidR="00DC6753">
              <w:rPr>
                <w:rStyle w:val="FootnoteReference"/>
                <w:rFonts w:asciiTheme="majorHAnsi" w:eastAsia="Calibri" w:hAnsiTheme="majorHAnsi" w:cs="Calibri"/>
                <w:iCs/>
                <w:szCs w:val="22"/>
              </w:rPr>
              <w:footnoteReference w:id="16"/>
            </w:r>
            <w:r>
              <w:rPr>
                <w:rFonts w:asciiTheme="majorHAnsi" w:eastAsia="Calibri" w:hAnsiTheme="majorHAnsi" w:cs="Calibri"/>
                <w:iCs/>
                <w:szCs w:val="22"/>
              </w:rPr>
              <w:t xml:space="preserve"> </w:t>
            </w:r>
          </w:p>
        </w:tc>
      </w:tr>
      <w:tr w:rsidR="00F530FE" w14:paraId="05759065" w14:textId="77777777" w:rsidTr="00F530FE">
        <w:tc>
          <w:tcPr>
            <w:tcW w:w="2649" w:type="dxa"/>
          </w:tcPr>
          <w:p w14:paraId="3FDC80A7" w14:textId="2F70AFA0" w:rsidR="00F530FE" w:rsidRPr="00F530FE" w:rsidRDefault="00F530FE" w:rsidP="00BB3454">
            <w:pPr>
              <w:pStyle w:val="ListParagraph"/>
              <w:widowControl w:val="0"/>
              <w:numPr>
                <w:ilvl w:val="0"/>
                <w:numId w:val="9"/>
              </w:numPr>
              <w:autoSpaceDE w:val="0"/>
              <w:autoSpaceDN w:val="0"/>
              <w:rPr>
                <w:rFonts w:asciiTheme="majorHAnsi" w:eastAsia="Calibri" w:hAnsiTheme="majorHAnsi" w:cs="Calibri"/>
                <w:i/>
                <w:iCs/>
                <w:szCs w:val="22"/>
              </w:rPr>
            </w:pPr>
            <w:r>
              <w:rPr>
                <w:rFonts w:asciiTheme="majorHAnsi" w:eastAsia="Calibri" w:hAnsiTheme="majorHAnsi" w:cs="Calibri"/>
                <w:i/>
                <w:iCs/>
                <w:szCs w:val="22"/>
              </w:rPr>
              <w:lastRenderedPageBreak/>
              <w:t>Data subject requests</w:t>
            </w:r>
          </w:p>
        </w:tc>
        <w:tc>
          <w:tcPr>
            <w:tcW w:w="5917" w:type="dxa"/>
          </w:tcPr>
          <w:p w14:paraId="09405E7D" w14:textId="2A766A5C" w:rsidR="00F530FE" w:rsidRPr="000F13FB" w:rsidRDefault="00DC6753" w:rsidP="00BB3454">
            <w:pPr>
              <w:pStyle w:val="ListParagraph"/>
              <w:widowControl w:val="0"/>
              <w:numPr>
                <w:ilvl w:val="0"/>
                <w:numId w:val="12"/>
              </w:numPr>
              <w:autoSpaceDE w:val="0"/>
              <w:autoSpaceDN w:val="0"/>
              <w:rPr>
                <w:rFonts w:asciiTheme="majorHAnsi" w:eastAsia="Calibri" w:hAnsiTheme="majorHAnsi" w:cs="Calibri"/>
                <w:iCs/>
                <w:szCs w:val="22"/>
              </w:rPr>
            </w:pPr>
            <w:r>
              <w:rPr>
                <w:rFonts w:asciiTheme="majorHAnsi" w:eastAsia="Calibri" w:hAnsiTheme="majorHAnsi" w:cs="Calibri"/>
                <w:iCs/>
                <w:szCs w:val="22"/>
              </w:rPr>
              <w:t>"</w:t>
            </w:r>
            <w:r w:rsidRPr="00DC6753">
              <w:rPr>
                <w:rFonts w:asciiTheme="majorHAnsi" w:eastAsia="Calibri" w:hAnsiTheme="majorHAnsi" w:cs="Calibri"/>
                <w:i/>
                <w:iCs/>
                <w:szCs w:val="22"/>
              </w:rPr>
              <w:t>Registrar shall, upon notification by any person of an inaccuracy in the contact information associated with a Registered Name sponsored by Registrar, take reasonable steps to investigate that claimed inaccuracy. In the event Registrar learns of inaccurate contact information associated with a Registered Name it sponsors, it shall take reasonable steps to correct that inaccuracy</w:t>
            </w:r>
            <w:r>
              <w:rPr>
                <w:rFonts w:asciiTheme="majorHAnsi" w:eastAsia="Calibri" w:hAnsiTheme="majorHAnsi" w:cs="Calibri"/>
                <w:iCs/>
                <w:szCs w:val="22"/>
              </w:rPr>
              <w:t>"</w:t>
            </w:r>
            <w:r w:rsidRPr="00DC6753">
              <w:rPr>
                <w:rFonts w:asciiTheme="majorHAnsi" w:eastAsia="Calibri" w:hAnsiTheme="majorHAnsi" w:cs="Calibri"/>
                <w:iCs/>
                <w:szCs w:val="22"/>
              </w:rPr>
              <w:t>.</w:t>
            </w:r>
            <w:r>
              <w:rPr>
                <w:rStyle w:val="FootnoteReference"/>
                <w:rFonts w:asciiTheme="majorHAnsi" w:eastAsia="Calibri" w:hAnsiTheme="majorHAnsi" w:cs="Calibri"/>
                <w:iCs/>
                <w:szCs w:val="22"/>
              </w:rPr>
              <w:footnoteReference w:id="17"/>
            </w:r>
          </w:p>
        </w:tc>
      </w:tr>
    </w:tbl>
    <w:p w14:paraId="1102D8E4" w14:textId="77777777" w:rsidR="00F530FE" w:rsidRDefault="00F530FE" w:rsidP="00A75DA1">
      <w:pPr>
        <w:widowControl w:val="0"/>
        <w:autoSpaceDE w:val="0"/>
        <w:autoSpaceDN w:val="0"/>
        <w:spacing w:after="0"/>
        <w:rPr>
          <w:rFonts w:asciiTheme="majorHAnsi" w:eastAsia="Calibri" w:hAnsiTheme="majorHAnsi" w:cs="Calibri"/>
          <w:iCs/>
          <w:szCs w:val="22"/>
        </w:rPr>
      </w:pPr>
    </w:p>
    <w:p w14:paraId="587B895F" w14:textId="6066BA30" w:rsidR="00A75DA1" w:rsidRDefault="00A75DA1" w:rsidP="00A75DA1">
      <w:pPr>
        <w:widowControl w:val="0"/>
        <w:autoSpaceDE w:val="0"/>
        <w:autoSpaceDN w:val="0"/>
        <w:spacing w:after="0"/>
        <w:rPr>
          <w:rFonts w:asciiTheme="majorHAnsi" w:eastAsia="Calibri" w:hAnsiTheme="majorHAnsi" w:cs="Calibri"/>
          <w:b/>
          <w:iCs/>
          <w:szCs w:val="22"/>
        </w:rPr>
      </w:pPr>
      <w:r>
        <w:rPr>
          <w:rFonts w:asciiTheme="majorHAnsi" w:eastAsia="Calibri" w:hAnsiTheme="majorHAnsi" w:cs="Calibri"/>
          <w:b/>
          <w:iCs/>
          <w:szCs w:val="22"/>
        </w:rPr>
        <w:t>Analysis</w:t>
      </w:r>
    </w:p>
    <w:p w14:paraId="1651EFBC" w14:textId="77777777" w:rsidR="00A75DA1" w:rsidRPr="00A75DA1" w:rsidRDefault="00A75DA1" w:rsidP="00A75DA1">
      <w:pPr>
        <w:widowControl w:val="0"/>
        <w:autoSpaceDE w:val="0"/>
        <w:autoSpaceDN w:val="0"/>
        <w:spacing w:after="0"/>
        <w:rPr>
          <w:rFonts w:asciiTheme="majorHAnsi" w:eastAsia="Calibri" w:hAnsiTheme="majorHAnsi" w:cs="Calibri"/>
          <w:b/>
          <w:iCs/>
          <w:szCs w:val="22"/>
        </w:rPr>
      </w:pPr>
    </w:p>
    <w:p w14:paraId="23404C30" w14:textId="77777777" w:rsidR="00A75DA1" w:rsidRDefault="00A75DA1" w:rsidP="00BB3454">
      <w:pPr>
        <w:pStyle w:val="ListParagraph"/>
        <w:widowControl w:val="0"/>
        <w:numPr>
          <w:ilvl w:val="0"/>
          <w:numId w:val="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The Accuracy Principle requires controllers to take "reasonable steps" to ensure that personal data is accurate and up-to-date. In some instances, it is reasonable for a controller to rely on the person submitting the data to provide data that is accurate. In other instances, the GDPR requires controllers to take affirmative steps to ensure that the data submitted is indeed accurate. What steps are appropriate will depend on the circumstances and the nature of the risks presented to data subjects.</w:t>
      </w:r>
    </w:p>
    <w:p w14:paraId="56D6F178" w14:textId="386AF94E" w:rsidR="00CE711D" w:rsidRDefault="00CE711D" w:rsidP="00CE711D">
      <w:pPr>
        <w:pStyle w:val="ListParagraph"/>
        <w:widowControl w:val="0"/>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 xml:space="preserve"> </w:t>
      </w:r>
    </w:p>
    <w:p w14:paraId="3B7348F9" w14:textId="77777777" w:rsidR="00CE711D" w:rsidRPr="00CE711D" w:rsidRDefault="00CE711D" w:rsidP="00CE711D">
      <w:pPr>
        <w:pStyle w:val="ListParagraph"/>
        <w:numPr>
          <w:ilvl w:val="0"/>
          <w:numId w:val="7"/>
        </w:numPr>
        <w:rPr>
          <w:rFonts w:asciiTheme="majorHAnsi" w:eastAsia="Calibri" w:hAnsiTheme="majorHAnsi" w:cs="Calibri"/>
          <w:iCs/>
          <w:szCs w:val="22"/>
        </w:rPr>
      </w:pPr>
      <w:r w:rsidRPr="00CE711D">
        <w:rPr>
          <w:rFonts w:asciiTheme="majorHAnsi" w:eastAsia="Calibri" w:hAnsiTheme="majorHAnsi" w:cs="Calibri"/>
          <w:iCs/>
          <w:szCs w:val="22"/>
        </w:rPr>
        <w:t>The Agreement sets out procedures by which Registrar's must actively verify data they receive and periodically confirm that it remains up to date. Registrars are also tasked with reasonably responding to requests from data subjects. As the GDPR requirement turns on what is reasonable under the circumstances, only ICANN and the relevant parties can confirm that these procedures are indeed sufficient. However, the procedures required by the Agreement certainly seek to address accuracy, as per the GDPR's Accuracy Principle.</w:t>
      </w:r>
    </w:p>
    <w:p w14:paraId="42461B3C" w14:textId="77777777" w:rsidR="00A75DA1" w:rsidRDefault="00A75DA1" w:rsidP="00A75DA1">
      <w:pPr>
        <w:pStyle w:val="ListParagraph"/>
        <w:widowControl w:val="0"/>
        <w:autoSpaceDE w:val="0"/>
        <w:autoSpaceDN w:val="0"/>
        <w:spacing w:after="0"/>
        <w:rPr>
          <w:rFonts w:asciiTheme="majorHAnsi" w:eastAsia="Calibri" w:hAnsiTheme="majorHAnsi" w:cs="Calibri"/>
          <w:iCs/>
          <w:szCs w:val="22"/>
        </w:rPr>
      </w:pPr>
    </w:p>
    <w:p w14:paraId="70265561" w14:textId="737D901C" w:rsidR="0005730F" w:rsidRDefault="0005730F" w:rsidP="00BB3454">
      <w:pPr>
        <w:pStyle w:val="ListParagraph"/>
        <w:widowControl w:val="0"/>
        <w:numPr>
          <w:ilvl w:val="0"/>
          <w:numId w:val="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The Agreement</w:t>
      </w:r>
      <w:r w:rsidR="00D47632">
        <w:rPr>
          <w:rFonts w:asciiTheme="majorHAnsi" w:eastAsia="Calibri" w:hAnsiTheme="majorHAnsi" w:cs="Calibri"/>
          <w:iCs/>
          <w:szCs w:val="22"/>
        </w:rPr>
        <w:t>'s proce</w:t>
      </w:r>
      <w:r w:rsidR="00A32CFB">
        <w:rPr>
          <w:rFonts w:asciiTheme="majorHAnsi" w:eastAsia="Calibri" w:hAnsiTheme="majorHAnsi" w:cs="Calibri"/>
          <w:iCs/>
          <w:szCs w:val="22"/>
        </w:rPr>
        <w:t>dures require Registrar</w:t>
      </w:r>
      <w:r w:rsidR="00D47632">
        <w:rPr>
          <w:rFonts w:asciiTheme="majorHAnsi" w:eastAsia="Calibri" w:hAnsiTheme="majorHAnsi" w:cs="Calibri"/>
          <w:iCs/>
          <w:szCs w:val="22"/>
        </w:rPr>
        <w:t>s to take affirmative steps to confirm that data provided by registrants is accurate</w:t>
      </w:r>
      <w:r>
        <w:rPr>
          <w:rFonts w:asciiTheme="majorHAnsi" w:eastAsia="Calibri" w:hAnsiTheme="majorHAnsi" w:cs="Calibri"/>
          <w:iCs/>
          <w:szCs w:val="22"/>
        </w:rPr>
        <w:t xml:space="preserve">. </w:t>
      </w:r>
      <w:r w:rsidR="00D47632">
        <w:rPr>
          <w:rFonts w:asciiTheme="majorHAnsi" w:eastAsia="Calibri" w:hAnsiTheme="majorHAnsi" w:cs="Calibri"/>
          <w:iCs/>
          <w:szCs w:val="22"/>
        </w:rPr>
        <w:t>T</w:t>
      </w:r>
      <w:r>
        <w:rPr>
          <w:rFonts w:asciiTheme="majorHAnsi" w:eastAsia="Calibri" w:hAnsiTheme="majorHAnsi" w:cs="Calibri"/>
          <w:iCs/>
          <w:szCs w:val="22"/>
        </w:rPr>
        <w:t xml:space="preserve">he </w:t>
      </w:r>
      <w:r w:rsidR="00D47632">
        <w:rPr>
          <w:rFonts w:asciiTheme="majorHAnsi" w:eastAsia="Calibri" w:hAnsiTheme="majorHAnsi" w:cs="Calibri"/>
          <w:iCs/>
          <w:szCs w:val="22"/>
        </w:rPr>
        <w:t>R</w:t>
      </w:r>
      <w:r>
        <w:rPr>
          <w:rFonts w:asciiTheme="majorHAnsi" w:eastAsia="Calibri" w:hAnsiTheme="majorHAnsi" w:cs="Calibri"/>
          <w:iCs/>
          <w:szCs w:val="22"/>
        </w:rPr>
        <w:t xml:space="preserve">egistrar is required to contact the registrant via the contact details provided and to suspend a registration if the registrant does not confirm in an appropriate manner. </w:t>
      </w:r>
    </w:p>
    <w:p w14:paraId="5654F8FA" w14:textId="77777777" w:rsidR="00D47632" w:rsidRPr="00D47632" w:rsidRDefault="00D47632" w:rsidP="00D47632">
      <w:pPr>
        <w:pStyle w:val="ListParagraph"/>
        <w:rPr>
          <w:rFonts w:asciiTheme="majorHAnsi" w:eastAsia="Calibri" w:hAnsiTheme="majorHAnsi" w:cs="Calibri"/>
          <w:iCs/>
          <w:szCs w:val="22"/>
        </w:rPr>
      </w:pPr>
    </w:p>
    <w:p w14:paraId="63F20274" w14:textId="7183375E" w:rsidR="00D47632" w:rsidRDefault="00D47632" w:rsidP="00BB3454">
      <w:pPr>
        <w:pStyle w:val="ListParagraph"/>
        <w:widowControl w:val="0"/>
        <w:numPr>
          <w:ilvl w:val="0"/>
          <w:numId w:val="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 xml:space="preserve">Likewise, the Agreement – and the corresponding </w:t>
      </w:r>
      <w:proofErr w:type="spellStart"/>
      <w:r>
        <w:rPr>
          <w:rFonts w:asciiTheme="majorHAnsi" w:eastAsia="Calibri" w:hAnsiTheme="majorHAnsi" w:cs="Calibri"/>
          <w:iCs/>
          <w:szCs w:val="22"/>
        </w:rPr>
        <w:t>Whois</w:t>
      </w:r>
      <w:proofErr w:type="spellEnd"/>
      <w:r>
        <w:rPr>
          <w:rFonts w:asciiTheme="majorHAnsi" w:eastAsia="Calibri" w:hAnsiTheme="majorHAnsi" w:cs="Calibri"/>
          <w:iCs/>
          <w:szCs w:val="22"/>
        </w:rPr>
        <w:t xml:space="preserve"> Data Reminder Policy – requires the Registrar to confirm registration details with the registrant on an annual basis. This addresses a potential concern that registration data may become out of date. </w:t>
      </w:r>
    </w:p>
    <w:p w14:paraId="4C5D501E" w14:textId="77777777" w:rsidR="0005730F" w:rsidRPr="0005730F" w:rsidRDefault="0005730F" w:rsidP="0005730F">
      <w:pPr>
        <w:pStyle w:val="ListParagraph"/>
        <w:rPr>
          <w:rFonts w:asciiTheme="majorHAnsi" w:eastAsia="Calibri" w:hAnsiTheme="majorHAnsi" w:cs="Calibri"/>
          <w:iCs/>
          <w:szCs w:val="22"/>
        </w:rPr>
      </w:pPr>
    </w:p>
    <w:p w14:paraId="46B8930B" w14:textId="32DF20C5" w:rsidR="00F530FE" w:rsidRPr="00A32CFB" w:rsidRDefault="0005730F" w:rsidP="00BB3454">
      <w:pPr>
        <w:pStyle w:val="ListParagraph"/>
        <w:widowControl w:val="0"/>
        <w:numPr>
          <w:ilvl w:val="0"/>
          <w:numId w:val="7"/>
        </w:numPr>
        <w:autoSpaceDE w:val="0"/>
        <w:autoSpaceDN w:val="0"/>
        <w:spacing w:after="0"/>
        <w:rPr>
          <w:rFonts w:asciiTheme="majorHAnsi" w:eastAsia="Calibri" w:hAnsiTheme="majorHAnsi" w:cs="Calibri"/>
          <w:iCs/>
          <w:szCs w:val="22"/>
        </w:rPr>
      </w:pPr>
      <w:r w:rsidRPr="00A32CFB">
        <w:rPr>
          <w:rFonts w:asciiTheme="majorHAnsi" w:eastAsia="Calibri" w:hAnsiTheme="majorHAnsi" w:cs="Calibri"/>
          <w:iCs/>
          <w:szCs w:val="22"/>
        </w:rPr>
        <w:t xml:space="preserve">There may be questions as to whether it is sufficient for the RNH or Account Holder to confirm the accuracy of information relating to technical and administrative contacts, instead of asking </w:t>
      </w:r>
      <w:r w:rsidR="00A32CFB" w:rsidRPr="00A32CFB">
        <w:rPr>
          <w:rFonts w:asciiTheme="majorHAnsi" w:eastAsia="Calibri" w:hAnsiTheme="majorHAnsi" w:cs="Calibri"/>
          <w:iCs/>
          <w:szCs w:val="22"/>
        </w:rPr>
        <w:t xml:space="preserve">information of </w:t>
      </w:r>
      <w:r w:rsidRPr="00A32CFB">
        <w:rPr>
          <w:rFonts w:asciiTheme="majorHAnsi" w:eastAsia="Calibri" w:hAnsiTheme="majorHAnsi" w:cs="Calibri"/>
          <w:iCs/>
          <w:szCs w:val="22"/>
        </w:rPr>
        <w:t xml:space="preserve">such contacts directly. </w:t>
      </w:r>
      <w:r w:rsidR="00477BF7" w:rsidRPr="00A32CFB">
        <w:rPr>
          <w:rFonts w:asciiTheme="majorHAnsi" w:eastAsia="Calibri" w:hAnsiTheme="majorHAnsi" w:cs="Calibri"/>
          <w:iCs/>
          <w:szCs w:val="22"/>
        </w:rPr>
        <w:t xml:space="preserve">GDPR does not </w:t>
      </w:r>
      <w:r w:rsidR="00A32CFB" w:rsidRPr="00A32CFB">
        <w:rPr>
          <w:rFonts w:asciiTheme="majorHAnsi" w:eastAsia="Calibri" w:hAnsiTheme="majorHAnsi" w:cs="Calibri"/>
          <w:iCs/>
          <w:szCs w:val="22"/>
        </w:rPr>
        <w:lastRenderedPageBreak/>
        <w:t xml:space="preserve">necessarily </w:t>
      </w:r>
      <w:r w:rsidR="00477BF7" w:rsidRPr="00A32CFB">
        <w:rPr>
          <w:rFonts w:asciiTheme="majorHAnsi" w:eastAsia="Calibri" w:hAnsiTheme="majorHAnsi" w:cs="Calibri"/>
          <w:iCs/>
          <w:szCs w:val="22"/>
        </w:rPr>
        <w:t xml:space="preserve">require that, in cases where the personal data must be validated, that it be validated by the data subject herself. ICANN and the relevant parties may </w:t>
      </w:r>
      <w:r w:rsidR="00BB3454" w:rsidRPr="00A32CFB">
        <w:rPr>
          <w:rFonts w:asciiTheme="majorHAnsi" w:eastAsia="Calibri" w:hAnsiTheme="majorHAnsi" w:cs="Calibri"/>
          <w:iCs/>
          <w:szCs w:val="22"/>
        </w:rPr>
        <w:t xml:space="preserve">rely on third-parties to confirm the accuracy of personal data if it is reasonable to do so. Therefore, we see no immediate reason to </w:t>
      </w:r>
      <w:r w:rsidR="00477BF7" w:rsidRPr="00A32CFB">
        <w:rPr>
          <w:rFonts w:asciiTheme="majorHAnsi" w:eastAsia="Calibri" w:hAnsiTheme="majorHAnsi" w:cs="Calibri"/>
          <w:iCs/>
          <w:szCs w:val="22"/>
        </w:rPr>
        <w:t xml:space="preserve">find that the current procedures are </w:t>
      </w:r>
      <w:r w:rsidR="00BB3454" w:rsidRPr="00A32CFB">
        <w:rPr>
          <w:rFonts w:asciiTheme="majorHAnsi" w:eastAsia="Calibri" w:hAnsiTheme="majorHAnsi" w:cs="Calibri"/>
          <w:iCs/>
          <w:szCs w:val="22"/>
        </w:rPr>
        <w:t>in</w:t>
      </w:r>
      <w:r w:rsidR="00477BF7" w:rsidRPr="00A32CFB">
        <w:rPr>
          <w:rFonts w:asciiTheme="majorHAnsi" w:eastAsia="Calibri" w:hAnsiTheme="majorHAnsi" w:cs="Calibri"/>
          <w:iCs/>
          <w:szCs w:val="22"/>
        </w:rPr>
        <w:t>sufficient.</w:t>
      </w:r>
      <w:r w:rsidR="00477BF7" w:rsidRPr="00A32CFB">
        <w:rPr>
          <w:rStyle w:val="FootnoteReference"/>
          <w:rFonts w:asciiTheme="majorHAnsi" w:eastAsia="Calibri" w:hAnsiTheme="majorHAnsi" w:cs="Calibri"/>
          <w:iCs/>
          <w:szCs w:val="22"/>
        </w:rPr>
        <w:footnoteReference w:id="18"/>
      </w:r>
    </w:p>
    <w:p w14:paraId="55B1A570" w14:textId="77777777" w:rsidR="00477BF7" w:rsidRPr="00477BF7" w:rsidRDefault="00477BF7" w:rsidP="00477BF7">
      <w:pPr>
        <w:pStyle w:val="ListParagraph"/>
        <w:rPr>
          <w:rFonts w:asciiTheme="majorHAnsi" w:eastAsia="Calibri" w:hAnsiTheme="majorHAnsi" w:cs="Calibri"/>
          <w:iCs/>
          <w:szCs w:val="22"/>
        </w:rPr>
      </w:pPr>
    </w:p>
    <w:p w14:paraId="389F634F" w14:textId="2E98B186" w:rsidR="00477BF7" w:rsidRDefault="00BB3454" w:rsidP="00BB3454">
      <w:pPr>
        <w:pStyle w:val="ListParagraph"/>
        <w:widowControl w:val="0"/>
        <w:numPr>
          <w:ilvl w:val="0"/>
          <w:numId w:val="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T</w:t>
      </w:r>
      <w:r w:rsidR="00CB459C">
        <w:rPr>
          <w:rFonts w:asciiTheme="majorHAnsi" w:eastAsia="Calibri" w:hAnsiTheme="majorHAnsi" w:cs="Calibri"/>
          <w:iCs/>
          <w:szCs w:val="22"/>
        </w:rPr>
        <w:t>he Agreement is le</w:t>
      </w:r>
      <w:r>
        <w:rPr>
          <w:rFonts w:asciiTheme="majorHAnsi" w:eastAsia="Calibri" w:hAnsiTheme="majorHAnsi" w:cs="Calibri"/>
          <w:iCs/>
          <w:szCs w:val="22"/>
        </w:rPr>
        <w:t>ss</w:t>
      </w:r>
      <w:r w:rsidR="00CB459C">
        <w:rPr>
          <w:rFonts w:asciiTheme="majorHAnsi" w:eastAsia="Calibri" w:hAnsiTheme="majorHAnsi" w:cs="Calibri"/>
          <w:iCs/>
          <w:szCs w:val="22"/>
        </w:rPr>
        <w:t xml:space="preserve"> specific on</w:t>
      </w:r>
      <w:r>
        <w:rPr>
          <w:rFonts w:asciiTheme="majorHAnsi" w:eastAsia="Calibri" w:hAnsiTheme="majorHAnsi" w:cs="Calibri"/>
          <w:iCs/>
          <w:szCs w:val="22"/>
        </w:rPr>
        <w:t xml:space="preserve"> the procedure required for responding to data subject requests</w:t>
      </w:r>
      <w:r w:rsidR="00CB459C">
        <w:rPr>
          <w:rFonts w:asciiTheme="majorHAnsi" w:eastAsia="Calibri" w:hAnsiTheme="majorHAnsi" w:cs="Calibri"/>
          <w:iCs/>
          <w:szCs w:val="22"/>
        </w:rPr>
        <w:t xml:space="preserve">. </w:t>
      </w:r>
      <w:r>
        <w:rPr>
          <w:rFonts w:asciiTheme="majorHAnsi" w:eastAsia="Calibri" w:hAnsiTheme="majorHAnsi" w:cs="Calibri"/>
          <w:iCs/>
          <w:szCs w:val="22"/>
        </w:rPr>
        <w:t xml:space="preserve">Instead, </w:t>
      </w:r>
      <w:r w:rsidR="00CB459C">
        <w:rPr>
          <w:rFonts w:asciiTheme="majorHAnsi" w:eastAsia="Calibri" w:hAnsiTheme="majorHAnsi" w:cs="Calibri"/>
          <w:iCs/>
          <w:szCs w:val="22"/>
        </w:rPr>
        <w:t xml:space="preserve">Registrars are subject to a requirement to take reasonable steps to investigate the request and correct any inaccuracy. </w:t>
      </w:r>
      <w:r>
        <w:rPr>
          <w:rFonts w:asciiTheme="majorHAnsi" w:eastAsia="Calibri" w:hAnsiTheme="majorHAnsi" w:cs="Calibri"/>
          <w:iCs/>
          <w:szCs w:val="22"/>
        </w:rPr>
        <w:t>Nonetheless, the lack of specificity does not raise obvious concerns:</w:t>
      </w:r>
      <w:r w:rsidR="00A32CFB">
        <w:rPr>
          <w:rFonts w:asciiTheme="majorHAnsi" w:eastAsia="Calibri" w:hAnsiTheme="majorHAnsi" w:cs="Calibri"/>
          <w:iCs/>
          <w:szCs w:val="22"/>
        </w:rPr>
        <w:t xml:space="preserve"> r</w:t>
      </w:r>
      <w:r w:rsidR="00CB459C">
        <w:rPr>
          <w:rFonts w:asciiTheme="majorHAnsi" w:eastAsia="Calibri" w:hAnsiTheme="majorHAnsi" w:cs="Calibri"/>
          <w:iCs/>
          <w:szCs w:val="22"/>
        </w:rPr>
        <w:t>egistrars will be well-placed to determine how to respond to such requests and will be subject to independent obligations under GDPR to respond effectively.</w:t>
      </w:r>
    </w:p>
    <w:p w14:paraId="5D99FDB2" w14:textId="77777777" w:rsidR="00BB3454" w:rsidRPr="00BB3454" w:rsidRDefault="00BB3454" w:rsidP="00BB3454">
      <w:pPr>
        <w:pStyle w:val="ListParagraph"/>
        <w:rPr>
          <w:rFonts w:asciiTheme="majorHAnsi" w:eastAsia="Calibri" w:hAnsiTheme="majorHAnsi" w:cs="Calibri"/>
          <w:iCs/>
          <w:szCs w:val="22"/>
        </w:rPr>
      </w:pPr>
    </w:p>
    <w:p w14:paraId="4E2431DE" w14:textId="713A7852" w:rsidR="00BB3454" w:rsidRPr="00A75DA1" w:rsidRDefault="00211C7F" w:rsidP="00BB3454">
      <w:pPr>
        <w:pStyle w:val="ListParagraph"/>
        <w:widowControl w:val="0"/>
        <w:numPr>
          <w:ilvl w:val="0"/>
          <w:numId w:val="7"/>
        </w:numPr>
        <w:autoSpaceDE w:val="0"/>
        <w:autoSpaceDN w:val="0"/>
        <w:spacing w:after="0"/>
        <w:rPr>
          <w:rFonts w:asciiTheme="majorHAnsi" w:eastAsia="Calibri" w:hAnsiTheme="majorHAnsi" w:cs="Calibri"/>
          <w:iCs/>
          <w:szCs w:val="22"/>
        </w:rPr>
      </w:pPr>
      <w:r>
        <w:rPr>
          <w:rFonts w:asciiTheme="majorHAnsi" w:eastAsia="Calibri" w:hAnsiTheme="majorHAnsi" w:cs="Calibri"/>
          <w:iCs/>
          <w:szCs w:val="22"/>
        </w:rPr>
        <w:t>In sum, because compliance with the Accuracy Principle is based on a reasonableness standard, ICANN and the relevant parties will be better placed to evaluate whether these procedures are sufficient. From our vantage point, as the procedures do require affirmative steps that will help confirm accuracy, u</w:t>
      </w:r>
      <w:r w:rsidR="00BB3454">
        <w:rPr>
          <w:rFonts w:asciiTheme="majorHAnsi" w:eastAsia="Calibri" w:hAnsiTheme="majorHAnsi" w:cs="Calibri"/>
          <w:iCs/>
          <w:szCs w:val="22"/>
        </w:rPr>
        <w:t xml:space="preserve">nless </w:t>
      </w:r>
      <w:r>
        <w:rPr>
          <w:rFonts w:asciiTheme="majorHAnsi" w:eastAsia="Calibri" w:hAnsiTheme="majorHAnsi" w:cs="Calibri"/>
          <w:iCs/>
          <w:szCs w:val="22"/>
        </w:rPr>
        <w:t>there is</w:t>
      </w:r>
      <w:r w:rsidR="00BB3454">
        <w:rPr>
          <w:rFonts w:asciiTheme="majorHAnsi" w:eastAsia="Calibri" w:hAnsiTheme="majorHAnsi" w:cs="Calibri"/>
          <w:iCs/>
          <w:szCs w:val="22"/>
        </w:rPr>
        <w:t xml:space="preserve"> reason to believe</w:t>
      </w:r>
      <w:r>
        <w:rPr>
          <w:rFonts w:asciiTheme="majorHAnsi" w:eastAsia="Calibri" w:hAnsiTheme="majorHAnsi" w:cs="Calibri"/>
          <w:iCs/>
          <w:szCs w:val="22"/>
        </w:rPr>
        <w:t xml:space="preserve"> these </w:t>
      </w:r>
      <w:r w:rsidR="00BB3454">
        <w:rPr>
          <w:rFonts w:asciiTheme="majorHAnsi" w:eastAsia="Calibri" w:hAnsiTheme="majorHAnsi" w:cs="Calibri"/>
          <w:iCs/>
          <w:szCs w:val="22"/>
        </w:rPr>
        <w:t xml:space="preserve">are </w:t>
      </w:r>
      <w:r w:rsidR="00BB3454">
        <w:rPr>
          <w:rFonts w:asciiTheme="majorHAnsi" w:eastAsia="Calibri" w:hAnsiTheme="majorHAnsi" w:cs="Calibri"/>
          <w:i/>
          <w:iCs/>
          <w:szCs w:val="22"/>
        </w:rPr>
        <w:t>in</w:t>
      </w:r>
      <w:r w:rsidR="00BB3454">
        <w:rPr>
          <w:rFonts w:asciiTheme="majorHAnsi" w:eastAsia="Calibri" w:hAnsiTheme="majorHAnsi" w:cs="Calibri"/>
          <w:iCs/>
          <w:szCs w:val="22"/>
        </w:rPr>
        <w:t xml:space="preserve">sufficient, </w:t>
      </w:r>
      <w:r>
        <w:rPr>
          <w:rFonts w:asciiTheme="majorHAnsi" w:eastAsia="Calibri" w:hAnsiTheme="majorHAnsi" w:cs="Calibri"/>
          <w:iCs/>
          <w:szCs w:val="22"/>
        </w:rPr>
        <w:t>we see no clear requirement</w:t>
      </w:r>
      <w:r w:rsidR="00BB3454">
        <w:rPr>
          <w:rFonts w:asciiTheme="majorHAnsi" w:eastAsia="Calibri" w:hAnsiTheme="majorHAnsi" w:cs="Calibri"/>
          <w:iCs/>
          <w:szCs w:val="22"/>
        </w:rPr>
        <w:t xml:space="preserve"> to review </w:t>
      </w:r>
      <w:r>
        <w:rPr>
          <w:rFonts w:asciiTheme="majorHAnsi" w:eastAsia="Calibri" w:hAnsiTheme="majorHAnsi" w:cs="Calibri"/>
          <w:iCs/>
          <w:szCs w:val="22"/>
        </w:rPr>
        <w:t>them</w:t>
      </w:r>
      <w:r w:rsidR="00BB3454">
        <w:rPr>
          <w:rFonts w:asciiTheme="majorHAnsi" w:eastAsia="Calibri" w:hAnsiTheme="majorHAnsi" w:cs="Calibri"/>
          <w:iCs/>
          <w:szCs w:val="22"/>
        </w:rPr>
        <w:t>.</w:t>
      </w:r>
    </w:p>
    <w:p w14:paraId="032547CE" w14:textId="3C0A9C59" w:rsidR="004B0F29" w:rsidRPr="00C34C1B" w:rsidRDefault="004B0F29" w:rsidP="0069544B">
      <w:pPr>
        <w:widowControl w:val="0"/>
        <w:autoSpaceDE w:val="0"/>
        <w:autoSpaceDN w:val="0"/>
        <w:spacing w:after="0"/>
        <w:rPr>
          <w:rFonts w:asciiTheme="majorHAnsi" w:eastAsia="Calibri" w:hAnsiTheme="majorHAnsi" w:cs="Calibri"/>
          <w:iCs/>
          <w:szCs w:val="22"/>
        </w:rPr>
      </w:pPr>
    </w:p>
    <w:sectPr w:rsidR="004B0F29" w:rsidRPr="00C34C1B" w:rsidSect="0008484D">
      <w:headerReference w:type="even" r:id="rId9"/>
      <w:headerReference w:type="default" r:id="rId10"/>
      <w:footerReference w:type="even" r:id="rId11"/>
      <w:footerReference w:type="default" r:id="rId12"/>
      <w:headerReference w:type="first" r:id="rId13"/>
      <w:footerReference w:type="first" r:id="rId14"/>
      <w:pgSz w:w="11906" w:h="16838" w:code="9"/>
      <w:pgMar w:top="1843" w:right="1418" w:bottom="1701" w:left="1418"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FFC40" w14:textId="77777777" w:rsidR="00C630A7" w:rsidRDefault="00C630A7" w:rsidP="00F13581">
      <w:pPr>
        <w:spacing w:after="0"/>
      </w:pPr>
      <w:r>
        <w:separator/>
      </w:r>
    </w:p>
  </w:endnote>
  <w:endnote w:type="continuationSeparator" w:id="0">
    <w:p w14:paraId="19FDA860" w14:textId="77777777" w:rsidR="00C630A7" w:rsidRDefault="00C630A7"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141D" w14:textId="77777777" w:rsidR="005101B0" w:rsidRDefault="00510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CDAF" w14:textId="77777777" w:rsidR="00F028D1" w:rsidRDefault="00F028D1" w:rsidP="00E27172">
    <w:pPr>
      <w:pStyle w:val="Footer"/>
      <w:spacing w:after="120"/>
      <w:rPr>
        <w:noProof/>
      </w:rPr>
    </w:pPr>
    <w:r>
      <w:fldChar w:fldCharType="begin"/>
    </w:r>
    <w:r>
      <w:instrText xml:space="preserve"> PAGE   \* MERGEFORMAT</w:instrText>
    </w:r>
    <w:r>
      <w:fldChar w:fldCharType="separate"/>
    </w:r>
    <w:r w:rsidR="00211C7F">
      <w:rPr>
        <w:noProof/>
      </w:rPr>
      <w:t>2</w:t>
    </w:r>
    <w:r>
      <w:rPr>
        <w:noProof/>
      </w:rPr>
      <w:fldChar w:fldCharType="end"/>
    </w:r>
  </w:p>
  <w:p w14:paraId="48A17077" w14:textId="39550CB1" w:rsidR="00364763" w:rsidRPr="00E27172" w:rsidRDefault="00364763" w:rsidP="00E27172">
    <w:pPr>
      <w:pStyle w:val="Footer"/>
      <w:spacing w:after="120"/>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153A7" w14:textId="77777777" w:rsidR="00433155" w:rsidRDefault="00176258" w:rsidP="00E27172">
    <w:pPr>
      <w:pStyle w:val="Footer"/>
      <w:spacing w:after="120"/>
    </w:pPr>
    <w:bookmarkStart w:id="13" w:name="bmkFooterLogo"/>
    <w:r>
      <w:rPr>
        <w:noProof/>
        <w:lang w:eastAsia="en-GB"/>
      </w:rPr>
      <w:drawing>
        <wp:inline distT="0" distB="0" distL="0" distR="0" wp14:anchorId="024E09AE" wp14:editId="06D614FB">
          <wp:extent cx="5759450" cy="7124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9450" cy="712470"/>
                  </a:xfrm>
                  <a:prstGeom prst="rect">
                    <a:avLst/>
                  </a:prstGeom>
                </pic:spPr>
              </pic:pic>
            </a:graphicData>
          </a:graphic>
        </wp:inline>
      </w:drawing>
    </w:r>
    <w:bookmarkEnd w:id="13"/>
  </w:p>
  <w:p w14:paraId="7FE31A63" w14:textId="77777777" w:rsidR="00DD28ED" w:rsidRPr="00E27172" w:rsidRDefault="00D2479F" w:rsidP="00E27172">
    <w:pPr>
      <w:pStyle w:val="Footer"/>
      <w:spacing w:after="120"/>
      <w:jc w:val="right"/>
      <w:rPr>
        <w:sz w:val="16"/>
      </w:rPr>
    </w:pPr>
    <w:r>
      <w:rPr>
        <w:sz w:val="16"/>
      </w:rPr>
      <w:t>Matters\45269922.1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C389" w14:textId="77777777" w:rsidR="00C630A7" w:rsidRDefault="00C630A7" w:rsidP="00F13581">
      <w:pPr>
        <w:spacing w:after="0"/>
      </w:pPr>
      <w:r>
        <w:separator/>
      </w:r>
    </w:p>
  </w:footnote>
  <w:footnote w:type="continuationSeparator" w:id="0">
    <w:p w14:paraId="47CAAF97" w14:textId="77777777" w:rsidR="00C630A7" w:rsidRDefault="00C630A7" w:rsidP="00F13581">
      <w:pPr>
        <w:spacing w:after="0"/>
      </w:pPr>
      <w:r>
        <w:continuationSeparator/>
      </w:r>
    </w:p>
  </w:footnote>
  <w:footnote w:id="1">
    <w:p w14:paraId="113D02A4" w14:textId="3071D5E1" w:rsidR="00646EEA" w:rsidRPr="00646EEA" w:rsidRDefault="00646EEA">
      <w:pPr>
        <w:pStyle w:val="FootnoteText"/>
      </w:pPr>
      <w:r>
        <w:rPr>
          <w:rStyle w:val="FootnoteReference"/>
        </w:rPr>
        <w:footnoteRef/>
      </w:r>
      <w:r>
        <w:t xml:space="preserve"> The OECD Principles contained a "</w:t>
      </w:r>
      <w:r>
        <w:rPr>
          <w:i/>
        </w:rPr>
        <w:t>Data Quality Principle</w:t>
      </w:r>
      <w:r>
        <w:t>", which incorporated a similar concept of accuracy: "</w:t>
      </w:r>
      <w:r w:rsidRPr="00646EEA">
        <w:rPr>
          <w:i/>
        </w:rPr>
        <w:t xml:space="preserve">Personal data should be relevant to the purposes for which they are to be </w:t>
      </w:r>
      <w:proofErr w:type="gramStart"/>
      <w:r w:rsidRPr="00646EEA">
        <w:rPr>
          <w:i/>
        </w:rPr>
        <w:t>used,</w:t>
      </w:r>
      <w:proofErr w:type="gramEnd"/>
      <w:r w:rsidRPr="00646EEA">
        <w:rPr>
          <w:i/>
        </w:rPr>
        <w:t xml:space="preserve"> and, to the extent necessary for those purposes, should be accurate, complete and kept up-to-date</w:t>
      </w:r>
      <w:r>
        <w:t>".</w:t>
      </w:r>
    </w:p>
  </w:footnote>
  <w:footnote w:id="2">
    <w:p w14:paraId="20E2BFCF" w14:textId="512E21B7" w:rsidR="00FC6DF6" w:rsidRDefault="00FC6DF6">
      <w:pPr>
        <w:pStyle w:val="FootnoteText"/>
      </w:pPr>
      <w:r>
        <w:rPr>
          <w:rStyle w:val="FootnoteReference"/>
        </w:rPr>
        <w:footnoteRef/>
      </w:r>
      <w:r>
        <w:t xml:space="preserve"> </w:t>
      </w:r>
      <w:r w:rsidRPr="00FC6DF6">
        <w:rPr>
          <w:iCs/>
        </w:rPr>
        <w:t>We were unable to find any case law in the UK, Belgium or Germany directly addressing the meaning of accuracy as relevant to this query within the time we had.</w:t>
      </w:r>
      <w:r>
        <w:rPr>
          <w:iCs/>
        </w:rPr>
        <w:t xml:space="preserve"> </w:t>
      </w:r>
      <w:r w:rsidR="0093417E">
        <w:rPr>
          <w:iCs/>
        </w:rPr>
        <w:t xml:space="preserve">Nor could we find any guidance in Ireland. </w:t>
      </w:r>
      <w:r>
        <w:rPr>
          <w:iCs/>
        </w:rPr>
        <w:t>We would be happy to check in additional Member States if this would be helpful.</w:t>
      </w:r>
    </w:p>
  </w:footnote>
  <w:footnote w:id="3">
    <w:p w14:paraId="4A297518" w14:textId="77777777" w:rsidR="00BC179B" w:rsidRDefault="00BC179B" w:rsidP="00BC179B">
      <w:pPr>
        <w:pStyle w:val="FootnoteText"/>
      </w:pPr>
      <w:r>
        <w:rPr>
          <w:rStyle w:val="FootnoteReference"/>
        </w:rPr>
        <w:footnoteRef/>
      </w:r>
      <w:r>
        <w:t xml:space="preserve"> </w:t>
      </w:r>
      <w:r w:rsidRPr="00767AB3">
        <w:t>https://www.echr.coe.int/Documents/Handbook_data_protection_02ENG.pdf</w:t>
      </w:r>
      <w:r>
        <w:t>.</w:t>
      </w:r>
    </w:p>
  </w:footnote>
  <w:footnote w:id="4">
    <w:p w14:paraId="3B55E27F" w14:textId="1A05D0A3" w:rsidR="006E4664" w:rsidRPr="00EF3880" w:rsidRDefault="006E4664" w:rsidP="006E4664">
      <w:pPr>
        <w:pStyle w:val="FootnoteText"/>
        <w:rPr>
          <w:lang w:val="en-CA"/>
        </w:rPr>
      </w:pPr>
      <w:r>
        <w:rPr>
          <w:rStyle w:val="FootnoteReference"/>
        </w:rPr>
        <w:footnoteRef/>
      </w:r>
      <w:r>
        <w:t xml:space="preserve"> </w:t>
      </w:r>
      <w:r>
        <w:rPr>
          <w:rFonts w:eastAsia="Calibri" w:cs="Calibri"/>
          <w:iCs/>
          <w:szCs w:val="22"/>
          <w:lang w:val="en-US"/>
        </w:rPr>
        <w:t>ICO Guide to the GDPR, Principle (d): Accuracy</w:t>
      </w:r>
      <w:r>
        <w:t xml:space="preserve">, </w:t>
      </w:r>
      <w:r w:rsidRPr="00EF3880">
        <w:t>https://ico.org.uk/for-organisations/guide-to-data-protection/guide-to-the-general-data-protection-regulation-gdpr/principles/accuracy/</w:t>
      </w:r>
      <w:r>
        <w:t>.</w:t>
      </w:r>
    </w:p>
  </w:footnote>
  <w:footnote w:id="5">
    <w:p w14:paraId="1962DFC4" w14:textId="3BDED836" w:rsidR="009F5106" w:rsidRPr="009F5106" w:rsidRDefault="009F5106">
      <w:pPr>
        <w:pStyle w:val="FootnoteText"/>
        <w:rPr>
          <w:lang w:val="en-CA"/>
        </w:rPr>
      </w:pPr>
      <w:r>
        <w:rPr>
          <w:rStyle w:val="FootnoteReference"/>
        </w:rPr>
        <w:footnoteRef/>
      </w:r>
      <w:r w:rsidRPr="009F5106">
        <w:rPr>
          <w:lang w:val="en-CA"/>
        </w:rPr>
        <w:t xml:space="preserve"> </w:t>
      </w:r>
      <w:r w:rsidRPr="009F5106">
        <w:rPr>
          <w:lang w:val="en-CA"/>
        </w:rPr>
        <w:t>https://ico.org.uk/for-organisations/guide-to-data-protection/guide-to-the-general-data-protection-regulation-gdpr/individual-rights/right-to-rectification/.</w:t>
      </w:r>
    </w:p>
  </w:footnote>
  <w:footnote w:id="6">
    <w:p w14:paraId="1FD0B5BE" w14:textId="19089699" w:rsidR="00DC6753" w:rsidRPr="009F5106" w:rsidRDefault="00DC6753">
      <w:pPr>
        <w:pStyle w:val="FootnoteText"/>
        <w:rPr>
          <w:lang w:val="fr-CA"/>
        </w:rPr>
      </w:pPr>
      <w:r>
        <w:rPr>
          <w:rStyle w:val="FootnoteReference"/>
        </w:rPr>
        <w:footnoteRef/>
      </w:r>
      <w:r w:rsidRPr="009F5106">
        <w:rPr>
          <w:lang w:val="fr-CA"/>
        </w:rPr>
        <w:t xml:space="preserve"> Section 3.7.7.1.</w:t>
      </w:r>
    </w:p>
  </w:footnote>
  <w:footnote w:id="7">
    <w:p w14:paraId="2AF4C204" w14:textId="3EA87A9B" w:rsidR="00DC6753" w:rsidRPr="0008484D" w:rsidRDefault="00DC6753">
      <w:pPr>
        <w:pStyle w:val="FootnoteText"/>
      </w:pPr>
      <w:r>
        <w:rPr>
          <w:rStyle w:val="FootnoteReference"/>
        </w:rPr>
        <w:footnoteRef/>
      </w:r>
      <w:r w:rsidRPr="0008484D">
        <w:t xml:space="preserve"> </w:t>
      </w:r>
      <w:proofErr w:type="gramStart"/>
      <w:r w:rsidRPr="0008484D">
        <w:t>Section 3.7.7.2.</w:t>
      </w:r>
      <w:proofErr w:type="gramEnd"/>
    </w:p>
  </w:footnote>
  <w:footnote w:id="8">
    <w:p w14:paraId="5194B5FA" w14:textId="4BFC0A6D" w:rsidR="00A75DA1" w:rsidRDefault="00A75DA1">
      <w:pPr>
        <w:pStyle w:val="FootnoteText"/>
      </w:pPr>
      <w:r>
        <w:rPr>
          <w:rStyle w:val="FootnoteReference"/>
        </w:rPr>
        <w:footnoteRef/>
      </w:r>
      <w:r>
        <w:t xml:space="preserve"> WHOIS Accuracy Program Specification, para. 1.</w:t>
      </w:r>
    </w:p>
  </w:footnote>
  <w:footnote w:id="9">
    <w:p w14:paraId="7C2E24E6" w14:textId="12B4BF1F" w:rsidR="00A75DA1" w:rsidRDefault="00A75DA1">
      <w:pPr>
        <w:pStyle w:val="FootnoteText"/>
      </w:pPr>
      <w:r>
        <w:rPr>
          <w:rStyle w:val="FootnoteReference"/>
        </w:rPr>
        <w:footnoteRef/>
      </w:r>
      <w:r>
        <w:t xml:space="preserve"> WHOIS Accuracy Program Specification, para. 1.</w:t>
      </w:r>
    </w:p>
  </w:footnote>
  <w:footnote w:id="10">
    <w:p w14:paraId="26420A06" w14:textId="0C69F8D4" w:rsidR="00A75DA1" w:rsidRPr="0008484D" w:rsidRDefault="00A75DA1">
      <w:pPr>
        <w:pStyle w:val="FootnoteText"/>
        <w:rPr>
          <w:lang w:val="fr-CA"/>
        </w:rPr>
      </w:pPr>
      <w:r>
        <w:rPr>
          <w:rStyle w:val="FootnoteReference"/>
        </w:rPr>
        <w:footnoteRef/>
      </w:r>
      <w:r>
        <w:t xml:space="preserve"> WHOIS Accuracy Program Specification, para. </w:t>
      </w:r>
      <w:r w:rsidRPr="0008484D">
        <w:rPr>
          <w:lang w:val="fr-CA"/>
        </w:rPr>
        <w:t>3.</w:t>
      </w:r>
    </w:p>
  </w:footnote>
  <w:footnote w:id="11">
    <w:p w14:paraId="381A9CC0" w14:textId="4136474A" w:rsidR="00DC6753" w:rsidRPr="00DC6753" w:rsidRDefault="00DC6753">
      <w:pPr>
        <w:pStyle w:val="FootnoteText"/>
        <w:rPr>
          <w:lang w:val="fr-CA"/>
        </w:rPr>
      </w:pPr>
      <w:r>
        <w:rPr>
          <w:rStyle w:val="FootnoteReference"/>
        </w:rPr>
        <w:footnoteRef/>
      </w:r>
      <w:r w:rsidRPr="00DC6753">
        <w:rPr>
          <w:lang w:val="fr-CA"/>
        </w:rPr>
        <w:t xml:space="preserve"> </w:t>
      </w:r>
      <w:r>
        <w:rPr>
          <w:lang w:val="fr-CA"/>
        </w:rPr>
        <w:t>Section</w:t>
      </w:r>
      <w:r w:rsidRPr="00DC6753">
        <w:rPr>
          <w:lang w:val="fr-CA"/>
        </w:rPr>
        <w:t xml:space="preserve"> 3.7.8.</w:t>
      </w:r>
    </w:p>
  </w:footnote>
  <w:footnote w:id="12">
    <w:p w14:paraId="694C5655" w14:textId="3B25398F" w:rsidR="00DC6753" w:rsidRPr="00DC6753" w:rsidRDefault="00DC6753">
      <w:pPr>
        <w:pStyle w:val="FootnoteText"/>
        <w:rPr>
          <w:lang w:val="fr-CA"/>
        </w:rPr>
      </w:pPr>
      <w:r>
        <w:rPr>
          <w:rStyle w:val="FootnoteReference"/>
        </w:rPr>
        <w:footnoteRef/>
      </w:r>
      <w:r w:rsidRPr="00DC6753">
        <w:rPr>
          <w:lang w:val="fr-CA"/>
        </w:rPr>
        <w:t xml:space="preserve"> Section 3.7.7.1.</w:t>
      </w:r>
    </w:p>
  </w:footnote>
  <w:footnote w:id="13">
    <w:p w14:paraId="62821640" w14:textId="1E1DF1DA" w:rsidR="00DC6753" w:rsidRPr="00DC6753" w:rsidRDefault="00DC6753">
      <w:pPr>
        <w:pStyle w:val="FootnoteText"/>
        <w:rPr>
          <w:lang w:val="fr-CA"/>
        </w:rPr>
      </w:pPr>
      <w:r>
        <w:rPr>
          <w:rStyle w:val="FootnoteReference"/>
        </w:rPr>
        <w:footnoteRef/>
      </w:r>
      <w:r w:rsidRPr="00DC6753">
        <w:rPr>
          <w:lang w:val="fr-CA"/>
        </w:rPr>
        <w:t xml:space="preserve"> Section 3.7.7.2.</w:t>
      </w:r>
    </w:p>
  </w:footnote>
  <w:footnote w:id="14">
    <w:p w14:paraId="7D578899" w14:textId="61FA384E" w:rsidR="00DC6753" w:rsidRPr="0008484D" w:rsidRDefault="00DC6753">
      <w:pPr>
        <w:pStyle w:val="FootnoteText"/>
        <w:rPr>
          <w:lang w:val="fr-CA"/>
        </w:rPr>
      </w:pPr>
      <w:r>
        <w:rPr>
          <w:rStyle w:val="FootnoteReference"/>
        </w:rPr>
        <w:footnoteRef/>
      </w:r>
      <w:r w:rsidRPr="0008484D">
        <w:rPr>
          <w:lang w:val="fr-CA"/>
        </w:rPr>
        <w:t xml:space="preserve"> Section 3.7.8.</w:t>
      </w:r>
    </w:p>
  </w:footnote>
  <w:footnote w:id="15">
    <w:p w14:paraId="257455BA" w14:textId="4E342846" w:rsidR="00C87715" w:rsidRPr="0008484D" w:rsidRDefault="00C87715">
      <w:pPr>
        <w:pStyle w:val="FootnoteText"/>
        <w:rPr>
          <w:lang w:val="fr-CA"/>
        </w:rPr>
      </w:pPr>
      <w:r>
        <w:rPr>
          <w:rStyle w:val="FootnoteReference"/>
        </w:rPr>
        <w:footnoteRef/>
      </w:r>
      <w:r w:rsidRPr="0008484D">
        <w:rPr>
          <w:lang w:val="fr-CA"/>
        </w:rPr>
        <w:t xml:space="preserve"> https://www.icann.org/resources/pages/registrars/consensus-policies/wdrp-en.</w:t>
      </w:r>
    </w:p>
  </w:footnote>
  <w:footnote w:id="16">
    <w:p w14:paraId="12084808" w14:textId="41F2BC17" w:rsidR="00DC6753" w:rsidRPr="0008484D" w:rsidRDefault="00DC6753">
      <w:pPr>
        <w:pStyle w:val="FootnoteText"/>
      </w:pPr>
      <w:r w:rsidRPr="00A32CFB">
        <w:rPr>
          <w:rStyle w:val="FootnoteReference"/>
        </w:rPr>
        <w:footnoteRef/>
      </w:r>
      <w:r w:rsidRPr="00A32CFB">
        <w:t xml:space="preserve"> WHOIS Accuracy Program Specification, para. </w:t>
      </w:r>
      <w:r w:rsidR="00A75DA1" w:rsidRPr="0008484D">
        <w:t>4.</w:t>
      </w:r>
    </w:p>
  </w:footnote>
  <w:footnote w:id="17">
    <w:p w14:paraId="1BDB1168" w14:textId="267E2DBF" w:rsidR="00DC6753" w:rsidRPr="0008484D" w:rsidRDefault="00DC6753">
      <w:pPr>
        <w:pStyle w:val="FootnoteText"/>
      </w:pPr>
      <w:r w:rsidRPr="00A32CFB">
        <w:rPr>
          <w:rStyle w:val="FootnoteReference"/>
        </w:rPr>
        <w:footnoteRef/>
      </w:r>
      <w:r w:rsidRPr="0008484D">
        <w:t xml:space="preserve"> </w:t>
      </w:r>
      <w:proofErr w:type="gramStart"/>
      <w:r w:rsidRPr="0008484D">
        <w:t>Section 3.7.8.</w:t>
      </w:r>
      <w:proofErr w:type="gramEnd"/>
    </w:p>
  </w:footnote>
  <w:footnote w:id="18">
    <w:p w14:paraId="540A4755" w14:textId="28A76376" w:rsidR="00477BF7" w:rsidRPr="00477BF7" w:rsidRDefault="00477BF7">
      <w:pPr>
        <w:pStyle w:val="FootnoteText"/>
      </w:pPr>
      <w:r w:rsidRPr="00A32CFB">
        <w:rPr>
          <w:rStyle w:val="FootnoteReference"/>
        </w:rPr>
        <w:footnoteRef/>
      </w:r>
      <w:r w:rsidRPr="00A32CFB">
        <w:t xml:space="preserve"> In previous advice, we suggested that Registrars could contact technical and administrative contacts as a way of ensuring that transparency requirements are met. If ICANN will adopt this suggestion, then Registrars could also verify accuracy at the same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289E3" w14:textId="77777777" w:rsidR="005101B0" w:rsidRDefault="00510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F028D1" w14:paraId="38424B55" w14:textId="77777777" w:rsidTr="00225B04">
      <w:tc>
        <w:tcPr>
          <w:tcW w:w="9286" w:type="dxa"/>
        </w:tcPr>
        <w:p w14:paraId="7B599F54" w14:textId="77777777" w:rsidR="00F028D1" w:rsidRDefault="00176258" w:rsidP="00176258">
          <w:pPr>
            <w:pStyle w:val="Header"/>
          </w:pPr>
          <w:bookmarkStart w:id="10" w:name="bmkLogo1"/>
          <w:r>
            <w:rPr>
              <w:noProof/>
              <w:lang w:eastAsia="en-GB"/>
            </w:rPr>
            <w:drawing>
              <wp:inline distT="0" distB="0" distL="0" distR="0" wp14:anchorId="29082E00" wp14:editId="39D978E9">
                <wp:extent cx="1505715" cy="265177"/>
                <wp:effectExtent l="0" t="0" r="0" b="190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5715" cy="265177"/>
                        </a:xfrm>
                        <a:prstGeom prst="rect">
                          <a:avLst/>
                        </a:prstGeom>
                      </pic:spPr>
                    </pic:pic>
                  </a:graphicData>
                </a:graphic>
              </wp:inline>
            </w:drawing>
          </w:r>
          <w:bookmarkEnd w:id="10"/>
        </w:p>
      </w:tc>
    </w:tr>
  </w:tbl>
  <w:p w14:paraId="6250D26B" w14:textId="77777777" w:rsidR="00F13581" w:rsidRPr="00F028D1" w:rsidRDefault="00F13581" w:rsidP="00F02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07" w:type="dxa"/>
      <w:tblInd w:w="-851" w:type="dxa"/>
      <w:tblLook w:val="04A0" w:firstRow="1" w:lastRow="0" w:firstColumn="1" w:lastColumn="0" w:noHBand="0" w:noVBand="1"/>
    </w:tblPr>
    <w:tblGrid>
      <w:gridCol w:w="8614"/>
      <w:gridCol w:w="2693"/>
    </w:tblGrid>
    <w:tr w:rsidR="005513B1" w14:paraId="759CCA99" w14:textId="77777777" w:rsidTr="00894459">
      <w:tc>
        <w:tcPr>
          <w:tcW w:w="8614" w:type="dxa"/>
        </w:tcPr>
        <w:p w14:paraId="49D3C4E2" w14:textId="77777777" w:rsidR="005513B1" w:rsidRPr="008F63DB" w:rsidRDefault="00176258" w:rsidP="00894459">
          <w:pPr>
            <w:pStyle w:val="Header"/>
            <w:tabs>
              <w:tab w:val="clear" w:pos="4513"/>
              <w:tab w:val="clear" w:pos="9026"/>
            </w:tabs>
            <w:ind w:right="-3335"/>
          </w:pPr>
          <w:bookmarkStart w:id="11" w:name="bmkLogo"/>
          <w:r>
            <w:rPr>
              <w:noProof/>
              <w:lang w:eastAsia="en-GB"/>
            </w:rPr>
            <w:drawing>
              <wp:inline distT="0" distB="0" distL="0" distR="0" wp14:anchorId="67006459" wp14:editId="1516A524">
                <wp:extent cx="1505715" cy="265177"/>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5715" cy="265177"/>
                        </a:xfrm>
                        <a:prstGeom prst="rect">
                          <a:avLst/>
                        </a:prstGeom>
                      </pic:spPr>
                    </pic:pic>
                  </a:graphicData>
                </a:graphic>
              </wp:inline>
            </w:drawing>
          </w:r>
          <w:bookmarkEnd w:id="11"/>
          <w:r w:rsidR="005513B1">
            <w:rPr>
              <w:noProof/>
              <w:lang w:eastAsia="en-GB"/>
            </w:rPr>
            <mc:AlternateContent>
              <mc:Choice Requires="wps">
                <w:drawing>
                  <wp:anchor distT="0" distB="0" distL="114300" distR="114300" simplePos="0" relativeHeight="251659264" behindDoc="1" locked="0" layoutInCell="1" allowOverlap="1" wp14:anchorId="20CA24C1" wp14:editId="05F0CF51">
                    <wp:simplePos x="0" y="0"/>
                    <wp:positionH relativeFrom="column">
                      <wp:posOffset>5393055</wp:posOffset>
                    </wp:positionH>
                    <wp:positionV relativeFrom="paragraph">
                      <wp:posOffset>-17145</wp:posOffset>
                    </wp:positionV>
                    <wp:extent cx="1707515" cy="543877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5438775"/>
                            </a:xfrm>
                            <a:prstGeom prst="rect">
                              <a:avLst/>
                            </a:prstGeom>
                            <a:solidFill>
                              <a:srgbClr val="FFFFFF"/>
                            </a:solidFill>
                            <a:ln w="9525">
                              <a:noFill/>
                              <a:miter lim="800000"/>
                              <a:headEnd/>
                              <a:tailEnd/>
                            </a:ln>
                          </wps:spPr>
                          <wps:txbx>
                            <w:txbxContent>
                              <w:p w14:paraId="5DEFA093" w14:textId="77777777" w:rsidR="005513B1" w:rsidRDefault="00176258" w:rsidP="005513B1">
                                <w:bookmarkStart w:id="12" w:name="bmkOfficeAddress"/>
                                <w:r>
                                  <w:rPr>
                                    <w:noProof/>
                                    <w:lang w:eastAsia="en-GB"/>
                                  </w:rPr>
                                  <w:drawing>
                                    <wp:inline distT="0" distB="0" distL="0" distR="0" wp14:anchorId="08571664" wp14:editId="1002ABDC">
                                      <wp:extent cx="1515745" cy="1264285"/>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15745" cy="1264285"/>
                                              </a:xfrm>
                                              <a:prstGeom prst="rect">
                                                <a:avLst/>
                                              </a:prstGeom>
                                            </pic:spPr>
                                          </pic:pic>
                                        </a:graphicData>
                                      </a:graphic>
                                    </wp:inline>
                                  </w:drawing>
                                </w:r>
                                <w:bookmarkEnd w:id="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65pt;margin-top:-1.35pt;width:134.45pt;height:4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" stroked="f">
                    <v:textbox>
                      <w:txbxContent>
                        <w:p w14:paraId="5DEFA093" w14:textId="77777777" w:rsidR="005513B1" w:rsidRDefault="00176258" w:rsidP="005513B1">
                          <w:bookmarkStart w:id="13" w:name="bmkOfficeAddress"/>
                          <w:r>
                            <w:rPr>
                              <w:noProof/>
                              <w:lang w:eastAsia="en-GB"/>
                            </w:rPr>
                            <w:drawing>
                              <wp:inline distT="0" distB="0" distL="0" distR="0" wp14:anchorId="08571664" wp14:editId="1002ABDC">
                                <wp:extent cx="1515745" cy="1264285"/>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515745" cy="1264285"/>
                                        </a:xfrm>
                                        <a:prstGeom prst="rect">
                                          <a:avLst/>
                                        </a:prstGeom>
                                      </pic:spPr>
                                    </pic:pic>
                                  </a:graphicData>
                                </a:graphic>
                              </wp:inline>
                            </w:drawing>
                          </w:r>
                          <w:bookmarkEnd w:id="13"/>
                        </w:p>
                      </w:txbxContent>
                    </v:textbox>
                  </v:shape>
                </w:pict>
              </mc:Fallback>
            </mc:AlternateContent>
          </w:r>
        </w:p>
      </w:tc>
      <w:tc>
        <w:tcPr>
          <w:tcW w:w="2693" w:type="dxa"/>
        </w:tcPr>
        <w:p w14:paraId="5C34EE0A" w14:textId="77777777" w:rsidR="005513B1" w:rsidRDefault="005513B1" w:rsidP="00894459">
          <w:pPr>
            <w:pStyle w:val="Header"/>
            <w:tabs>
              <w:tab w:val="clear" w:pos="4513"/>
              <w:tab w:val="clear" w:pos="9026"/>
            </w:tabs>
            <w:ind w:right="-1136"/>
          </w:pPr>
        </w:p>
      </w:tc>
    </w:tr>
  </w:tbl>
  <w:p w14:paraId="1B154F0A" w14:textId="77777777" w:rsidR="00DD28ED" w:rsidRPr="005513B1" w:rsidRDefault="00DD28ED" w:rsidP="00551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nsid w:val="05F83892"/>
    <w:multiLevelType w:val="hybridMultilevel"/>
    <w:tmpl w:val="49CC9362"/>
    <w:lvl w:ilvl="0" w:tplc="E9F6417A">
      <w:start w:val="1"/>
      <w:numFmt w:val="upperLetter"/>
      <w:lvlText w:val="%1."/>
      <w:lvlJc w:val="left"/>
      <w:pPr>
        <w:ind w:left="1080" w:hanging="360"/>
      </w:pPr>
      <w:rPr>
        <w:rFonts w:hint="default"/>
        <w:b/>
        <w:i/>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82D1E23"/>
    <w:multiLevelType w:val="hybridMultilevel"/>
    <w:tmpl w:val="3312B946"/>
    <w:lvl w:ilvl="0" w:tplc="29589008">
      <w:start w:val="1"/>
      <w:numFmt w:val="decimal"/>
      <w:lvlText w:val="%1."/>
      <w:lvlJc w:val="left"/>
      <w:pPr>
        <w:ind w:left="720" w:hanging="360"/>
      </w:pPr>
      <w:rPr>
        <w:b w:val="0"/>
        <w:i w:val="0"/>
      </w:rPr>
    </w:lvl>
    <w:lvl w:ilvl="1" w:tplc="08090019">
      <w:start w:val="1"/>
      <w:numFmt w:val="lowerLetter"/>
      <w:lvlText w:val="%2."/>
      <w:lvlJc w:val="left"/>
      <w:pPr>
        <w:ind w:left="1211"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91245C6"/>
    <w:multiLevelType w:val="hybridMultilevel"/>
    <w:tmpl w:val="E7CE8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5">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6">
    <w:nsid w:val="42A60EFB"/>
    <w:multiLevelType w:val="hybridMultilevel"/>
    <w:tmpl w:val="129E9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5A1CC1"/>
    <w:multiLevelType w:val="hybridMultilevel"/>
    <w:tmpl w:val="BC3E1530"/>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05101EB"/>
    <w:multiLevelType w:val="hybridMultilevel"/>
    <w:tmpl w:val="A8E4C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0"/>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8"/>
  </w:num>
  <w:num w:numId="11">
    <w:abstractNumId w:val="6"/>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AF"/>
    <w:rsid w:val="00007C88"/>
    <w:rsid w:val="00011068"/>
    <w:rsid w:val="00027C51"/>
    <w:rsid w:val="000330AA"/>
    <w:rsid w:val="00034B47"/>
    <w:rsid w:val="00037934"/>
    <w:rsid w:val="00042DC9"/>
    <w:rsid w:val="00046814"/>
    <w:rsid w:val="0005730F"/>
    <w:rsid w:val="0006369B"/>
    <w:rsid w:val="00072F39"/>
    <w:rsid w:val="00074907"/>
    <w:rsid w:val="00074B5C"/>
    <w:rsid w:val="000801C1"/>
    <w:rsid w:val="0008484D"/>
    <w:rsid w:val="000A0CBE"/>
    <w:rsid w:val="000B5371"/>
    <w:rsid w:val="000C0ADC"/>
    <w:rsid w:val="000D25EF"/>
    <w:rsid w:val="000D4F62"/>
    <w:rsid w:val="000E5B91"/>
    <w:rsid w:val="000E69F2"/>
    <w:rsid w:val="000F13FB"/>
    <w:rsid w:val="001064A5"/>
    <w:rsid w:val="001178E2"/>
    <w:rsid w:val="00131065"/>
    <w:rsid w:val="00132ADD"/>
    <w:rsid w:val="001451E7"/>
    <w:rsid w:val="00151BCE"/>
    <w:rsid w:val="001537B6"/>
    <w:rsid w:val="0015511E"/>
    <w:rsid w:val="00163E79"/>
    <w:rsid w:val="001664E6"/>
    <w:rsid w:val="00167770"/>
    <w:rsid w:val="00176258"/>
    <w:rsid w:val="0018499A"/>
    <w:rsid w:val="00186923"/>
    <w:rsid w:val="00192851"/>
    <w:rsid w:val="0019502E"/>
    <w:rsid w:val="001A242F"/>
    <w:rsid w:val="001A6A99"/>
    <w:rsid w:val="001B1800"/>
    <w:rsid w:val="001B35BD"/>
    <w:rsid w:val="001C15FE"/>
    <w:rsid w:val="001D1077"/>
    <w:rsid w:val="001E64E3"/>
    <w:rsid w:val="00207DB5"/>
    <w:rsid w:val="002117CD"/>
    <w:rsid w:val="00211C7F"/>
    <w:rsid w:val="00217374"/>
    <w:rsid w:val="00225B04"/>
    <w:rsid w:val="00240C0F"/>
    <w:rsid w:val="00257F08"/>
    <w:rsid w:val="00265DBD"/>
    <w:rsid w:val="00266E11"/>
    <w:rsid w:val="002861DF"/>
    <w:rsid w:val="002945D6"/>
    <w:rsid w:val="0029566A"/>
    <w:rsid w:val="002B6038"/>
    <w:rsid w:val="002B69EA"/>
    <w:rsid w:val="002B7CFB"/>
    <w:rsid w:val="002D45EF"/>
    <w:rsid w:val="002D5D7F"/>
    <w:rsid w:val="002E122D"/>
    <w:rsid w:val="002E23C5"/>
    <w:rsid w:val="002E426A"/>
    <w:rsid w:val="003143EB"/>
    <w:rsid w:val="0033509B"/>
    <w:rsid w:val="003621A7"/>
    <w:rsid w:val="00364763"/>
    <w:rsid w:val="00374581"/>
    <w:rsid w:val="00377D74"/>
    <w:rsid w:val="003818CE"/>
    <w:rsid w:val="003A0280"/>
    <w:rsid w:val="003A199A"/>
    <w:rsid w:val="003B0F75"/>
    <w:rsid w:val="003B288B"/>
    <w:rsid w:val="003B5D07"/>
    <w:rsid w:val="004037C8"/>
    <w:rsid w:val="00421F0A"/>
    <w:rsid w:val="004233B8"/>
    <w:rsid w:val="00433155"/>
    <w:rsid w:val="00443E87"/>
    <w:rsid w:val="00455752"/>
    <w:rsid w:val="00460753"/>
    <w:rsid w:val="00463906"/>
    <w:rsid w:val="00477BF7"/>
    <w:rsid w:val="004802D5"/>
    <w:rsid w:val="004930BB"/>
    <w:rsid w:val="004A66DE"/>
    <w:rsid w:val="004B0F29"/>
    <w:rsid w:val="004B4C47"/>
    <w:rsid w:val="004C13E3"/>
    <w:rsid w:val="004C165B"/>
    <w:rsid w:val="004C5260"/>
    <w:rsid w:val="004F2633"/>
    <w:rsid w:val="004F7365"/>
    <w:rsid w:val="0050328C"/>
    <w:rsid w:val="005101B0"/>
    <w:rsid w:val="00521793"/>
    <w:rsid w:val="005513B1"/>
    <w:rsid w:val="005733A3"/>
    <w:rsid w:val="00582B7E"/>
    <w:rsid w:val="005952EA"/>
    <w:rsid w:val="00596B95"/>
    <w:rsid w:val="005A2F00"/>
    <w:rsid w:val="005B0710"/>
    <w:rsid w:val="005C7E90"/>
    <w:rsid w:val="005D23E9"/>
    <w:rsid w:val="005D4668"/>
    <w:rsid w:val="005D51BF"/>
    <w:rsid w:val="005D72E8"/>
    <w:rsid w:val="005D7FA5"/>
    <w:rsid w:val="005E0445"/>
    <w:rsid w:val="00640DCF"/>
    <w:rsid w:val="00646EEA"/>
    <w:rsid w:val="00653456"/>
    <w:rsid w:val="0065775E"/>
    <w:rsid w:val="00667A13"/>
    <w:rsid w:val="006725BC"/>
    <w:rsid w:val="0068072C"/>
    <w:rsid w:val="0069544B"/>
    <w:rsid w:val="006A378B"/>
    <w:rsid w:val="006A7B3D"/>
    <w:rsid w:val="006C0408"/>
    <w:rsid w:val="006E4664"/>
    <w:rsid w:val="006E5498"/>
    <w:rsid w:val="006F2A2A"/>
    <w:rsid w:val="006F6FFC"/>
    <w:rsid w:val="00712B04"/>
    <w:rsid w:val="00712E7A"/>
    <w:rsid w:val="00716A3C"/>
    <w:rsid w:val="00720E51"/>
    <w:rsid w:val="007269AB"/>
    <w:rsid w:val="00742A25"/>
    <w:rsid w:val="007455E2"/>
    <w:rsid w:val="00752E82"/>
    <w:rsid w:val="00754280"/>
    <w:rsid w:val="00757E3E"/>
    <w:rsid w:val="0076518C"/>
    <w:rsid w:val="00766013"/>
    <w:rsid w:val="00767AB3"/>
    <w:rsid w:val="00771490"/>
    <w:rsid w:val="00774996"/>
    <w:rsid w:val="00782183"/>
    <w:rsid w:val="00782E1C"/>
    <w:rsid w:val="007A55C9"/>
    <w:rsid w:val="007B548F"/>
    <w:rsid w:val="007C0869"/>
    <w:rsid w:val="007C300A"/>
    <w:rsid w:val="007D6D65"/>
    <w:rsid w:val="0082729F"/>
    <w:rsid w:val="00837363"/>
    <w:rsid w:val="00852CC1"/>
    <w:rsid w:val="00852CD5"/>
    <w:rsid w:val="00862F44"/>
    <w:rsid w:val="00863FA9"/>
    <w:rsid w:val="008833F3"/>
    <w:rsid w:val="00892F0A"/>
    <w:rsid w:val="008B0518"/>
    <w:rsid w:val="008B5C15"/>
    <w:rsid w:val="008B6263"/>
    <w:rsid w:val="008C2354"/>
    <w:rsid w:val="008F42C7"/>
    <w:rsid w:val="009237CE"/>
    <w:rsid w:val="00931FFE"/>
    <w:rsid w:val="009322FE"/>
    <w:rsid w:val="0093417E"/>
    <w:rsid w:val="00934436"/>
    <w:rsid w:val="00971EE3"/>
    <w:rsid w:val="009729A5"/>
    <w:rsid w:val="00975DDE"/>
    <w:rsid w:val="00987FCF"/>
    <w:rsid w:val="00990113"/>
    <w:rsid w:val="009909A9"/>
    <w:rsid w:val="009A227E"/>
    <w:rsid w:val="009B0CCC"/>
    <w:rsid w:val="009D1611"/>
    <w:rsid w:val="009F4341"/>
    <w:rsid w:val="009F5106"/>
    <w:rsid w:val="009F6EAB"/>
    <w:rsid w:val="009F729E"/>
    <w:rsid w:val="00A01B7C"/>
    <w:rsid w:val="00A32CFB"/>
    <w:rsid w:val="00A36ADA"/>
    <w:rsid w:val="00A56645"/>
    <w:rsid w:val="00A640F1"/>
    <w:rsid w:val="00A72C00"/>
    <w:rsid w:val="00A75DA1"/>
    <w:rsid w:val="00A770A3"/>
    <w:rsid w:val="00A83D92"/>
    <w:rsid w:val="00AA0E03"/>
    <w:rsid w:val="00AA1B8A"/>
    <w:rsid w:val="00AA3723"/>
    <w:rsid w:val="00AA51A5"/>
    <w:rsid w:val="00AB01AF"/>
    <w:rsid w:val="00AB16E8"/>
    <w:rsid w:val="00AC096A"/>
    <w:rsid w:val="00AE0152"/>
    <w:rsid w:val="00AF327B"/>
    <w:rsid w:val="00AF613E"/>
    <w:rsid w:val="00B146A7"/>
    <w:rsid w:val="00B260EF"/>
    <w:rsid w:val="00B34382"/>
    <w:rsid w:val="00B45553"/>
    <w:rsid w:val="00B60BE0"/>
    <w:rsid w:val="00B64626"/>
    <w:rsid w:val="00B65D47"/>
    <w:rsid w:val="00B86CCD"/>
    <w:rsid w:val="00B90375"/>
    <w:rsid w:val="00B9688E"/>
    <w:rsid w:val="00BA279D"/>
    <w:rsid w:val="00BA67B9"/>
    <w:rsid w:val="00BA7D81"/>
    <w:rsid w:val="00BB3454"/>
    <w:rsid w:val="00BC179B"/>
    <w:rsid w:val="00BD196E"/>
    <w:rsid w:val="00C028B3"/>
    <w:rsid w:val="00C14BFD"/>
    <w:rsid w:val="00C15716"/>
    <w:rsid w:val="00C34C1B"/>
    <w:rsid w:val="00C630A7"/>
    <w:rsid w:val="00C7686B"/>
    <w:rsid w:val="00C87715"/>
    <w:rsid w:val="00C96AD1"/>
    <w:rsid w:val="00CB459C"/>
    <w:rsid w:val="00CB6B0F"/>
    <w:rsid w:val="00CC362E"/>
    <w:rsid w:val="00CD5122"/>
    <w:rsid w:val="00CE5E56"/>
    <w:rsid w:val="00CE711D"/>
    <w:rsid w:val="00CF015C"/>
    <w:rsid w:val="00CF4F7C"/>
    <w:rsid w:val="00D16785"/>
    <w:rsid w:val="00D2479F"/>
    <w:rsid w:val="00D25952"/>
    <w:rsid w:val="00D26585"/>
    <w:rsid w:val="00D425F3"/>
    <w:rsid w:val="00D42BAE"/>
    <w:rsid w:val="00D47632"/>
    <w:rsid w:val="00D66878"/>
    <w:rsid w:val="00D756B2"/>
    <w:rsid w:val="00D767DF"/>
    <w:rsid w:val="00DB0F49"/>
    <w:rsid w:val="00DC6753"/>
    <w:rsid w:val="00DD0737"/>
    <w:rsid w:val="00DD28ED"/>
    <w:rsid w:val="00DD4E75"/>
    <w:rsid w:val="00DD59E6"/>
    <w:rsid w:val="00E029AC"/>
    <w:rsid w:val="00E05451"/>
    <w:rsid w:val="00E1483E"/>
    <w:rsid w:val="00E25B1D"/>
    <w:rsid w:val="00E27172"/>
    <w:rsid w:val="00E31FAD"/>
    <w:rsid w:val="00E44BA5"/>
    <w:rsid w:val="00E51A87"/>
    <w:rsid w:val="00E63D46"/>
    <w:rsid w:val="00E6643B"/>
    <w:rsid w:val="00E74AC5"/>
    <w:rsid w:val="00E8324F"/>
    <w:rsid w:val="00E853A8"/>
    <w:rsid w:val="00EA34A3"/>
    <w:rsid w:val="00EC084B"/>
    <w:rsid w:val="00ED7262"/>
    <w:rsid w:val="00EE0FF5"/>
    <w:rsid w:val="00EF3880"/>
    <w:rsid w:val="00EF4529"/>
    <w:rsid w:val="00F028D1"/>
    <w:rsid w:val="00F13581"/>
    <w:rsid w:val="00F220F3"/>
    <w:rsid w:val="00F33B2A"/>
    <w:rsid w:val="00F530FE"/>
    <w:rsid w:val="00F55423"/>
    <w:rsid w:val="00F81BE8"/>
    <w:rsid w:val="00F843F8"/>
    <w:rsid w:val="00F85AE8"/>
    <w:rsid w:val="00F923CF"/>
    <w:rsid w:val="00F93584"/>
    <w:rsid w:val="00F97E3A"/>
    <w:rsid w:val="00FA0EAF"/>
    <w:rsid w:val="00FA1232"/>
    <w:rsid w:val="00FB76E7"/>
    <w:rsid w:val="00FC5E8A"/>
    <w:rsid w:val="00FC6DF6"/>
    <w:rsid w:val="00FD2D64"/>
    <w:rsid w:val="00FD68D5"/>
    <w:rsid w:val="00FF66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CB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FA0EAF"/>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4F2633"/>
    <w:rPr>
      <w:b/>
    </w:rPr>
  </w:style>
  <w:style w:type="paragraph" w:customStyle="1" w:styleId="BBHeading3">
    <w:name w:val="B&amp;B Heading 3"/>
    <w:basedOn w:val="BBClause3"/>
    <w:next w:val="BBBodyTextIndent3"/>
    <w:uiPriority w:val="9"/>
    <w:qFormat/>
    <w:rsid w:val="004F2633"/>
    <w:rPr>
      <w:b/>
    </w:rPr>
  </w:style>
  <w:style w:type="paragraph" w:customStyle="1" w:styleId="BBHeading4">
    <w:name w:val="B&amp;B Heading 4"/>
    <w:basedOn w:val="BBClause4"/>
    <w:next w:val="BBBodyTextIndent4"/>
    <w:uiPriority w:val="9"/>
    <w:qFormat/>
    <w:rsid w:val="004F2633"/>
    <w:rPr>
      <w:b/>
    </w:rPr>
  </w:style>
  <w:style w:type="paragraph" w:customStyle="1" w:styleId="BBHeading5">
    <w:name w:val="B&amp;B Heading 5"/>
    <w:basedOn w:val="BBClause5"/>
    <w:next w:val="BBBodyTextIndent5"/>
    <w:uiPriority w:val="9"/>
    <w:rsid w:val="004F2633"/>
    <w:rPr>
      <w:b/>
    </w:rPr>
  </w:style>
  <w:style w:type="paragraph" w:customStyle="1" w:styleId="BBHeading6">
    <w:name w:val="B&amp;B Heading 6"/>
    <w:basedOn w:val="BBClause6"/>
    <w:next w:val="BBBodyTextIndent6"/>
    <w:uiPriority w:val="9"/>
    <w:rsid w:val="004F2633"/>
    <w:rPr>
      <w:b/>
    </w:rPr>
  </w:style>
  <w:style w:type="paragraph" w:customStyle="1" w:styleId="BBHeading7">
    <w:name w:val="B&amp;B Heading 7"/>
    <w:basedOn w:val="BBClause7"/>
    <w:next w:val="BBBodyTextIndent7"/>
    <w:uiPriority w:val="9"/>
    <w:rsid w:val="004F2633"/>
    <w:rPr>
      <w:b/>
    </w:rPr>
  </w:style>
  <w:style w:type="paragraph" w:customStyle="1" w:styleId="BBHeading8">
    <w:name w:val="B&amp;B Heading 8"/>
    <w:basedOn w:val="BBClause8"/>
    <w:next w:val="BBBodyTextIndent8"/>
    <w:uiPriority w:val="9"/>
    <w:rsid w:val="004F2633"/>
    <w:rPr>
      <w:b/>
    </w:rPr>
  </w:style>
  <w:style w:type="paragraph" w:customStyle="1" w:styleId="BBHeading9">
    <w:name w:val="B&amp;B Heading 9"/>
    <w:basedOn w:val="BBClause9"/>
    <w:next w:val="BBBodyTextIndent9"/>
    <w:uiPriority w:val="9"/>
    <w:rsid w:val="004F2633"/>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852CC1"/>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852CC1"/>
    <w:rPr>
      <w:b/>
    </w:rPr>
  </w:style>
  <w:style w:type="paragraph" w:customStyle="1" w:styleId="BBScheduleHeading3">
    <w:name w:val="B&amp;B Schedule Heading 3"/>
    <w:basedOn w:val="BBSchedule3"/>
    <w:next w:val="BBBodyTextIndent3"/>
    <w:uiPriority w:val="49"/>
    <w:rsid w:val="00852CC1"/>
    <w:rPr>
      <w:b/>
    </w:rPr>
  </w:style>
  <w:style w:type="paragraph" w:customStyle="1" w:styleId="BBScheduleHeading4">
    <w:name w:val="B&amp;B Schedule Heading 4"/>
    <w:basedOn w:val="BBSchedule4"/>
    <w:next w:val="BBBodyTextIndent4"/>
    <w:uiPriority w:val="49"/>
    <w:rsid w:val="00852CC1"/>
    <w:rPr>
      <w:b/>
    </w:rPr>
  </w:style>
  <w:style w:type="paragraph" w:customStyle="1" w:styleId="BBScheduleHeading5">
    <w:name w:val="B&amp;B Schedule Heading 5"/>
    <w:basedOn w:val="BBSchedule5"/>
    <w:next w:val="BBBodyTextIndent5"/>
    <w:uiPriority w:val="49"/>
    <w:rsid w:val="008B5C15"/>
    <w:pPr>
      <w:keepNext/>
    </w:pPr>
    <w:rPr>
      <w:b/>
    </w:rPr>
  </w:style>
  <w:style w:type="paragraph" w:customStyle="1" w:styleId="BBScheduleHeading6">
    <w:name w:val="B&amp;B Schedule Heading 6"/>
    <w:basedOn w:val="BBSchedule6"/>
    <w:next w:val="BBBodyTextIndent6"/>
    <w:uiPriority w:val="49"/>
    <w:rsid w:val="00852CC1"/>
    <w:rPr>
      <w:b/>
    </w:rPr>
  </w:style>
  <w:style w:type="paragraph" w:customStyle="1" w:styleId="BBScheduleHeading7">
    <w:name w:val="B&amp;B Schedule Heading 7"/>
    <w:basedOn w:val="BBSchedule7"/>
    <w:next w:val="BBBodyTextIndent7"/>
    <w:uiPriority w:val="49"/>
    <w:rsid w:val="00852CC1"/>
    <w:rPr>
      <w:b/>
    </w:rPr>
  </w:style>
  <w:style w:type="paragraph" w:customStyle="1" w:styleId="BBScheduleHeading8">
    <w:name w:val="B&amp;B Schedule Heading 8"/>
    <w:basedOn w:val="BBSchedule8"/>
    <w:next w:val="BBBodyTextIndent8"/>
    <w:uiPriority w:val="49"/>
    <w:rsid w:val="00852CC1"/>
    <w:rPr>
      <w:b/>
    </w:rPr>
  </w:style>
  <w:style w:type="paragraph" w:customStyle="1" w:styleId="BBScheduleHeading9">
    <w:name w:val="B&amp;B Schedule Heading 9"/>
    <w:basedOn w:val="BBSchedule9"/>
    <w:next w:val="BBBodyTextIndent9"/>
    <w:uiPriority w:val="49"/>
    <w:rsid w:val="00852CC1"/>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paragraph" w:styleId="ListParagraph">
    <w:name w:val="List Paragraph"/>
    <w:basedOn w:val="Normal"/>
    <w:uiPriority w:val="34"/>
    <w:semiHidden/>
    <w:qFormat/>
    <w:rsid w:val="007A55C9"/>
    <w:pPr>
      <w:ind w:left="720"/>
      <w:contextualSpacing/>
    </w:pPr>
  </w:style>
  <w:style w:type="character" w:styleId="FootnoteReference">
    <w:name w:val="footnote reference"/>
    <w:basedOn w:val="DefaultParagraphFont"/>
    <w:uiPriority w:val="99"/>
    <w:semiHidden/>
    <w:rsid w:val="008B0518"/>
    <w:rPr>
      <w:vertAlign w:val="superscript"/>
    </w:rPr>
  </w:style>
  <w:style w:type="character" w:styleId="Hyperlink">
    <w:name w:val="Hyperlink"/>
    <w:basedOn w:val="DefaultParagraphFont"/>
    <w:uiPriority w:val="99"/>
    <w:unhideWhenUsed/>
    <w:rsid w:val="00074B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FA0EAF"/>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4F2633"/>
    <w:rPr>
      <w:b/>
    </w:rPr>
  </w:style>
  <w:style w:type="paragraph" w:customStyle="1" w:styleId="BBHeading3">
    <w:name w:val="B&amp;B Heading 3"/>
    <w:basedOn w:val="BBClause3"/>
    <w:next w:val="BBBodyTextIndent3"/>
    <w:uiPriority w:val="9"/>
    <w:qFormat/>
    <w:rsid w:val="004F2633"/>
    <w:rPr>
      <w:b/>
    </w:rPr>
  </w:style>
  <w:style w:type="paragraph" w:customStyle="1" w:styleId="BBHeading4">
    <w:name w:val="B&amp;B Heading 4"/>
    <w:basedOn w:val="BBClause4"/>
    <w:next w:val="BBBodyTextIndent4"/>
    <w:uiPriority w:val="9"/>
    <w:qFormat/>
    <w:rsid w:val="004F2633"/>
    <w:rPr>
      <w:b/>
    </w:rPr>
  </w:style>
  <w:style w:type="paragraph" w:customStyle="1" w:styleId="BBHeading5">
    <w:name w:val="B&amp;B Heading 5"/>
    <w:basedOn w:val="BBClause5"/>
    <w:next w:val="BBBodyTextIndent5"/>
    <w:uiPriority w:val="9"/>
    <w:rsid w:val="004F2633"/>
    <w:rPr>
      <w:b/>
    </w:rPr>
  </w:style>
  <w:style w:type="paragraph" w:customStyle="1" w:styleId="BBHeading6">
    <w:name w:val="B&amp;B Heading 6"/>
    <w:basedOn w:val="BBClause6"/>
    <w:next w:val="BBBodyTextIndent6"/>
    <w:uiPriority w:val="9"/>
    <w:rsid w:val="004F2633"/>
    <w:rPr>
      <w:b/>
    </w:rPr>
  </w:style>
  <w:style w:type="paragraph" w:customStyle="1" w:styleId="BBHeading7">
    <w:name w:val="B&amp;B Heading 7"/>
    <w:basedOn w:val="BBClause7"/>
    <w:next w:val="BBBodyTextIndent7"/>
    <w:uiPriority w:val="9"/>
    <w:rsid w:val="004F2633"/>
    <w:rPr>
      <w:b/>
    </w:rPr>
  </w:style>
  <w:style w:type="paragraph" w:customStyle="1" w:styleId="BBHeading8">
    <w:name w:val="B&amp;B Heading 8"/>
    <w:basedOn w:val="BBClause8"/>
    <w:next w:val="BBBodyTextIndent8"/>
    <w:uiPriority w:val="9"/>
    <w:rsid w:val="004F2633"/>
    <w:rPr>
      <w:b/>
    </w:rPr>
  </w:style>
  <w:style w:type="paragraph" w:customStyle="1" w:styleId="BBHeading9">
    <w:name w:val="B&amp;B Heading 9"/>
    <w:basedOn w:val="BBClause9"/>
    <w:next w:val="BBBodyTextIndent9"/>
    <w:uiPriority w:val="9"/>
    <w:rsid w:val="004F2633"/>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852CC1"/>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852CC1"/>
    <w:rPr>
      <w:b/>
    </w:rPr>
  </w:style>
  <w:style w:type="paragraph" w:customStyle="1" w:styleId="BBScheduleHeading3">
    <w:name w:val="B&amp;B Schedule Heading 3"/>
    <w:basedOn w:val="BBSchedule3"/>
    <w:next w:val="BBBodyTextIndent3"/>
    <w:uiPriority w:val="49"/>
    <w:rsid w:val="00852CC1"/>
    <w:rPr>
      <w:b/>
    </w:rPr>
  </w:style>
  <w:style w:type="paragraph" w:customStyle="1" w:styleId="BBScheduleHeading4">
    <w:name w:val="B&amp;B Schedule Heading 4"/>
    <w:basedOn w:val="BBSchedule4"/>
    <w:next w:val="BBBodyTextIndent4"/>
    <w:uiPriority w:val="49"/>
    <w:rsid w:val="00852CC1"/>
    <w:rPr>
      <w:b/>
    </w:rPr>
  </w:style>
  <w:style w:type="paragraph" w:customStyle="1" w:styleId="BBScheduleHeading5">
    <w:name w:val="B&amp;B Schedule Heading 5"/>
    <w:basedOn w:val="BBSchedule5"/>
    <w:next w:val="BBBodyTextIndent5"/>
    <w:uiPriority w:val="49"/>
    <w:rsid w:val="008B5C15"/>
    <w:pPr>
      <w:keepNext/>
    </w:pPr>
    <w:rPr>
      <w:b/>
    </w:rPr>
  </w:style>
  <w:style w:type="paragraph" w:customStyle="1" w:styleId="BBScheduleHeading6">
    <w:name w:val="B&amp;B Schedule Heading 6"/>
    <w:basedOn w:val="BBSchedule6"/>
    <w:next w:val="BBBodyTextIndent6"/>
    <w:uiPriority w:val="49"/>
    <w:rsid w:val="00852CC1"/>
    <w:rPr>
      <w:b/>
    </w:rPr>
  </w:style>
  <w:style w:type="paragraph" w:customStyle="1" w:styleId="BBScheduleHeading7">
    <w:name w:val="B&amp;B Schedule Heading 7"/>
    <w:basedOn w:val="BBSchedule7"/>
    <w:next w:val="BBBodyTextIndent7"/>
    <w:uiPriority w:val="49"/>
    <w:rsid w:val="00852CC1"/>
    <w:rPr>
      <w:b/>
    </w:rPr>
  </w:style>
  <w:style w:type="paragraph" w:customStyle="1" w:styleId="BBScheduleHeading8">
    <w:name w:val="B&amp;B Schedule Heading 8"/>
    <w:basedOn w:val="BBSchedule8"/>
    <w:next w:val="BBBodyTextIndent8"/>
    <w:uiPriority w:val="49"/>
    <w:rsid w:val="00852CC1"/>
    <w:rPr>
      <w:b/>
    </w:rPr>
  </w:style>
  <w:style w:type="paragraph" w:customStyle="1" w:styleId="BBScheduleHeading9">
    <w:name w:val="B&amp;B Schedule Heading 9"/>
    <w:basedOn w:val="BBSchedule9"/>
    <w:next w:val="BBBodyTextIndent9"/>
    <w:uiPriority w:val="49"/>
    <w:rsid w:val="00852CC1"/>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paragraph" w:styleId="ListParagraph">
    <w:name w:val="List Paragraph"/>
    <w:basedOn w:val="Normal"/>
    <w:uiPriority w:val="34"/>
    <w:semiHidden/>
    <w:qFormat/>
    <w:rsid w:val="007A55C9"/>
    <w:pPr>
      <w:ind w:left="720"/>
      <w:contextualSpacing/>
    </w:pPr>
  </w:style>
  <w:style w:type="character" w:styleId="FootnoteReference">
    <w:name w:val="footnote reference"/>
    <w:basedOn w:val="DefaultParagraphFont"/>
    <w:uiPriority w:val="99"/>
    <w:semiHidden/>
    <w:rsid w:val="008B0518"/>
    <w:rPr>
      <w:vertAlign w:val="superscript"/>
    </w:rPr>
  </w:style>
  <w:style w:type="character" w:styleId="Hyperlink">
    <w:name w:val="Hyperlink"/>
    <w:basedOn w:val="DefaultParagraphFont"/>
    <w:uiPriority w:val="99"/>
    <w:unhideWhenUsed/>
    <w:rsid w:val="00074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9692">
      <w:bodyDiv w:val="1"/>
      <w:marLeft w:val="0"/>
      <w:marRight w:val="0"/>
      <w:marTop w:val="0"/>
      <w:marBottom w:val="0"/>
      <w:divBdr>
        <w:top w:val="none" w:sz="0" w:space="0" w:color="auto"/>
        <w:left w:val="none" w:sz="0" w:space="0" w:color="auto"/>
        <w:bottom w:val="none" w:sz="0" w:space="0" w:color="auto"/>
        <w:right w:val="none" w:sz="0" w:space="0" w:color="auto"/>
      </w:divBdr>
    </w:div>
    <w:div w:id="221404122">
      <w:bodyDiv w:val="1"/>
      <w:marLeft w:val="0"/>
      <w:marRight w:val="0"/>
      <w:marTop w:val="0"/>
      <w:marBottom w:val="0"/>
      <w:divBdr>
        <w:top w:val="none" w:sz="0" w:space="0" w:color="auto"/>
        <w:left w:val="none" w:sz="0" w:space="0" w:color="auto"/>
        <w:bottom w:val="none" w:sz="0" w:space="0" w:color="auto"/>
        <w:right w:val="none" w:sz="0" w:space="0" w:color="auto"/>
      </w:divBdr>
    </w:div>
    <w:div w:id="388571777">
      <w:bodyDiv w:val="1"/>
      <w:marLeft w:val="0"/>
      <w:marRight w:val="0"/>
      <w:marTop w:val="0"/>
      <w:marBottom w:val="0"/>
      <w:divBdr>
        <w:top w:val="none" w:sz="0" w:space="0" w:color="auto"/>
        <w:left w:val="none" w:sz="0" w:space="0" w:color="auto"/>
        <w:bottom w:val="none" w:sz="0" w:space="0" w:color="auto"/>
        <w:right w:val="none" w:sz="0" w:space="0" w:color="auto"/>
      </w:divBdr>
    </w:div>
    <w:div w:id="522134100">
      <w:bodyDiv w:val="1"/>
      <w:marLeft w:val="0"/>
      <w:marRight w:val="0"/>
      <w:marTop w:val="0"/>
      <w:marBottom w:val="0"/>
      <w:divBdr>
        <w:top w:val="none" w:sz="0" w:space="0" w:color="auto"/>
        <w:left w:val="none" w:sz="0" w:space="0" w:color="auto"/>
        <w:bottom w:val="none" w:sz="0" w:space="0" w:color="auto"/>
        <w:right w:val="none" w:sz="0" w:space="0" w:color="auto"/>
      </w:divBdr>
    </w:div>
    <w:div w:id="750468902">
      <w:bodyDiv w:val="1"/>
      <w:marLeft w:val="0"/>
      <w:marRight w:val="0"/>
      <w:marTop w:val="0"/>
      <w:marBottom w:val="0"/>
      <w:divBdr>
        <w:top w:val="none" w:sz="0" w:space="0" w:color="auto"/>
        <w:left w:val="none" w:sz="0" w:space="0" w:color="auto"/>
        <w:bottom w:val="none" w:sz="0" w:space="0" w:color="auto"/>
        <w:right w:val="none" w:sz="0" w:space="0" w:color="auto"/>
      </w:divBdr>
    </w:div>
    <w:div w:id="1161849238">
      <w:bodyDiv w:val="1"/>
      <w:marLeft w:val="0"/>
      <w:marRight w:val="0"/>
      <w:marTop w:val="0"/>
      <w:marBottom w:val="0"/>
      <w:divBdr>
        <w:top w:val="none" w:sz="0" w:space="0" w:color="auto"/>
        <w:left w:val="none" w:sz="0" w:space="0" w:color="auto"/>
        <w:bottom w:val="none" w:sz="0" w:space="0" w:color="auto"/>
        <w:right w:val="none" w:sz="0" w:space="0" w:color="auto"/>
      </w:divBdr>
    </w:div>
    <w:div w:id="1287925250">
      <w:bodyDiv w:val="1"/>
      <w:marLeft w:val="0"/>
      <w:marRight w:val="0"/>
      <w:marTop w:val="0"/>
      <w:marBottom w:val="0"/>
      <w:divBdr>
        <w:top w:val="none" w:sz="0" w:space="0" w:color="auto"/>
        <w:left w:val="none" w:sz="0" w:space="0" w:color="auto"/>
        <w:bottom w:val="none" w:sz="0" w:space="0" w:color="auto"/>
        <w:right w:val="none" w:sz="0" w:space="0" w:color="auto"/>
      </w:divBdr>
    </w:div>
    <w:div w:id="1344280318">
      <w:bodyDiv w:val="1"/>
      <w:marLeft w:val="0"/>
      <w:marRight w:val="0"/>
      <w:marTop w:val="0"/>
      <w:marBottom w:val="0"/>
      <w:divBdr>
        <w:top w:val="none" w:sz="0" w:space="0" w:color="auto"/>
        <w:left w:val="none" w:sz="0" w:space="0" w:color="auto"/>
        <w:bottom w:val="none" w:sz="0" w:space="0" w:color="auto"/>
        <w:right w:val="none" w:sz="0" w:space="0" w:color="auto"/>
      </w:divBdr>
    </w:div>
    <w:div w:id="1462000394">
      <w:bodyDiv w:val="1"/>
      <w:marLeft w:val="0"/>
      <w:marRight w:val="0"/>
      <w:marTop w:val="0"/>
      <w:marBottom w:val="0"/>
      <w:divBdr>
        <w:top w:val="none" w:sz="0" w:space="0" w:color="auto"/>
        <w:left w:val="none" w:sz="0" w:space="0" w:color="auto"/>
        <w:bottom w:val="none" w:sz="0" w:space="0" w:color="auto"/>
        <w:right w:val="none" w:sz="0" w:space="0" w:color="auto"/>
      </w:divBdr>
    </w:div>
    <w:div w:id="1528524001">
      <w:bodyDiv w:val="1"/>
      <w:marLeft w:val="0"/>
      <w:marRight w:val="0"/>
      <w:marTop w:val="0"/>
      <w:marBottom w:val="0"/>
      <w:divBdr>
        <w:top w:val="none" w:sz="0" w:space="0" w:color="auto"/>
        <w:left w:val="none" w:sz="0" w:space="0" w:color="auto"/>
        <w:bottom w:val="none" w:sz="0" w:space="0" w:color="auto"/>
        <w:right w:val="none" w:sz="0" w:space="0" w:color="auto"/>
      </w:divBdr>
    </w:div>
    <w:div w:id="1599681110">
      <w:bodyDiv w:val="1"/>
      <w:marLeft w:val="0"/>
      <w:marRight w:val="0"/>
      <w:marTop w:val="0"/>
      <w:marBottom w:val="0"/>
      <w:divBdr>
        <w:top w:val="none" w:sz="0" w:space="0" w:color="auto"/>
        <w:left w:val="none" w:sz="0" w:space="0" w:color="auto"/>
        <w:bottom w:val="none" w:sz="0" w:space="0" w:color="auto"/>
        <w:right w:val="none" w:sz="0" w:space="0" w:color="auto"/>
      </w:divBdr>
    </w:div>
    <w:div w:id="1957253712">
      <w:bodyDiv w:val="1"/>
      <w:marLeft w:val="0"/>
      <w:marRight w:val="0"/>
      <w:marTop w:val="0"/>
      <w:marBottom w:val="0"/>
      <w:divBdr>
        <w:top w:val="none" w:sz="0" w:space="0" w:color="auto"/>
        <w:left w:val="none" w:sz="0" w:space="0" w:color="auto"/>
        <w:bottom w:val="none" w:sz="0" w:space="0" w:color="auto"/>
        <w:right w:val="none" w:sz="0" w:space="0" w:color="auto"/>
      </w:divBdr>
    </w:div>
    <w:div w:id="2043359878">
      <w:bodyDiv w:val="1"/>
      <w:marLeft w:val="0"/>
      <w:marRight w:val="0"/>
      <w:marTop w:val="0"/>
      <w:marBottom w:val="0"/>
      <w:divBdr>
        <w:top w:val="none" w:sz="0" w:space="0" w:color="auto"/>
        <w:left w:val="none" w:sz="0" w:space="0" w:color="auto"/>
        <w:bottom w:val="none" w:sz="0" w:space="0" w:color="auto"/>
        <w:right w:val="none" w:sz="0" w:space="0" w:color="auto"/>
      </w:divBdr>
    </w:div>
    <w:div w:id="2059238288">
      <w:bodyDiv w:val="1"/>
      <w:marLeft w:val="0"/>
      <w:marRight w:val="0"/>
      <w:marTop w:val="0"/>
      <w:marBottom w:val="0"/>
      <w:divBdr>
        <w:top w:val="none" w:sz="0" w:space="0" w:color="auto"/>
        <w:left w:val="none" w:sz="0" w:space="0" w:color="auto"/>
        <w:bottom w:val="none" w:sz="0" w:space="0" w:color="auto"/>
        <w:right w:val="none" w:sz="0" w:space="0" w:color="auto"/>
      </w:divBdr>
    </w:div>
    <w:div w:id="2109697092">
      <w:bodyDiv w:val="1"/>
      <w:marLeft w:val="0"/>
      <w:marRight w:val="0"/>
      <w:marTop w:val="0"/>
      <w:marBottom w:val="0"/>
      <w:divBdr>
        <w:top w:val="none" w:sz="0" w:space="0" w:color="auto"/>
        <w:left w:val="none" w:sz="0" w:space="0" w:color="auto"/>
        <w:bottom w:val="none" w:sz="0" w:space="0" w:color="auto"/>
        <w:right w:val="none" w:sz="0" w:space="0" w:color="auto"/>
      </w:divBdr>
    </w:div>
    <w:div w:id="21136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8EDB-6AB1-4A00-A4F5-47B0F648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2159</Words>
  <Characters>11511</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Bird &amp; Bird</cp:lastModifiedBy>
  <cp:revision>2</cp:revision>
  <dcterms:created xsi:type="dcterms:W3CDTF">2019-02-08T21:26:00Z</dcterms:created>
  <dcterms:modified xsi:type="dcterms:W3CDTF">2019-02-08T21:26:00Z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Matters\45526554.1</vt:lpwstr>
  </property>
  <property fmtid="{D5CDD505-2E9C-101B-9397-08002B2CF9AE}" pid="3" name="bbFooterStyle">
    <vt:lpwstr>SHORT</vt:lpwstr>
  </property>
</Properties>
</file>