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commentsIds.xml" ContentType="application/vnd.openxmlformats-officedocument.wordprocessingml.commentsIds+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31CA9" w14:textId="77777777" w:rsidR="00364763" w:rsidRDefault="00176258" w:rsidP="00D371D1">
      <w:pPr>
        <w:pStyle w:val="MemoHeading"/>
        <w:widowControl w:val="0"/>
        <w:adjustRightInd w:val="0"/>
        <w:spacing w:after="0"/>
        <w:rPr>
          <w:rFonts w:asciiTheme="majorHAnsi" w:hAnsiTheme="majorHAnsi"/>
        </w:rPr>
      </w:pPr>
      <w:bookmarkStart w:id="0" w:name="bmkMemoHeading"/>
      <w:bookmarkStart w:id="1" w:name="_GoBack"/>
      <w:bookmarkEnd w:id="1"/>
      <w:r w:rsidRPr="00AA3723">
        <w:rPr>
          <w:rFonts w:asciiTheme="majorHAnsi" w:hAnsiTheme="majorHAnsi"/>
        </w:rPr>
        <w:t>MEMORANDUM</w:t>
      </w:r>
      <w:bookmarkEnd w:id="0"/>
    </w:p>
    <w:p w14:paraId="5452347C" w14:textId="77777777" w:rsidR="0076518C" w:rsidRDefault="0076518C" w:rsidP="00D371D1">
      <w:pPr>
        <w:pStyle w:val="BodyText"/>
        <w:adjustRightInd w:val="0"/>
        <w:spacing w:after="0"/>
      </w:pPr>
    </w:p>
    <w:p w14:paraId="70B44CBD" w14:textId="77777777" w:rsidR="0076518C" w:rsidRDefault="0076518C" w:rsidP="00D371D1">
      <w:pPr>
        <w:pStyle w:val="BodyText"/>
        <w:adjustRightInd w:val="0"/>
        <w:spacing w:after="0"/>
      </w:pPr>
    </w:p>
    <w:p w14:paraId="5518033D" w14:textId="77777777" w:rsidR="005579C2" w:rsidRPr="0076518C" w:rsidRDefault="005579C2" w:rsidP="00D371D1">
      <w:pPr>
        <w:pStyle w:val="BodyText"/>
        <w:adjustRightInd w:val="0"/>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236"/>
      </w:tblGrid>
      <w:tr w:rsidR="00027C51" w:rsidRPr="00AA3723" w14:paraId="1354A0F1" w14:textId="77777777" w:rsidTr="00176258">
        <w:tc>
          <w:tcPr>
            <w:tcW w:w="2050" w:type="dxa"/>
          </w:tcPr>
          <w:p w14:paraId="3C6F3B1D" w14:textId="77777777" w:rsidR="00364763" w:rsidRPr="00AA3723" w:rsidRDefault="00176258" w:rsidP="00D371D1">
            <w:pPr>
              <w:pStyle w:val="BBBodyTextNoSpacing"/>
              <w:widowControl w:val="0"/>
              <w:adjustRightInd w:val="0"/>
              <w:rPr>
                <w:rFonts w:asciiTheme="majorHAnsi" w:hAnsiTheme="majorHAnsi"/>
                <w:b/>
              </w:rPr>
            </w:pPr>
            <w:bookmarkStart w:id="2" w:name="labTo"/>
            <w:r w:rsidRPr="00AA3723">
              <w:rPr>
                <w:rFonts w:asciiTheme="majorHAnsi" w:hAnsiTheme="majorHAnsi"/>
                <w:b/>
              </w:rPr>
              <w:t>To</w:t>
            </w:r>
            <w:bookmarkEnd w:id="2"/>
            <w:r w:rsidR="00364763" w:rsidRPr="00AA3723">
              <w:rPr>
                <w:rFonts w:asciiTheme="majorHAnsi" w:hAnsiTheme="majorHAnsi"/>
                <w:b/>
              </w:rPr>
              <w:t>:</w:t>
            </w:r>
          </w:p>
        </w:tc>
        <w:tc>
          <w:tcPr>
            <w:tcW w:w="7236" w:type="dxa"/>
          </w:tcPr>
          <w:p w14:paraId="123B9876" w14:textId="77777777" w:rsidR="00364763" w:rsidRPr="00AA3723" w:rsidRDefault="00176258" w:rsidP="00D371D1">
            <w:pPr>
              <w:pStyle w:val="BBBodyTextNoSpacing"/>
              <w:widowControl w:val="0"/>
              <w:adjustRightInd w:val="0"/>
              <w:rPr>
                <w:rFonts w:asciiTheme="majorHAnsi" w:hAnsiTheme="majorHAnsi"/>
              </w:rPr>
            </w:pPr>
            <w:bookmarkStart w:id="3" w:name="bmkTo"/>
            <w:r w:rsidRPr="00AA3723">
              <w:rPr>
                <w:rFonts w:asciiTheme="majorHAnsi" w:hAnsiTheme="majorHAnsi"/>
              </w:rPr>
              <w:t>Internet Corporation for Assigned Names and Numbers</w:t>
            </w:r>
            <w:bookmarkEnd w:id="3"/>
            <w:r w:rsidR="00B64626" w:rsidRPr="00AA3723">
              <w:rPr>
                <w:rFonts w:asciiTheme="majorHAnsi" w:hAnsiTheme="majorHAnsi"/>
              </w:rPr>
              <w:t>, EPDP Team</w:t>
            </w:r>
          </w:p>
        </w:tc>
      </w:tr>
      <w:tr w:rsidR="00027C51" w:rsidRPr="00AA3723" w14:paraId="482C912A" w14:textId="77777777" w:rsidTr="00176258">
        <w:tc>
          <w:tcPr>
            <w:tcW w:w="2050" w:type="dxa"/>
          </w:tcPr>
          <w:p w14:paraId="30AEE843" w14:textId="77777777" w:rsidR="00364763" w:rsidRPr="001B35BD" w:rsidRDefault="00176258" w:rsidP="00D371D1">
            <w:pPr>
              <w:pStyle w:val="BBBodyTextNoSpacing"/>
              <w:widowControl w:val="0"/>
              <w:adjustRightInd w:val="0"/>
              <w:rPr>
                <w:rFonts w:asciiTheme="majorHAnsi" w:hAnsiTheme="majorHAnsi"/>
                <w:b/>
              </w:rPr>
            </w:pPr>
            <w:bookmarkStart w:id="4" w:name="labFrom"/>
            <w:r w:rsidRPr="00AA3723">
              <w:rPr>
                <w:rFonts w:asciiTheme="majorHAnsi" w:hAnsiTheme="majorHAnsi"/>
                <w:b/>
              </w:rPr>
              <w:t>From</w:t>
            </w:r>
            <w:bookmarkEnd w:id="4"/>
            <w:r w:rsidR="00364763" w:rsidRPr="00AA3723">
              <w:rPr>
                <w:rFonts w:asciiTheme="majorHAnsi" w:hAnsiTheme="majorHAnsi"/>
                <w:b/>
              </w:rPr>
              <w:t>:</w:t>
            </w:r>
          </w:p>
        </w:tc>
        <w:tc>
          <w:tcPr>
            <w:tcW w:w="7236" w:type="dxa"/>
          </w:tcPr>
          <w:p w14:paraId="41111A59" w14:textId="77777777" w:rsidR="00364763" w:rsidRPr="00AA3723" w:rsidRDefault="00176258" w:rsidP="00D371D1">
            <w:pPr>
              <w:pStyle w:val="BBBodyTextNoSpacing"/>
              <w:widowControl w:val="0"/>
              <w:adjustRightInd w:val="0"/>
              <w:rPr>
                <w:rFonts w:asciiTheme="majorHAnsi" w:hAnsiTheme="majorHAnsi"/>
              </w:rPr>
            </w:pPr>
            <w:bookmarkStart w:id="5" w:name="bmkFrom"/>
            <w:r w:rsidRPr="00AA3723">
              <w:rPr>
                <w:rFonts w:asciiTheme="majorHAnsi" w:hAnsiTheme="majorHAnsi"/>
              </w:rPr>
              <w:t>Ruth Boardman</w:t>
            </w:r>
            <w:bookmarkEnd w:id="5"/>
            <w:r w:rsidR="00B64626" w:rsidRPr="00AA3723">
              <w:rPr>
                <w:rFonts w:asciiTheme="majorHAnsi" w:hAnsiTheme="majorHAnsi"/>
              </w:rPr>
              <w:t xml:space="preserve"> &amp; Gabe Maldoff</w:t>
            </w:r>
          </w:p>
        </w:tc>
      </w:tr>
      <w:tr w:rsidR="00027C51" w:rsidRPr="00AA3723" w14:paraId="6B57A894" w14:textId="77777777" w:rsidTr="00176258">
        <w:tc>
          <w:tcPr>
            <w:tcW w:w="2050" w:type="dxa"/>
          </w:tcPr>
          <w:p w14:paraId="70C9C103" w14:textId="77777777" w:rsidR="00364763" w:rsidRPr="001B35BD" w:rsidRDefault="00176258" w:rsidP="00D371D1">
            <w:pPr>
              <w:pStyle w:val="BBBodyTextNoSpacing"/>
              <w:widowControl w:val="0"/>
              <w:adjustRightInd w:val="0"/>
              <w:rPr>
                <w:rFonts w:asciiTheme="majorHAnsi" w:hAnsiTheme="majorHAnsi"/>
                <w:b/>
              </w:rPr>
            </w:pPr>
            <w:bookmarkStart w:id="6" w:name="labDate"/>
            <w:r w:rsidRPr="00AA3723">
              <w:rPr>
                <w:rFonts w:asciiTheme="majorHAnsi" w:hAnsiTheme="majorHAnsi"/>
                <w:b/>
              </w:rPr>
              <w:t>Date</w:t>
            </w:r>
            <w:bookmarkEnd w:id="6"/>
            <w:r w:rsidR="00364763" w:rsidRPr="00AA3723">
              <w:rPr>
                <w:rFonts w:asciiTheme="majorHAnsi" w:hAnsiTheme="majorHAnsi"/>
                <w:b/>
              </w:rPr>
              <w:t>:</w:t>
            </w:r>
          </w:p>
        </w:tc>
        <w:tc>
          <w:tcPr>
            <w:tcW w:w="7236" w:type="dxa"/>
          </w:tcPr>
          <w:p w14:paraId="06FE783E" w14:textId="66A89A7B" w:rsidR="00364763" w:rsidRPr="00C14604" w:rsidRDefault="0081141F" w:rsidP="00D371D1">
            <w:pPr>
              <w:pStyle w:val="BBBodyTextNoSpacing"/>
              <w:widowControl w:val="0"/>
              <w:adjustRightInd w:val="0"/>
              <w:rPr>
                <w:rFonts w:asciiTheme="majorHAnsi" w:hAnsiTheme="majorHAnsi"/>
              </w:rPr>
            </w:pPr>
            <w:bookmarkStart w:id="7" w:name="bmkDate"/>
            <w:r>
              <w:rPr>
                <w:rFonts w:asciiTheme="majorHAnsi" w:hAnsiTheme="majorHAnsi"/>
              </w:rPr>
              <w:t>13</w:t>
            </w:r>
            <w:r w:rsidR="00C24852">
              <w:rPr>
                <w:rFonts w:asciiTheme="majorHAnsi" w:hAnsiTheme="majorHAnsi"/>
              </w:rPr>
              <w:t xml:space="preserve"> February</w:t>
            </w:r>
            <w:r w:rsidR="00176258" w:rsidRPr="00C14604">
              <w:rPr>
                <w:rFonts w:asciiTheme="majorHAnsi" w:hAnsiTheme="majorHAnsi"/>
              </w:rPr>
              <w:t xml:space="preserve"> 2019</w:t>
            </w:r>
            <w:bookmarkEnd w:id="7"/>
          </w:p>
        </w:tc>
      </w:tr>
      <w:tr w:rsidR="00027C51" w:rsidRPr="00AA3723" w14:paraId="30069BA1" w14:textId="77777777" w:rsidTr="00176258">
        <w:tc>
          <w:tcPr>
            <w:tcW w:w="2050" w:type="dxa"/>
          </w:tcPr>
          <w:p w14:paraId="1CEB2F9A" w14:textId="77777777" w:rsidR="00364763" w:rsidRPr="001B35BD" w:rsidRDefault="00176258" w:rsidP="00D371D1">
            <w:pPr>
              <w:pStyle w:val="BBBodyTextNoSpacing"/>
              <w:widowControl w:val="0"/>
              <w:adjustRightInd w:val="0"/>
              <w:rPr>
                <w:rFonts w:asciiTheme="majorHAnsi" w:hAnsiTheme="majorHAnsi"/>
                <w:b/>
              </w:rPr>
            </w:pPr>
            <w:bookmarkStart w:id="8" w:name="labRe"/>
            <w:r w:rsidRPr="00AA3723">
              <w:rPr>
                <w:rFonts w:asciiTheme="majorHAnsi" w:hAnsiTheme="majorHAnsi"/>
                <w:b/>
              </w:rPr>
              <w:t>Subject</w:t>
            </w:r>
            <w:bookmarkEnd w:id="8"/>
            <w:r w:rsidR="00364763" w:rsidRPr="00AA3723">
              <w:rPr>
                <w:rFonts w:asciiTheme="majorHAnsi" w:hAnsiTheme="majorHAnsi"/>
                <w:b/>
              </w:rPr>
              <w:t>:</w:t>
            </w:r>
          </w:p>
        </w:tc>
        <w:tc>
          <w:tcPr>
            <w:tcW w:w="7236" w:type="dxa"/>
          </w:tcPr>
          <w:p w14:paraId="058DE7E9" w14:textId="0EF8BBC9" w:rsidR="00364763" w:rsidRPr="00C14604" w:rsidRDefault="00176258" w:rsidP="00FE1301">
            <w:pPr>
              <w:pStyle w:val="BBBodyTextNoSpacing"/>
              <w:widowControl w:val="0"/>
              <w:adjustRightInd w:val="0"/>
              <w:rPr>
                <w:rFonts w:asciiTheme="majorHAnsi" w:hAnsiTheme="majorHAnsi"/>
              </w:rPr>
            </w:pPr>
            <w:bookmarkStart w:id="9" w:name="bmkRe"/>
            <w:r w:rsidRPr="00C14604">
              <w:rPr>
                <w:rFonts w:asciiTheme="majorHAnsi" w:hAnsiTheme="majorHAnsi"/>
              </w:rPr>
              <w:t xml:space="preserve">Advice on </w:t>
            </w:r>
            <w:r w:rsidR="00C14604" w:rsidRPr="00C14604">
              <w:rPr>
                <w:rFonts w:asciiTheme="majorHAnsi" w:hAnsiTheme="majorHAnsi"/>
              </w:rPr>
              <w:t xml:space="preserve">the </w:t>
            </w:r>
            <w:bookmarkEnd w:id="9"/>
            <w:r w:rsidR="00FE1301">
              <w:rPr>
                <w:rFonts w:asciiTheme="majorHAnsi" w:hAnsiTheme="majorHAnsi"/>
              </w:rPr>
              <w:t>inclusion of "city" in publicly available Whois data</w:t>
            </w:r>
          </w:p>
        </w:tc>
      </w:tr>
    </w:tbl>
    <w:p w14:paraId="088D3BFE" w14:textId="77777777" w:rsidR="00D42BAE" w:rsidRPr="00AA3723" w:rsidRDefault="00D42BAE" w:rsidP="00D371D1">
      <w:pPr>
        <w:widowControl w:val="0"/>
        <w:pBdr>
          <w:bottom w:val="single" w:sz="12" w:space="1" w:color="auto"/>
        </w:pBdr>
        <w:adjustRightInd w:val="0"/>
        <w:spacing w:after="0"/>
        <w:rPr>
          <w:rFonts w:asciiTheme="majorHAnsi" w:eastAsia="Calibri" w:hAnsiTheme="majorHAnsi" w:cs="Calibri"/>
          <w:sz w:val="20"/>
        </w:rPr>
      </w:pPr>
    </w:p>
    <w:p w14:paraId="2D434435" w14:textId="77777777" w:rsidR="007A55C9" w:rsidRDefault="007A55C9" w:rsidP="00D371D1">
      <w:pPr>
        <w:widowControl w:val="0"/>
        <w:autoSpaceDE w:val="0"/>
        <w:autoSpaceDN w:val="0"/>
        <w:adjustRightInd w:val="0"/>
        <w:spacing w:after="0"/>
        <w:rPr>
          <w:rFonts w:asciiTheme="majorHAnsi" w:eastAsia="Calibri" w:hAnsiTheme="majorHAnsi" w:cs="Calibri"/>
          <w:szCs w:val="22"/>
        </w:rPr>
      </w:pPr>
    </w:p>
    <w:p w14:paraId="74446915" w14:textId="77777777" w:rsidR="00CC394A" w:rsidRPr="00CC394A" w:rsidRDefault="00CC394A" w:rsidP="00D371D1">
      <w:pPr>
        <w:widowControl w:val="0"/>
        <w:autoSpaceDE w:val="0"/>
        <w:autoSpaceDN w:val="0"/>
        <w:adjustRightInd w:val="0"/>
        <w:spacing w:after="0"/>
        <w:rPr>
          <w:rFonts w:asciiTheme="majorHAnsi" w:eastAsia="Calibri" w:hAnsiTheme="majorHAnsi" w:cs="Calibri"/>
          <w:szCs w:val="22"/>
        </w:rPr>
      </w:pPr>
    </w:p>
    <w:p w14:paraId="188FBBA4" w14:textId="5D6AC7EC" w:rsidR="00561802" w:rsidRPr="00561802" w:rsidRDefault="00561802" w:rsidP="00D371D1">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Questions presented</w:t>
      </w:r>
    </w:p>
    <w:p w14:paraId="6E0EE619" w14:textId="77777777" w:rsidR="00561802" w:rsidRPr="00561802" w:rsidRDefault="00561802"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2C5E76D4" w14:textId="4396346E" w:rsidR="00561802" w:rsidRPr="00BC4C4E" w:rsidRDefault="00561802"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BC4C4E">
        <w:rPr>
          <w:rFonts w:asciiTheme="majorHAnsi" w:eastAsia="Calibri" w:hAnsiTheme="majorHAnsi" w:cs="Calibri"/>
          <w:szCs w:val="22"/>
          <w:lang w:val="en-US"/>
        </w:rPr>
        <w:t xml:space="preserve">Is the data provided by the Registered Name Holder </w:t>
      </w:r>
      <w:r w:rsidR="00311B45" w:rsidRPr="00BC4C4E">
        <w:rPr>
          <w:rFonts w:asciiTheme="majorHAnsi" w:eastAsia="Calibri" w:hAnsiTheme="majorHAnsi" w:cs="Calibri"/>
          <w:szCs w:val="22"/>
          <w:lang w:val="en-US"/>
        </w:rPr>
        <w:t>("</w:t>
      </w:r>
      <w:r w:rsidR="00311B45" w:rsidRPr="00BC4C4E">
        <w:rPr>
          <w:rFonts w:asciiTheme="majorHAnsi" w:eastAsia="Calibri" w:hAnsiTheme="majorHAnsi" w:cs="Calibri"/>
          <w:b/>
          <w:szCs w:val="22"/>
          <w:lang w:val="en-US"/>
        </w:rPr>
        <w:t>RNH</w:t>
      </w:r>
      <w:r w:rsidR="00311B45" w:rsidRPr="00BC4C4E">
        <w:rPr>
          <w:rFonts w:asciiTheme="majorHAnsi" w:eastAsia="Calibri" w:hAnsiTheme="majorHAnsi" w:cs="Calibri"/>
          <w:szCs w:val="22"/>
          <w:lang w:val="en-US"/>
        </w:rPr>
        <w:t xml:space="preserve">") </w:t>
      </w:r>
      <w:r w:rsidRPr="00BC4C4E">
        <w:rPr>
          <w:rFonts w:asciiTheme="majorHAnsi" w:eastAsia="Calibri" w:hAnsiTheme="majorHAnsi" w:cs="Calibri"/>
          <w:szCs w:val="22"/>
          <w:lang w:val="en-US"/>
        </w:rPr>
        <w:t>for the “City” field in the RNH’s address personal data?  To what extent is there a risk under GDPR that the publication and/or disclosure of the RNH-identified “City” could result in inadvertent disclosure of personal data (which may affect the policy of whether it should be redacted from the data that is made publicly available in Whois), or contribute to making the Registered Name Holder more identifiable? Please note that the EPDP is considering a recommendation to allow the publication of the City, State/Province and Country, while redacting the contact’s name, street address, email address, postal code, telephone number.  What are the bases in the GDPR, its official advisories and interpretations, and in practices similar to our own for making such a determination?</w:t>
      </w:r>
    </w:p>
    <w:p w14:paraId="3650B88B" w14:textId="77777777" w:rsidR="00561802" w:rsidRPr="00561802" w:rsidRDefault="00561802"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1606DA67" w14:textId="4D8481D9" w:rsidR="00561802" w:rsidRPr="00561802" w:rsidRDefault="00561802"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561802">
        <w:rPr>
          <w:rFonts w:asciiTheme="majorHAnsi" w:eastAsia="Calibri" w:hAnsiTheme="majorHAnsi" w:cs="Calibri"/>
          <w:szCs w:val="22"/>
          <w:lang w:val="en-US"/>
        </w:rPr>
        <w:t>If the city field is personal data and therefore must be redacted, is there a lawful basis under Art. 6(1)</w:t>
      </w:r>
      <w:r w:rsidR="00B84637">
        <w:rPr>
          <w:rFonts w:asciiTheme="majorHAnsi" w:eastAsia="Calibri" w:hAnsiTheme="majorHAnsi" w:cs="Calibri"/>
          <w:szCs w:val="22"/>
          <w:lang w:val="en-US"/>
        </w:rPr>
        <w:t>(f)</w:t>
      </w:r>
      <w:r w:rsidRPr="00561802">
        <w:rPr>
          <w:rFonts w:asciiTheme="majorHAnsi" w:eastAsia="Calibri" w:hAnsiTheme="majorHAnsi" w:cs="Calibri"/>
          <w:szCs w:val="22"/>
          <w:lang w:val="en-US"/>
        </w:rPr>
        <w:t xml:space="preserve"> for publishing a subset of the data submitted by the registered name holder that includes the city name, where the legitimate interest is that those pursuing legal claims can determine jurisdictional issues prior to asserting the claim where that interest overcomes the rights of all registrants in not having their personal data published. (This proposed legitimate interest was gleaned from the transcript in Toronto.)</w:t>
      </w:r>
    </w:p>
    <w:p w14:paraId="11EC3014" w14:textId="77777777" w:rsidR="004345B1" w:rsidRPr="00561802" w:rsidRDefault="004345B1"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lang w:val="en-US"/>
        </w:rPr>
      </w:pPr>
    </w:p>
    <w:p w14:paraId="281E6B76" w14:textId="3F7E2913" w:rsidR="004345B1" w:rsidRPr="00A72994" w:rsidRDefault="005A5B4F" w:rsidP="00D371D1">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 xml:space="preserve">Is the </w:t>
      </w:r>
      <w:r w:rsidR="00D371D1">
        <w:rPr>
          <w:rFonts w:asciiTheme="majorHAnsi" w:eastAsia="Calibri" w:hAnsiTheme="majorHAnsi" w:cs="Calibri"/>
          <w:b/>
          <w:szCs w:val="22"/>
        </w:rPr>
        <w:t>"</w:t>
      </w:r>
      <w:r>
        <w:rPr>
          <w:rFonts w:asciiTheme="majorHAnsi" w:eastAsia="Calibri" w:hAnsiTheme="majorHAnsi" w:cs="Calibri"/>
          <w:b/>
          <w:szCs w:val="22"/>
        </w:rPr>
        <w:t>City</w:t>
      </w:r>
      <w:r w:rsidR="00D371D1">
        <w:rPr>
          <w:rFonts w:asciiTheme="majorHAnsi" w:eastAsia="Calibri" w:hAnsiTheme="majorHAnsi" w:cs="Calibri"/>
          <w:b/>
          <w:szCs w:val="22"/>
        </w:rPr>
        <w:t>"</w:t>
      </w:r>
      <w:r>
        <w:rPr>
          <w:rFonts w:asciiTheme="majorHAnsi" w:eastAsia="Calibri" w:hAnsiTheme="majorHAnsi" w:cs="Calibri"/>
          <w:b/>
          <w:szCs w:val="22"/>
        </w:rPr>
        <w:t xml:space="preserve"> field personal data?</w:t>
      </w:r>
    </w:p>
    <w:p w14:paraId="211A2BBC" w14:textId="270B31F5" w:rsidR="00A72994" w:rsidRDefault="00A72994"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7189B814" w14:textId="4A785D6F" w:rsidR="00112772" w:rsidRPr="00112772" w:rsidRDefault="00D371D1" w:rsidP="00D371D1">
      <w:pPr>
        <w:widowControl w:val="0"/>
        <w:autoSpaceDE w:val="0"/>
        <w:autoSpaceDN w:val="0"/>
        <w:adjustRightInd w:val="0"/>
        <w:spacing w:after="0"/>
        <w:ind w:left="360"/>
        <w:rPr>
          <w:rFonts w:asciiTheme="majorHAnsi" w:eastAsia="Calibri" w:hAnsiTheme="majorHAnsi" w:cs="Calibri"/>
          <w:szCs w:val="22"/>
          <w:u w:val="single"/>
        </w:rPr>
      </w:pPr>
      <w:r>
        <w:rPr>
          <w:rFonts w:asciiTheme="majorHAnsi" w:eastAsia="Calibri" w:hAnsiTheme="majorHAnsi" w:cs="Calibri"/>
          <w:szCs w:val="22"/>
          <w:u w:val="single"/>
        </w:rPr>
        <w:t>Definition of p</w:t>
      </w:r>
      <w:r w:rsidR="00112772">
        <w:rPr>
          <w:rFonts w:asciiTheme="majorHAnsi" w:eastAsia="Calibri" w:hAnsiTheme="majorHAnsi" w:cs="Calibri"/>
          <w:szCs w:val="22"/>
          <w:u w:val="single"/>
        </w:rPr>
        <w:t>ersonal data</w:t>
      </w:r>
    </w:p>
    <w:p w14:paraId="081487A3" w14:textId="77777777" w:rsidR="00112772" w:rsidRDefault="00112772"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0B5A4044" w14:textId="287D12C6" w:rsidR="00112772" w:rsidRDefault="00112772"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The GDPR defines personal data as "</w:t>
      </w:r>
      <w:r w:rsidRPr="00112772">
        <w:rPr>
          <w:rFonts w:asciiTheme="majorHAnsi" w:eastAsia="Calibri" w:hAnsiTheme="majorHAnsi" w:cs="Calibri"/>
          <w:i/>
          <w:szCs w:val="22"/>
        </w:rPr>
        <w:t>any information relating to an identified or identifiable natural person (‘data subject’)</w:t>
      </w:r>
      <w:r>
        <w:rPr>
          <w:rFonts w:asciiTheme="majorHAnsi" w:eastAsia="Calibri" w:hAnsiTheme="majorHAnsi" w:cs="Calibri"/>
          <w:szCs w:val="22"/>
        </w:rPr>
        <w:t>". A person is considered "</w:t>
      </w:r>
      <w:r>
        <w:rPr>
          <w:rFonts w:asciiTheme="majorHAnsi" w:eastAsia="Calibri" w:hAnsiTheme="majorHAnsi" w:cs="Calibri"/>
          <w:i/>
          <w:szCs w:val="22"/>
        </w:rPr>
        <w:t>identifiable</w:t>
      </w:r>
      <w:r>
        <w:rPr>
          <w:rFonts w:asciiTheme="majorHAnsi" w:eastAsia="Calibri" w:hAnsiTheme="majorHAnsi" w:cs="Calibri"/>
          <w:szCs w:val="22"/>
        </w:rPr>
        <w:t>" if she</w:t>
      </w:r>
      <w:r w:rsidRPr="00112772">
        <w:rPr>
          <w:rFonts w:asciiTheme="majorHAnsi" w:eastAsia="Calibri" w:hAnsiTheme="majorHAnsi" w:cs="Calibri"/>
          <w:szCs w:val="22"/>
        </w:rPr>
        <w:t xml:space="preserve"> </w:t>
      </w:r>
      <w:r>
        <w:rPr>
          <w:rFonts w:asciiTheme="majorHAnsi" w:eastAsia="Calibri" w:hAnsiTheme="majorHAnsi" w:cs="Calibri"/>
          <w:szCs w:val="22"/>
        </w:rPr>
        <w:t>"</w:t>
      </w:r>
      <w:r w:rsidRPr="00112772">
        <w:rPr>
          <w:rFonts w:asciiTheme="majorHAnsi" w:eastAsia="Calibri" w:hAnsiTheme="majorHAnsi" w:cs="Calibri"/>
          <w:i/>
          <w:szCs w:val="22"/>
        </w:rPr>
        <w:t>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rFonts w:asciiTheme="majorHAnsi" w:eastAsia="Calibri" w:hAnsiTheme="majorHAnsi" w:cs="Calibri"/>
          <w:szCs w:val="22"/>
        </w:rPr>
        <w:t>".</w:t>
      </w:r>
    </w:p>
    <w:p w14:paraId="549ECF5B" w14:textId="77777777" w:rsidR="00112772" w:rsidRDefault="00112772" w:rsidP="00D371D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26C8838A" w14:textId="3C759C81" w:rsidR="00112772" w:rsidRPr="00FE1301" w:rsidRDefault="00004D4E"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FE1301">
        <w:rPr>
          <w:rFonts w:asciiTheme="majorHAnsi" w:eastAsia="Calibri" w:hAnsiTheme="majorHAnsi" w:cs="Calibri"/>
          <w:szCs w:val="22"/>
        </w:rPr>
        <w:t>The definition of personal data has not changed substantially from the Data Protection Directive, other than to specifically reference online identifiers and location data.</w:t>
      </w:r>
      <w:r w:rsidRPr="00FE1301">
        <w:rPr>
          <w:rStyle w:val="FootnoteReference"/>
          <w:rFonts w:asciiTheme="majorHAnsi" w:eastAsia="Calibri" w:hAnsiTheme="majorHAnsi" w:cs="Calibri"/>
          <w:szCs w:val="22"/>
        </w:rPr>
        <w:footnoteReference w:id="1"/>
      </w:r>
      <w:r w:rsidRPr="00FE1301">
        <w:rPr>
          <w:rFonts w:asciiTheme="majorHAnsi" w:eastAsia="Calibri" w:hAnsiTheme="majorHAnsi" w:cs="Calibri"/>
          <w:szCs w:val="22"/>
        </w:rPr>
        <w:t xml:space="preserve"> Therefore, Opinion 4/2007 from the Article 29 Working Party </w:t>
      </w:r>
      <w:r w:rsidRPr="00FE1301">
        <w:rPr>
          <w:rFonts w:asciiTheme="majorHAnsi" w:eastAsia="Calibri" w:hAnsiTheme="majorHAnsi" w:cs="Calibri"/>
          <w:szCs w:val="22"/>
        </w:rPr>
        <w:lastRenderedPageBreak/>
        <w:t>("</w:t>
      </w:r>
      <w:r w:rsidRPr="00FE1301">
        <w:rPr>
          <w:rFonts w:asciiTheme="majorHAnsi" w:eastAsia="Calibri" w:hAnsiTheme="majorHAnsi" w:cs="Calibri"/>
          <w:b/>
          <w:szCs w:val="22"/>
        </w:rPr>
        <w:t>WP29</w:t>
      </w:r>
      <w:r w:rsidRPr="00FE1301">
        <w:rPr>
          <w:rFonts w:asciiTheme="majorHAnsi" w:eastAsia="Calibri" w:hAnsiTheme="majorHAnsi" w:cs="Calibri"/>
          <w:szCs w:val="22"/>
        </w:rPr>
        <w:t>") on the concept of personal data remains relevant.</w:t>
      </w:r>
    </w:p>
    <w:p w14:paraId="7E0C61B5" w14:textId="77777777" w:rsidR="00004D4E" w:rsidRPr="00004D4E" w:rsidRDefault="00004D4E" w:rsidP="00D371D1">
      <w:pPr>
        <w:pStyle w:val="ListParagraph"/>
        <w:adjustRightInd w:val="0"/>
        <w:spacing w:after="0"/>
        <w:contextualSpacing w:val="0"/>
        <w:rPr>
          <w:rFonts w:asciiTheme="majorHAnsi" w:eastAsia="Calibri" w:hAnsiTheme="majorHAnsi" w:cs="Calibri"/>
          <w:szCs w:val="22"/>
        </w:rPr>
      </w:pPr>
    </w:p>
    <w:p w14:paraId="62E4F4E3" w14:textId="6225BACA" w:rsidR="00573994" w:rsidRDefault="00FE1301"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According to this Opinion, a</w:t>
      </w:r>
      <w:r w:rsidR="00D371D1">
        <w:rPr>
          <w:rFonts w:asciiTheme="majorHAnsi" w:eastAsia="Calibri" w:hAnsiTheme="majorHAnsi" w:cs="Calibri"/>
          <w:szCs w:val="22"/>
        </w:rPr>
        <w:t xml:space="preserve"> person may</w:t>
      </w:r>
      <w:r w:rsidR="00573994">
        <w:rPr>
          <w:rFonts w:asciiTheme="majorHAnsi" w:eastAsia="Calibri" w:hAnsiTheme="majorHAnsi" w:cs="Calibri"/>
          <w:szCs w:val="22"/>
        </w:rPr>
        <w:t xml:space="preserve"> be considered </w:t>
      </w:r>
      <w:r w:rsidR="00573994" w:rsidRPr="00573994">
        <w:rPr>
          <w:rFonts w:asciiTheme="majorHAnsi" w:eastAsia="Calibri" w:hAnsiTheme="majorHAnsi" w:cs="Calibri"/>
          <w:b/>
          <w:szCs w:val="22"/>
        </w:rPr>
        <w:t>identifiable</w:t>
      </w:r>
      <w:r w:rsidR="00573994">
        <w:rPr>
          <w:rFonts w:asciiTheme="majorHAnsi" w:eastAsia="Calibri" w:hAnsiTheme="majorHAnsi" w:cs="Calibri"/>
          <w:szCs w:val="22"/>
        </w:rPr>
        <w:t xml:space="preserve"> by reference to strong identifiers, such as names, social security numbers, government identification numbers, etc., or </w:t>
      </w:r>
      <w:r w:rsidR="004C17DF">
        <w:rPr>
          <w:rFonts w:asciiTheme="majorHAnsi" w:eastAsia="Calibri" w:hAnsiTheme="majorHAnsi" w:cs="Calibri"/>
          <w:szCs w:val="22"/>
        </w:rPr>
        <w:t>"</w:t>
      </w:r>
      <w:r w:rsidR="004C17DF" w:rsidRPr="004C17DF">
        <w:rPr>
          <w:rFonts w:asciiTheme="majorHAnsi" w:eastAsia="Calibri" w:hAnsiTheme="majorHAnsi" w:cs="Calibri"/>
          <w:i/>
          <w:szCs w:val="22"/>
        </w:rPr>
        <w:t>by a combination of significant criteria which allows him to be recognized by narrowing down the group to which he belongs (age, occupation, place of residence, etc.)</w:t>
      </w:r>
      <w:r w:rsidR="004C17DF">
        <w:rPr>
          <w:rFonts w:asciiTheme="majorHAnsi" w:eastAsia="Calibri" w:hAnsiTheme="majorHAnsi" w:cs="Calibri"/>
          <w:szCs w:val="22"/>
        </w:rPr>
        <w:t xml:space="preserve">". </w:t>
      </w:r>
    </w:p>
    <w:p w14:paraId="74F4C801" w14:textId="77777777" w:rsidR="004C17DF" w:rsidRPr="004C17DF" w:rsidRDefault="004C17DF" w:rsidP="00D371D1">
      <w:pPr>
        <w:pStyle w:val="ListParagraph"/>
        <w:adjustRightInd w:val="0"/>
        <w:spacing w:after="0"/>
        <w:contextualSpacing w:val="0"/>
        <w:rPr>
          <w:rFonts w:asciiTheme="majorHAnsi" w:eastAsia="Calibri" w:hAnsiTheme="majorHAnsi" w:cs="Calibri"/>
          <w:szCs w:val="22"/>
        </w:rPr>
      </w:pPr>
    </w:p>
    <w:p w14:paraId="2E17251A" w14:textId="06A55AF9" w:rsidR="00D371D1" w:rsidRDefault="00D371D1"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Recital 26 confirms that whether an individual is identifiable must be assessed based on "</w:t>
      </w:r>
      <w:r w:rsidRPr="00112772">
        <w:rPr>
          <w:rFonts w:asciiTheme="majorHAnsi" w:eastAsia="Calibri" w:hAnsiTheme="majorHAnsi" w:cs="Calibri"/>
          <w:i/>
          <w:szCs w:val="22"/>
        </w:rPr>
        <w:t>all the means reasonably likely to be used, such as singling out, either by the controller or by another person</w:t>
      </w:r>
      <w:r>
        <w:rPr>
          <w:rFonts w:asciiTheme="majorHAnsi" w:eastAsia="Calibri" w:hAnsiTheme="majorHAnsi" w:cs="Calibri"/>
          <w:szCs w:val="22"/>
        </w:rPr>
        <w:t>". As stated in Opinion 4/2007, "</w:t>
      </w:r>
      <w:r w:rsidRPr="004C17DF">
        <w:rPr>
          <w:i/>
        </w:rPr>
        <w:t>T</w:t>
      </w:r>
      <w:r w:rsidRPr="004C17DF">
        <w:rPr>
          <w:rFonts w:asciiTheme="majorHAnsi" w:eastAsia="Calibri" w:hAnsiTheme="majorHAnsi" w:cs="Calibri"/>
          <w:i/>
          <w:szCs w:val="22"/>
        </w:rPr>
        <w:t>his means that a mere hypothetical possibility to single out the individual is not enough to consider the person as 'identifiable'. If, taking into account “'</w:t>
      </w:r>
      <w:r>
        <w:rPr>
          <w:rFonts w:asciiTheme="majorHAnsi" w:eastAsia="Calibri" w:hAnsiTheme="majorHAnsi" w:cs="Calibri"/>
          <w:i/>
          <w:szCs w:val="22"/>
        </w:rPr>
        <w:t>a</w:t>
      </w:r>
      <w:r w:rsidRPr="004C17DF">
        <w:rPr>
          <w:rFonts w:asciiTheme="majorHAnsi" w:eastAsia="Calibri" w:hAnsiTheme="majorHAnsi" w:cs="Calibri"/>
          <w:i/>
          <w:szCs w:val="22"/>
        </w:rPr>
        <w:t>ll the means likely reasonably to be used by the controller or any other person', that possibility does not exist or is negligible, the person should not be considered as 'identifiable', and the information would not be considered as 'personal data'</w:t>
      </w:r>
      <w:r>
        <w:rPr>
          <w:rFonts w:asciiTheme="majorHAnsi" w:eastAsia="Calibri" w:hAnsiTheme="majorHAnsi" w:cs="Calibri"/>
          <w:szCs w:val="22"/>
        </w:rPr>
        <w:t>".</w:t>
      </w:r>
    </w:p>
    <w:p w14:paraId="48F72F9C" w14:textId="77777777" w:rsidR="00D371D1" w:rsidRPr="00573994" w:rsidRDefault="00D371D1" w:rsidP="00D371D1">
      <w:pPr>
        <w:pStyle w:val="ListParagraph"/>
        <w:adjustRightInd w:val="0"/>
        <w:spacing w:after="0"/>
        <w:contextualSpacing w:val="0"/>
        <w:rPr>
          <w:rFonts w:asciiTheme="majorHAnsi" w:eastAsia="Calibri" w:hAnsiTheme="majorHAnsi" w:cs="Calibri"/>
          <w:szCs w:val="22"/>
        </w:rPr>
      </w:pPr>
    </w:p>
    <w:p w14:paraId="109FA84D" w14:textId="57EBDDD5" w:rsidR="00D371D1" w:rsidRDefault="00D371D1" w:rsidP="00D371D1">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A consequence of this analysis is that data may be personal data in the possession of one party, but not another. The analysis must take account of whether "</w:t>
      </w:r>
      <w:r>
        <w:rPr>
          <w:rFonts w:asciiTheme="majorHAnsi" w:eastAsia="Calibri" w:hAnsiTheme="majorHAnsi" w:cs="Calibri"/>
          <w:i/>
          <w:szCs w:val="22"/>
        </w:rPr>
        <w:t>one has access to additional information</w:t>
      </w:r>
      <w:r>
        <w:rPr>
          <w:rFonts w:asciiTheme="majorHAnsi" w:eastAsia="Calibri" w:hAnsiTheme="majorHAnsi" w:cs="Calibri"/>
          <w:szCs w:val="22"/>
        </w:rPr>
        <w:t xml:space="preserve">" that would permit identification. For example, in </w:t>
      </w:r>
      <w:r>
        <w:rPr>
          <w:rFonts w:asciiTheme="majorHAnsi" w:eastAsia="Calibri" w:hAnsiTheme="majorHAnsi" w:cs="Calibri"/>
          <w:i/>
          <w:szCs w:val="22"/>
        </w:rPr>
        <w:t xml:space="preserve">Breyer v </w:t>
      </w:r>
      <w:r w:rsidRPr="00A84A29">
        <w:rPr>
          <w:rFonts w:asciiTheme="majorHAnsi" w:eastAsia="Calibri" w:hAnsiTheme="majorHAnsi" w:cs="Calibri"/>
          <w:i/>
          <w:szCs w:val="22"/>
        </w:rPr>
        <w:t>Bundesrepublik Deutschland</w:t>
      </w:r>
      <w:r>
        <w:rPr>
          <w:rFonts w:asciiTheme="majorHAnsi" w:eastAsia="Calibri" w:hAnsiTheme="majorHAnsi" w:cs="Calibri"/>
          <w:szCs w:val="22"/>
        </w:rPr>
        <w:t>, the Court of Justice of the European Union ("</w:t>
      </w:r>
      <w:r>
        <w:rPr>
          <w:rFonts w:asciiTheme="majorHAnsi" w:eastAsia="Calibri" w:hAnsiTheme="majorHAnsi" w:cs="Calibri"/>
          <w:b/>
          <w:szCs w:val="22"/>
        </w:rPr>
        <w:t>CJEU</w:t>
      </w:r>
      <w:r>
        <w:rPr>
          <w:rFonts w:asciiTheme="majorHAnsi" w:eastAsia="Calibri" w:hAnsiTheme="majorHAnsi" w:cs="Calibri"/>
          <w:szCs w:val="22"/>
        </w:rPr>
        <w:t xml:space="preserve">") held that a dynamic IP address </w:t>
      </w:r>
      <w:r w:rsidRPr="00D371D1">
        <w:rPr>
          <w:rFonts w:asciiTheme="majorHAnsi" w:eastAsia="Calibri" w:hAnsiTheme="majorHAnsi" w:cs="Calibri"/>
          <w:i/>
          <w:szCs w:val="22"/>
        </w:rPr>
        <w:t>could</w:t>
      </w:r>
      <w:r>
        <w:rPr>
          <w:rFonts w:asciiTheme="majorHAnsi" w:eastAsia="Calibri" w:hAnsiTheme="majorHAnsi" w:cs="Calibri"/>
          <w:szCs w:val="22"/>
        </w:rPr>
        <w:t xml:space="preserve"> be considered personal data if the online media services provider would be able to access additional identifying information from the internet service provider (ISP) to be able to identify the individual behind the dynamic IP</w:t>
      </w:r>
      <w:r w:rsidR="00FE1301">
        <w:rPr>
          <w:rFonts w:asciiTheme="majorHAnsi" w:eastAsia="Calibri" w:hAnsiTheme="majorHAnsi" w:cs="Calibri"/>
          <w:szCs w:val="22"/>
        </w:rPr>
        <w:t xml:space="preserve"> address</w:t>
      </w:r>
      <w:r>
        <w:rPr>
          <w:rFonts w:asciiTheme="majorHAnsi" w:eastAsia="Calibri" w:hAnsiTheme="majorHAnsi" w:cs="Calibri"/>
          <w:szCs w:val="22"/>
        </w:rPr>
        <w:t xml:space="preserve">. In the possession of the ISP, however, the data was clearly personal. </w:t>
      </w:r>
    </w:p>
    <w:p w14:paraId="4ECD906D" w14:textId="77777777" w:rsidR="00D371D1" w:rsidRPr="00D371D1" w:rsidRDefault="00D371D1" w:rsidP="00D371D1">
      <w:pPr>
        <w:widowControl w:val="0"/>
        <w:autoSpaceDE w:val="0"/>
        <w:autoSpaceDN w:val="0"/>
        <w:adjustRightInd w:val="0"/>
        <w:spacing w:after="0"/>
        <w:rPr>
          <w:rFonts w:asciiTheme="majorHAnsi" w:eastAsia="Calibri" w:hAnsiTheme="majorHAnsi" w:cs="Calibri"/>
          <w:szCs w:val="22"/>
        </w:rPr>
      </w:pPr>
    </w:p>
    <w:p w14:paraId="2FB6283D" w14:textId="77777777" w:rsidR="00040D57" w:rsidRDefault="00311B45" w:rsidP="00040D57">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When analysed from the point of view of </w:t>
      </w:r>
      <w:r w:rsidR="001C2132" w:rsidRPr="001C2132">
        <w:rPr>
          <w:rFonts w:asciiTheme="majorHAnsi" w:eastAsia="Calibri" w:hAnsiTheme="majorHAnsi" w:cs="Calibri"/>
          <w:szCs w:val="22"/>
        </w:rPr>
        <w:t>registries, registrars and/or ICANN (the "</w:t>
      </w:r>
      <w:r w:rsidR="001C2132" w:rsidRPr="001C2132">
        <w:rPr>
          <w:rFonts w:asciiTheme="majorHAnsi" w:eastAsia="Calibri" w:hAnsiTheme="majorHAnsi" w:cs="Calibri"/>
          <w:b/>
          <w:szCs w:val="22"/>
        </w:rPr>
        <w:t>relevant parties</w:t>
      </w:r>
      <w:r w:rsidR="001C2132" w:rsidRPr="001C2132">
        <w:rPr>
          <w:rFonts w:asciiTheme="majorHAnsi" w:eastAsia="Calibri" w:hAnsiTheme="majorHAnsi" w:cs="Calibri"/>
          <w:szCs w:val="22"/>
        </w:rPr>
        <w:t>")</w:t>
      </w:r>
      <w:r w:rsidR="001C2132">
        <w:rPr>
          <w:rFonts w:asciiTheme="majorHAnsi" w:eastAsia="Calibri" w:hAnsiTheme="majorHAnsi" w:cs="Calibri"/>
          <w:szCs w:val="22"/>
        </w:rPr>
        <w:t>,</w:t>
      </w:r>
      <w:r w:rsidR="001C2132" w:rsidRPr="001C2132">
        <w:rPr>
          <w:rFonts w:asciiTheme="majorHAnsi" w:eastAsia="Calibri" w:hAnsiTheme="majorHAnsi" w:cs="Calibri"/>
          <w:szCs w:val="22"/>
        </w:rPr>
        <w:t xml:space="preserve"> </w:t>
      </w:r>
      <w:r>
        <w:rPr>
          <w:rFonts w:asciiTheme="majorHAnsi" w:eastAsia="Calibri" w:hAnsiTheme="majorHAnsi" w:cs="Calibri"/>
          <w:szCs w:val="22"/>
        </w:rPr>
        <w:t>the "city" field of the RNH's address will be personal data</w:t>
      </w:r>
      <w:r w:rsidR="001C2132">
        <w:rPr>
          <w:rFonts w:asciiTheme="majorHAnsi" w:eastAsia="Calibri" w:hAnsiTheme="majorHAnsi" w:cs="Calibri"/>
          <w:szCs w:val="22"/>
        </w:rPr>
        <w:t xml:space="preserve"> if the RNH is a natural person since it conveys information that relates to a person who is identifiable to the relevant parties. As ICANN has previously concluded, this will not be personal data when it relates to a RNH that is a legal person, but not a natural person.</w:t>
      </w:r>
    </w:p>
    <w:p w14:paraId="7F797D99" w14:textId="77777777" w:rsidR="00040D57" w:rsidRPr="00040D57" w:rsidRDefault="00040D57" w:rsidP="00040D57">
      <w:pPr>
        <w:pStyle w:val="ListParagraph"/>
        <w:rPr>
          <w:rFonts w:asciiTheme="majorHAnsi" w:eastAsia="Calibri" w:hAnsiTheme="majorHAnsi" w:cs="Calibri"/>
          <w:szCs w:val="22"/>
        </w:rPr>
      </w:pPr>
    </w:p>
    <w:p w14:paraId="205E8533" w14:textId="6B62EE58" w:rsidR="001C2B06" w:rsidRDefault="005B728B" w:rsidP="00040D57">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040D57">
        <w:rPr>
          <w:rFonts w:asciiTheme="majorHAnsi" w:eastAsia="Calibri" w:hAnsiTheme="majorHAnsi" w:cs="Calibri"/>
          <w:szCs w:val="22"/>
        </w:rPr>
        <w:t xml:space="preserve">A further </w:t>
      </w:r>
      <w:r w:rsidR="00245E75" w:rsidRPr="00040D57">
        <w:rPr>
          <w:rFonts w:asciiTheme="majorHAnsi" w:eastAsia="Calibri" w:hAnsiTheme="majorHAnsi" w:cs="Calibri"/>
          <w:szCs w:val="22"/>
        </w:rPr>
        <w:t>question</w:t>
      </w:r>
      <w:r w:rsidRPr="00040D57">
        <w:rPr>
          <w:rFonts w:asciiTheme="majorHAnsi" w:eastAsia="Calibri" w:hAnsiTheme="majorHAnsi" w:cs="Calibri"/>
          <w:szCs w:val="22"/>
        </w:rPr>
        <w:t>, more relevant here,</w:t>
      </w:r>
      <w:r w:rsidR="00245E75" w:rsidRPr="00040D57">
        <w:rPr>
          <w:rFonts w:asciiTheme="majorHAnsi" w:eastAsia="Calibri" w:hAnsiTheme="majorHAnsi" w:cs="Calibri"/>
          <w:szCs w:val="22"/>
        </w:rPr>
        <w:t xml:space="preserve"> is whether</w:t>
      </w:r>
      <w:r w:rsidR="00B235E3" w:rsidRPr="00040D57">
        <w:rPr>
          <w:rFonts w:asciiTheme="majorHAnsi" w:eastAsia="Calibri" w:hAnsiTheme="majorHAnsi" w:cs="Calibri"/>
          <w:szCs w:val="22"/>
        </w:rPr>
        <w:t xml:space="preserve"> a controller can publish information that is personal data in its possession, </w:t>
      </w:r>
      <w:r w:rsidRPr="00040D57">
        <w:rPr>
          <w:rFonts w:asciiTheme="majorHAnsi" w:eastAsia="Calibri" w:hAnsiTheme="majorHAnsi" w:cs="Calibri"/>
          <w:szCs w:val="22"/>
        </w:rPr>
        <w:t xml:space="preserve">but with elements removed, on the basis that the redacted information will not be identifiable to the recipients (which could be the public at large).  </w:t>
      </w:r>
      <w:r w:rsidR="00E934C5" w:rsidRPr="00040D57">
        <w:rPr>
          <w:rFonts w:asciiTheme="majorHAnsi" w:eastAsia="Calibri" w:hAnsiTheme="majorHAnsi" w:cs="Calibri"/>
          <w:szCs w:val="22"/>
        </w:rPr>
        <w:t xml:space="preserve">This </w:t>
      </w:r>
      <w:r w:rsidRPr="00040D57">
        <w:rPr>
          <w:rFonts w:asciiTheme="majorHAnsi" w:eastAsia="Calibri" w:hAnsiTheme="majorHAnsi" w:cs="Calibri"/>
          <w:szCs w:val="22"/>
        </w:rPr>
        <w:t xml:space="preserve">approach </w:t>
      </w:r>
      <w:r w:rsidR="00E934C5" w:rsidRPr="00040D57">
        <w:rPr>
          <w:rFonts w:asciiTheme="majorHAnsi" w:eastAsia="Calibri" w:hAnsiTheme="majorHAnsi" w:cs="Calibri"/>
          <w:szCs w:val="22"/>
        </w:rPr>
        <w:t>has been considered</w:t>
      </w:r>
      <w:r w:rsidRPr="00040D57">
        <w:rPr>
          <w:rFonts w:asciiTheme="majorHAnsi" w:eastAsia="Calibri" w:hAnsiTheme="majorHAnsi" w:cs="Calibri"/>
          <w:szCs w:val="22"/>
        </w:rPr>
        <w:t xml:space="preserve"> possible</w:t>
      </w:r>
      <w:r w:rsidR="00E934C5" w:rsidRPr="00040D57">
        <w:rPr>
          <w:rFonts w:asciiTheme="majorHAnsi" w:eastAsia="Calibri" w:hAnsiTheme="majorHAnsi" w:cs="Calibri"/>
          <w:szCs w:val="22"/>
        </w:rPr>
        <w:t xml:space="preserve"> in a number of cases in the UK </w:t>
      </w:r>
      <w:r w:rsidRPr="00040D57">
        <w:rPr>
          <w:rFonts w:asciiTheme="majorHAnsi" w:eastAsia="Calibri" w:hAnsiTheme="majorHAnsi" w:cs="Calibri"/>
          <w:szCs w:val="22"/>
        </w:rPr>
        <w:t xml:space="preserve">(starting with </w:t>
      </w:r>
      <w:r w:rsidRPr="00040D57">
        <w:rPr>
          <w:rFonts w:asciiTheme="majorHAnsi" w:eastAsia="Calibri" w:hAnsiTheme="majorHAnsi" w:cs="Calibri"/>
          <w:i/>
          <w:szCs w:val="22"/>
        </w:rPr>
        <w:t>Common Services Agency v Scottish Information Commissioner (Scotland</w:t>
      </w:r>
      <w:r w:rsidR="00040D57">
        <w:rPr>
          <w:rFonts w:asciiTheme="majorHAnsi" w:eastAsia="Calibri" w:hAnsiTheme="majorHAnsi" w:cs="Calibri"/>
          <w:i/>
          <w:szCs w:val="22"/>
        </w:rPr>
        <w:t>)</w:t>
      </w:r>
      <w:r w:rsidR="00040D57">
        <w:rPr>
          <w:rFonts w:asciiTheme="majorHAnsi" w:eastAsia="Calibri" w:hAnsiTheme="majorHAnsi" w:cs="Calibri"/>
          <w:szCs w:val="22"/>
        </w:rPr>
        <w:t>)</w:t>
      </w:r>
      <w:r w:rsidR="00E934C5" w:rsidRPr="00040D57">
        <w:rPr>
          <w:rFonts w:asciiTheme="majorHAnsi" w:eastAsia="Calibri" w:hAnsiTheme="majorHAnsi" w:cs="Calibri"/>
          <w:szCs w:val="22"/>
        </w:rPr>
        <w:t xml:space="preserve">. </w:t>
      </w:r>
    </w:p>
    <w:p w14:paraId="325721C0" w14:textId="77777777" w:rsidR="00040D57" w:rsidRPr="00040D57" w:rsidRDefault="00040D57" w:rsidP="00040D57">
      <w:pPr>
        <w:widowControl w:val="0"/>
        <w:autoSpaceDE w:val="0"/>
        <w:autoSpaceDN w:val="0"/>
        <w:adjustRightInd w:val="0"/>
        <w:spacing w:after="0"/>
        <w:rPr>
          <w:rFonts w:asciiTheme="majorHAnsi" w:eastAsia="Calibri" w:hAnsiTheme="majorHAnsi" w:cs="Calibri"/>
          <w:szCs w:val="22"/>
        </w:rPr>
      </w:pPr>
    </w:p>
    <w:p w14:paraId="69208A17" w14:textId="0646A393" w:rsidR="001C2B06" w:rsidRDefault="008443CC" w:rsidP="00311B45">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However, we do not think this approach assists here. The </w:t>
      </w:r>
      <w:r w:rsidRPr="008443CC">
        <w:rPr>
          <w:rFonts w:asciiTheme="majorHAnsi" w:eastAsia="Calibri" w:hAnsiTheme="majorHAnsi" w:cs="Calibri"/>
          <w:i/>
          <w:szCs w:val="22"/>
        </w:rPr>
        <w:t>Breyer</w:t>
      </w:r>
      <w:r>
        <w:rPr>
          <w:rFonts w:asciiTheme="majorHAnsi" w:eastAsia="Calibri" w:hAnsiTheme="majorHAnsi" w:cs="Calibri"/>
          <w:szCs w:val="22"/>
        </w:rPr>
        <w:t xml:space="preserve"> case </w:t>
      </w:r>
      <w:r w:rsidR="001C2B06">
        <w:rPr>
          <w:rFonts w:asciiTheme="majorHAnsi" w:eastAsia="Calibri" w:hAnsiTheme="majorHAnsi" w:cs="Calibri"/>
          <w:szCs w:val="22"/>
        </w:rPr>
        <w:t>makes clear that information will be considered personal data if there are legal channels by which a party could obtain additional information to identify the data subject, and where the party is reasonably likely to do so:</w:t>
      </w:r>
    </w:p>
    <w:p w14:paraId="20EAA04C" w14:textId="77777777" w:rsidR="001C2B06" w:rsidRPr="001C2B06" w:rsidRDefault="001C2B06" w:rsidP="001C2B06">
      <w:pPr>
        <w:pStyle w:val="ListParagraph"/>
        <w:rPr>
          <w:rFonts w:asciiTheme="majorHAnsi" w:eastAsia="Calibri" w:hAnsiTheme="majorHAnsi" w:cs="Calibri"/>
          <w:szCs w:val="22"/>
        </w:rPr>
      </w:pPr>
    </w:p>
    <w:p w14:paraId="3C4140F8" w14:textId="24F5A11F" w:rsidR="001C2B06" w:rsidRDefault="001C2B06" w:rsidP="001C2B06">
      <w:pPr>
        <w:pStyle w:val="ListParagraph"/>
        <w:widowControl w:val="0"/>
        <w:autoSpaceDE w:val="0"/>
        <w:autoSpaceDN w:val="0"/>
        <w:adjustRightInd w:val="0"/>
        <w:spacing w:after="0"/>
        <w:ind w:left="792"/>
        <w:contextualSpacing w:val="0"/>
        <w:rPr>
          <w:rFonts w:asciiTheme="majorHAnsi" w:eastAsia="Calibri" w:hAnsiTheme="majorHAnsi" w:cs="Calibri"/>
          <w:szCs w:val="22"/>
        </w:rPr>
      </w:pPr>
      <w:r>
        <w:rPr>
          <w:rFonts w:asciiTheme="majorHAnsi" w:eastAsia="Calibri" w:hAnsiTheme="majorHAnsi" w:cs="Calibri"/>
          <w:szCs w:val="22"/>
          <w:lang w:val="en-US"/>
        </w:rPr>
        <w:t>"</w:t>
      </w:r>
      <w:r>
        <w:rPr>
          <w:rFonts w:asciiTheme="majorHAnsi" w:eastAsia="Calibri" w:hAnsiTheme="majorHAnsi" w:cs="Calibri"/>
          <w:i/>
          <w:szCs w:val="22"/>
          <w:lang w:val="en-US"/>
        </w:rPr>
        <w:t xml:space="preserve">Although … </w:t>
      </w:r>
      <w:r w:rsidRPr="00B84637">
        <w:rPr>
          <w:rFonts w:asciiTheme="majorHAnsi" w:eastAsia="Calibri" w:hAnsiTheme="majorHAnsi" w:cs="Calibri"/>
          <w:i/>
          <w:szCs w:val="22"/>
          <w:lang w:val="en-US"/>
        </w:rPr>
        <w:t>German law does not allow the internet service provider to transmit directly to the online media services provider the additional data necessary for the identification of the data subject, it seems however, subject to verifications to be made in that regard by the referring court that, in particular, in the event of cyber attacks legal channels exist so that the online media services provider is able to contact the competent authority, so that the latter can take the steps necessary to obtain that information from the</w:t>
      </w:r>
      <w:r w:rsidRPr="00B84637">
        <w:rPr>
          <w:rFonts w:asciiTheme="majorHAnsi" w:eastAsia="Calibri" w:hAnsiTheme="majorHAnsi" w:cs="Calibri"/>
          <w:szCs w:val="22"/>
          <w:lang w:val="en-US"/>
        </w:rPr>
        <w:t xml:space="preserve"> </w:t>
      </w:r>
      <w:r w:rsidRPr="00B84637">
        <w:rPr>
          <w:rFonts w:asciiTheme="majorHAnsi" w:eastAsia="Calibri" w:hAnsiTheme="majorHAnsi" w:cs="Calibri"/>
          <w:i/>
          <w:szCs w:val="22"/>
          <w:lang w:val="en-US"/>
        </w:rPr>
        <w:t xml:space="preserve">internet service provider and to bring criminal </w:t>
      </w:r>
      <w:r w:rsidRPr="00B84637">
        <w:rPr>
          <w:rFonts w:asciiTheme="majorHAnsi" w:eastAsia="Calibri" w:hAnsiTheme="majorHAnsi" w:cs="Calibri"/>
          <w:i/>
          <w:szCs w:val="22"/>
          <w:lang w:val="en-US"/>
        </w:rPr>
        <w:lastRenderedPageBreak/>
        <w:t>proceedings.</w:t>
      </w:r>
      <w:r>
        <w:rPr>
          <w:rFonts w:asciiTheme="majorHAnsi" w:eastAsia="Calibri" w:hAnsiTheme="majorHAnsi" w:cs="Calibri"/>
          <w:i/>
          <w:szCs w:val="22"/>
          <w:lang w:val="en-US"/>
        </w:rPr>
        <w:t xml:space="preserve"> … </w:t>
      </w:r>
      <w:r w:rsidRPr="00B84637">
        <w:rPr>
          <w:rFonts w:asciiTheme="majorHAnsi" w:eastAsia="Calibri" w:hAnsiTheme="majorHAnsi" w:cs="Calibri"/>
          <w:i/>
          <w:szCs w:val="22"/>
          <w:lang w:val="en-US"/>
        </w:rPr>
        <w:t xml:space="preserve">Directive 95/46 must be interpreted as meaning that a dynamic IP address </w:t>
      </w:r>
      <w:r>
        <w:rPr>
          <w:rFonts w:asciiTheme="majorHAnsi" w:eastAsia="Calibri" w:hAnsiTheme="majorHAnsi" w:cs="Calibri"/>
          <w:i/>
          <w:szCs w:val="22"/>
          <w:lang w:val="en-US"/>
        </w:rPr>
        <w:t>...</w:t>
      </w:r>
      <w:r w:rsidRPr="00B84637">
        <w:rPr>
          <w:rFonts w:asciiTheme="majorHAnsi" w:eastAsia="Calibri" w:hAnsiTheme="majorHAnsi" w:cs="Calibri"/>
          <w:i/>
          <w:szCs w:val="22"/>
          <w:lang w:val="en-US"/>
        </w:rPr>
        <w:t xml:space="preserve"> constitutes personal data within the meaning of that provision, in relation to that provider, </w:t>
      </w:r>
      <w:r w:rsidRPr="00B84637">
        <w:rPr>
          <w:rFonts w:asciiTheme="majorHAnsi" w:eastAsia="Calibri" w:hAnsiTheme="majorHAnsi" w:cs="Calibri"/>
          <w:b/>
          <w:i/>
          <w:szCs w:val="22"/>
          <w:lang w:val="en-US"/>
        </w:rPr>
        <w:t>where the latter has the legal means which enable it to identify the data subject with additional data which the internet service provider has about that person</w:t>
      </w:r>
      <w:r w:rsidRPr="00B84637">
        <w:rPr>
          <w:rFonts w:asciiTheme="majorHAnsi" w:eastAsia="Calibri" w:hAnsiTheme="majorHAnsi" w:cs="Calibri"/>
          <w:szCs w:val="22"/>
          <w:lang w:val="en-US"/>
        </w:rPr>
        <w:t>" (emphasis added).</w:t>
      </w:r>
    </w:p>
    <w:p w14:paraId="580AFC8E" w14:textId="77777777" w:rsidR="00245E75" w:rsidRPr="00245E75" w:rsidRDefault="00245E75" w:rsidP="00245E75">
      <w:pPr>
        <w:pStyle w:val="ListParagraph"/>
        <w:rPr>
          <w:rFonts w:asciiTheme="majorHAnsi" w:eastAsia="Calibri" w:hAnsiTheme="majorHAnsi" w:cs="Calibri"/>
          <w:szCs w:val="22"/>
        </w:rPr>
      </w:pPr>
    </w:p>
    <w:p w14:paraId="7E32FA00" w14:textId="0E1A47C1" w:rsidR="001C2B06" w:rsidRDefault="008443CC" w:rsidP="00311B45">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In the case of Whois, it is clear that </w:t>
      </w:r>
      <w:r w:rsidR="00040D57">
        <w:rPr>
          <w:rFonts w:asciiTheme="majorHAnsi" w:eastAsia="Calibri" w:hAnsiTheme="majorHAnsi" w:cs="Calibri"/>
          <w:szCs w:val="22"/>
        </w:rPr>
        <w:t>r</w:t>
      </w:r>
      <w:r w:rsidR="001C2B06">
        <w:rPr>
          <w:rFonts w:asciiTheme="majorHAnsi" w:eastAsia="Calibri" w:hAnsiTheme="majorHAnsi" w:cs="Calibri"/>
          <w:szCs w:val="22"/>
        </w:rPr>
        <w:t>ights holders</w:t>
      </w:r>
      <w:r>
        <w:rPr>
          <w:rFonts w:asciiTheme="majorHAnsi" w:eastAsia="Calibri" w:hAnsiTheme="majorHAnsi" w:cs="Calibri"/>
          <w:szCs w:val="22"/>
        </w:rPr>
        <w:t xml:space="preserve"> (and others who meet the relevant criteria set out in any eventual ICANN Consensus Policy) </w:t>
      </w:r>
      <w:r w:rsidR="005D2244">
        <w:rPr>
          <w:rFonts w:asciiTheme="majorHAnsi" w:eastAsia="Calibri" w:hAnsiTheme="majorHAnsi" w:cs="Calibri"/>
          <w:szCs w:val="22"/>
        </w:rPr>
        <w:t xml:space="preserve">who have used Whois data to identify a domain name which is of interest, </w:t>
      </w:r>
      <w:r w:rsidR="001C2B06">
        <w:rPr>
          <w:rFonts w:asciiTheme="majorHAnsi" w:eastAsia="Calibri" w:hAnsiTheme="majorHAnsi" w:cs="Calibri"/>
          <w:szCs w:val="22"/>
        </w:rPr>
        <w:t xml:space="preserve">will be able to access the information needed to identify </w:t>
      </w:r>
      <w:r w:rsidR="00865337">
        <w:rPr>
          <w:rFonts w:asciiTheme="majorHAnsi" w:eastAsia="Calibri" w:hAnsiTheme="majorHAnsi" w:cs="Calibri"/>
          <w:szCs w:val="22"/>
        </w:rPr>
        <w:t>the RNH from the relevant parties</w:t>
      </w:r>
      <w:r>
        <w:rPr>
          <w:rFonts w:asciiTheme="majorHAnsi" w:eastAsia="Calibri" w:hAnsiTheme="majorHAnsi" w:cs="Calibri"/>
          <w:szCs w:val="22"/>
        </w:rPr>
        <w:t xml:space="preserve">. Following </w:t>
      </w:r>
      <w:r>
        <w:rPr>
          <w:rFonts w:asciiTheme="majorHAnsi" w:eastAsia="Calibri" w:hAnsiTheme="majorHAnsi" w:cs="Calibri"/>
          <w:i/>
          <w:szCs w:val="22"/>
        </w:rPr>
        <w:t>Breyer</w:t>
      </w:r>
      <w:r>
        <w:rPr>
          <w:rFonts w:asciiTheme="majorHAnsi" w:eastAsia="Calibri" w:hAnsiTheme="majorHAnsi" w:cs="Calibri"/>
          <w:szCs w:val="22"/>
        </w:rPr>
        <w:t xml:space="preserve">, </w:t>
      </w:r>
      <w:r w:rsidR="005D2244">
        <w:rPr>
          <w:rFonts w:asciiTheme="majorHAnsi" w:eastAsia="Calibri" w:hAnsiTheme="majorHAnsi" w:cs="Calibri"/>
          <w:szCs w:val="22"/>
        </w:rPr>
        <w:t xml:space="preserve">it </w:t>
      </w:r>
      <w:r w:rsidR="005D2244" w:rsidRPr="00040D57">
        <w:rPr>
          <w:rFonts w:asciiTheme="majorHAnsi" w:eastAsia="Calibri" w:hAnsiTheme="majorHAnsi" w:cs="Calibri"/>
          <w:i/>
          <w:szCs w:val="22"/>
        </w:rPr>
        <w:t>is</w:t>
      </w:r>
      <w:r w:rsidR="005D2244">
        <w:rPr>
          <w:rFonts w:asciiTheme="majorHAnsi" w:eastAsia="Calibri" w:hAnsiTheme="majorHAnsi" w:cs="Calibri"/>
          <w:szCs w:val="22"/>
        </w:rPr>
        <w:t xml:space="preserve"> reasonably likely that the natural persons to whom public Whois data relates will be identifiable – accordingly, </w:t>
      </w:r>
      <w:r w:rsidR="00823C98">
        <w:rPr>
          <w:rFonts w:asciiTheme="majorHAnsi" w:eastAsia="Calibri" w:hAnsiTheme="majorHAnsi" w:cs="Calibri"/>
          <w:szCs w:val="22"/>
        </w:rPr>
        <w:t xml:space="preserve">public Whois data about natural persons </w:t>
      </w:r>
      <w:r w:rsidR="005D2244">
        <w:rPr>
          <w:rFonts w:asciiTheme="majorHAnsi" w:eastAsia="Calibri" w:hAnsiTheme="majorHAnsi" w:cs="Calibri"/>
          <w:szCs w:val="22"/>
        </w:rPr>
        <w:t>should be regarded as personal. T</w:t>
      </w:r>
      <w:r w:rsidR="00865337">
        <w:rPr>
          <w:rFonts w:asciiTheme="majorHAnsi" w:eastAsia="Calibri" w:hAnsiTheme="majorHAnsi" w:cs="Calibri"/>
          <w:szCs w:val="22"/>
        </w:rPr>
        <w:t xml:space="preserve">he inclusion of the "city" field does not change the fact that the </w:t>
      </w:r>
      <w:r w:rsidR="00823C98">
        <w:rPr>
          <w:rFonts w:asciiTheme="majorHAnsi" w:eastAsia="Calibri" w:hAnsiTheme="majorHAnsi" w:cs="Calibri"/>
          <w:szCs w:val="22"/>
        </w:rPr>
        <w:t xml:space="preserve">published data </w:t>
      </w:r>
      <w:r w:rsidR="00865337">
        <w:rPr>
          <w:rFonts w:asciiTheme="majorHAnsi" w:eastAsia="Calibri" w:hAnsiTheme="majorHAnsi" w:cs="Calibri"/>
          <w:szCs w:val="22"/>
        </w:rPr>
        <w:t>will be</w:t>
      </w:r>
      <w:r w:rsidR="00823C98">
        <w:rPr>
          <w:rFonts w:asciiTheme="majorHAnsi" w:eastAsia="Calibri" w:hAnsiTheme="majorHAnsi" w:cs="Calibri"/>
          <w:szCs w:val="22"/>
        </w:rPr>
        <w:t xml:space="preserve"> regarded as</w:t>
      </w:r>
      <w:r w:rsidR="00865337">
        <w:rPr>
          <w:rFonts w:asciiTheme="majorHAnsi" w:eastAsia="Calibri" w:hAnsiTheme="majorHAnsi" w:cs="Calibri"/>
          <w:szCs w:val="22"/>
        </w:rPr>
        <w:t xml:space="preserve"> personal data</w:t>
      </w:r>
      <w:r w:rsidR="00823C98">
        <w:rPr>
          <w:rFonts w:asciiTheme="majorHAnsi" w:eastAsia="Calibri" w:hAnsiTheme="majorHAnsi" w:cs="Calibri"/>
          <w:szCs w:val="22"/>
        </w:rPr>
        <w:t>; it simply means that more personal data will be published</w:t>
      </w:r>
      <w:r w:rsidR="00865337">
        <w:rPr>
          <w:rFonts w:asciiTheme="majorHAnsi" w:eastAsia="Calibri" w:hAnsiTheme="majorHAnsi" w:cs="Calibri"/>
          <w:szCs w:val="22"/>
        </w:rPr>
        <w:t>.</w:t>
      </w:r>
    </w:p>
    <w:p w14:paraId="3937FF58" w14:textId="77777777" w:rsidR="00865337" w:rsidRDefault="00865337" w:rsidP="00865337">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5EF09FCB" w14:textId="42A9D4E3" w:rsidR="00865337" w:rsidRDefault="00865337" w:rsidP="00311B45">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 xml:space="preserve">Rather, the </w:t>
      </w:r>
      <w:r w:rsidR="00BC4C4E">
        <w:rPr>
          <w:rFonts w:asciiTheme="majorHAnsi" w:eastAsia="Calibri" w:hAnsiTheme="majorHAnsi" w:cs="Calibri"/>
          <w:szCs w:val="22"/>
        </w:rPr>
        <w:t>main issue</w:t>
      </w:r>
      <w:r>
        <w:rPr>
          <w:rFonts w:asciiTheme="majorHAnsi" w:eastAsia="Calibri" w:hAnsiTheme="majorHAnsi" w:cs="Calibri"/>
          <w:szCs w:val="22"/>
        </w:rPr>
        <w:t xml:space="preserve"> is whether the additional inclusion of the "city" field is justified on the basis of the interests of rights holders in more efficiently determining whether to file claims against RNHs.</w:t>
      </w:r>
    </w:p>
    <w:p w14:paraId="38A6EEAE" w14:textId="77777777" w:rsidR="00A72994" w:rsidRPr="00A72994" w:rsidRDefault="00A72994" w:rsidP="00D371D1">
      <w:pPr>
        <w:widowControl w:val="0"/>
        <w:autoSpaceDE w:val="0"/>
        <w:autoSpaceDN w:val="0"/>
        <w:adjustRightInd w:val="0"/>
        <w:spacing w:after="0"/>
        <w:rPr>
          <w:rFonts w:asciiTheme="majorHAnsi" w:eastAsia="Calibri" w:hAnsiTheme="majorHAnsi" w:cs="Calibri"/>
          <w:szCs w:val="22"/>
        </w:rPr>
      </w:pPr>
    </w:p>
    <w:p w14:paraId="29C60755" w14:textId="69B85D9F" w:rsidR="00A72994" w:rsidRPr="00B84637" w:rsidRDefault="00B84637" w:rsidP="00D371D1">
      <w:pPr>
        <w:pStyle w:val="ListParagraph"/>
        <w:widowControl w:val="0"/>
        <w:numPr>
          <w:ilvl w:val="0"/>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b/>
          <w:szCs w:val="22"/>
        </w:rPr>
        <w:t>Is there a legitimate interest in publishing the "City" field</w:t>
      </w:r>
      <w:r w:rsidR="00182DF4">
        <w:rPr>
          <w:rFonts w:asciiTheme="majorHAnsi" w:eastAsia="Calibri" w:hAnsiTheme="majorHAnsi" w:cs="Calibri"/>
          <w:b/>
          <w:szCs w:val="22"/>
        </w:rPr>
        <w:t>?</w:t>
      </w:r>
    </w:p>
    <w:p w14:paraId="0957E076" w14:textId="77777777" w:rsidR="00B84637" w:rsidRPr="00B84637" w:rsidRDefault="00B84637" w:rsidP="00B84637">
      <w:pPr>
        <w:pStyle w:val="ListParagraph"/>
        <w:widowControl w:val="0"/>
        <w:autoSpaceDE w:val="0"/>
        <w:autoSpaceDN w:val="0"/>
        <w:adjustRightInd w:val="0"/>
        <w:spacing w:after="0"/>
        <w:ind w:left="360"/>
        <w:contextualSpacing w:val="0"/>
        <w:rPr>
          <w:rFonts w:asciiTheme="majorHAnsi" w:eastAsia="Calibri" w:hAnsiTheme="majorHAnsi" w:cs="Calibri"/>
          <w:szCs w:val="22"/>
        </w:rPr>
      </w:pPr>
    </w:p>
    <w:p w14:paraId="039019CE" w14:textId="6D7A30A5" w:rsidR="00C51B33" w:rsidRDefault="00B84637"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In order to satisfy Article 6(1)(f)</w:t>
      </w:r>
      <w:r w:rsidR="004067A8">
        <w:rPr>
          <w:rFonts w:asciiTheme="majorHAnsi" w:eastAsia="Calibri" w:hAnsiTheme="majorHAnsi" w:cs="Calibri"/>
          <w:szCs w:val="22"/>
        </w:rPr>
        <w:t>,</w:t>
      </w:r>
      <w:r w:rsidR="008C1247">
        <w:rPr>
          <w:rFonts w:asciiTheme="majorHAnsi" w:eastAsia="Calibri" w:hAnsiTheme="majorHAnsi" w:cs="Calibri"/>
          <w:szCs w:val="22"/>
        </w:rPr>
        <w:t xml:space="preserve"> the CJEU articulated a three-part test in </w:t>
      </w:r>
      <w:r w:rsidR="008C1247" w:rsidRPr="008C1247">
        <w:rPr>
          <w:rFonts w:asciiTheme="majorHAnsi" w:eastAsia="Calibri" w:hAnsiTheme="majorHAnsi" w:cs="Calibri"/>
          <w:i/>
          <w:szCs w:val="22"/>
        </w:rPr>
        <w:t xml:space="preserve">Valsts policijas Rigas regiona parvaldes Kartibas policijas parvalde v </w:t>
      </w:r>
      <w:r w:rsidR="008C1247" w:rsidRPr="008C1247">
        <w:rPr>
          <w:rFonts w:asciiTheme="majorHAnsi" w:eastAsia="Calibri" w:hAnsiTheme="majorHAnsi" w:cs="Calibri"/>
          <w:szCs w:val="22"/>
        </w:rPr>
        <w:t>Rigas</w:t>
      </w:r>
      <w:r w:rsidR="008C1247" w:rsidRPr="008C1247">
        <w:rPr>
          <w:rFonts w:asciiTheme="majorHAnsi" w:eastAsia="Calibri" w:hAnsiTheme="majorHAnsi" w:cs="Calibri"/>
          <w:i/>
          <w:szCs w:val="22"/>
        </w:rPr>
        <w:t xml:space="preserve"> pašvaldibas SIA ‘Rigas satiksme’ </w:t>
      </w:r>
      <w:r w:rsidR="008C1247" w:rsidRPr="008C1247">
        <w:rPr>
          <w:rFonts w:asciiTheme="majorHAnsi" w:eastAsia="Calibri" w:hAnsiTheme="majorHAnsi" w:cs="Calibri"/>
          <w:szCs w:val="22"/>
        </w:rPr>
        <w:t xml:space="preserve">(the </w:t>
      </w:r>
      <w:r w:rsidR="008C1247">
        <w:rPr>
          <w:rFonts w:asciiTheme="majorHAnsi" w:eastAsia="Calibri" w:hAnsiTheme="majorHAnsi" w:cs="Calibri"/>
          <w:szCs w:val="22"/>
        </w:rPr>
        <w:t>"</w:t>
      </w:r>
      <w:r w:rsidR="008C1247">
        <w:rPr>
          <w:rFonts w:asciiTheme="majorHAnsi" w:eastAsia="Calibri" w:hAnsiTheme="majorHAnsi" w:cs="Calibri"/>
          <w:b/>
          <w:i/>
          <w:szCs w:val="22"/>
        </w:rPr>
        <w:t>Rigas</w:t>
      </w:r>
      <w:r w:rsidR="008C1247">
        <w:rPr>
          <w:rFonts w:asciiTheme="majorHAnsi" w:eastAsia="Calibri" w:hAnsiTheme="majorHAnsi" w:cs="Calibri"/>
          <w:szCs w:val="22"/>
        </w:rPr>
        <w:t xml:space="preserve">" case): </w:t>
      </w:r>
      <w:r w:rsidR="004067A8">
        <w:rPr>
          <w:rFonts w:asciiTheme="majorHAnsi" w:eastAsia="Calibri" w:hAnsiTheme="majorHAnsi" w:cs="Calibri"/>
          <w:szCs w:val="22"/>
        </w:rPr>
        <w:t xml:space="preserve"> there must be (a) a</w:t>
      </w:r>
      <w:r w:rsidR="008C1247">
        <w:rPr>
          <w:rFonts w:asciiTheme="majorHAnsi" w:eastAsia="Calibri" w:hAnsiTheme="majorHAnsi" w:cs="Calibri"/>
          <w:szCs w:val="22"/>
        </w:rPr>
        <w:t>n identified</w:t>
      </w:r>
      <w:r w:rsidR="004067A8">
        <w:rPr>
          <w:rFonts w:asciiTheme="majorHAnsi" w:eastAsia="Calibri" w:hAnsiTheme="majorHAnsi" w:cs="Calibri"/>
          <w:szCs w:val="22"/>
        </w:rPr>
        <w:t xml:space="preserve"> legitimate interest, (b) the processing must be "</w:t>
      </w:r>
      <w:r w:rsidR="004067A8">
        <w:rPr>
          <w:rFonts w:asciiTheme="majorHAnsi" w:eastAsia="Calibri" w:hAnsiTheme="majorHAnsi" w:cs="Calibri"/>
          <w:i/>
          <w:szCs w:val="22"/>
        </w:rPr>
        <w:t>necessary</w:t>
      </w:r>
      <w:r w:rsidR="004067A8">
        <w:rPr>
          <w:rFonts w:asciiTheme="majorHAnsi" w:eastAsia="Calibri" w:hAnsiTheme="majorHAnsi" w:cs="Calibri"/>
          <w:szCs w:val="22"/>
        </w:rPr>
        <w:t xml:space="preserve">" </w:t>
      </w:r>
      <w:r w:rsidR="008C1247">
        <w:rPr>
          <w:rFonts w:asciiTheme="majorHAnsi" w:eastAsia="Calibri" w:hAnsiTheme="majorHAnsi" w:cs="Calibri"/>
          <w:szCs w:val="22"/>
        </w:rPr>
        <w:t>to pursue</w:t>
      </w:r>
      <w:r w:rsidR="004067A8">
        <w:rPr>
          <w:rFonts w:asciiTheme="majorHAnsi" w:eastAsia="Calibri" w:hAnsiTheme="majorHAnsi" w:cs="Calibri"/>
          <w:szCs w:val="22"/>
        </w:rPr>
        <w:t xml:space="preserve"> that interest, and (c) </w:t>
      </w:r>
      <w:r w:rsidR="009F43F1">
        <w:rPr>
          <w:rFonts w:asciiTheme="majorHAnsi" w:eastAsia="Calibri" w:hAnsiTheme="majorHAnsi" w:cs="Calibri"/>
          <w:szCs w:val="22"/>
        </w:rPr>
        <w:t>the rights and interests of the data subject must not outweigh the legitimate interest pursued by the controller.</w:t>
      </w:r>
      <w:r w:rsidR="00467E25">
        <w:rPr>
          <w:rFonts w:asciiTheme="majorHAnsi" w:eastAsia="Calibri" w:hAnsiTheme="majorHAnsi" w:cs="Calibri"/>
          <w:szCs w:val="22"/>
        </w:rPr>
        <w:t xml:space="preserve"> </w:t>
      </w:r>
    </w:p>
    <w:p w14:paraId="455A0EF2" w14:textId="77777777" w:rsidR="00C51B33" w:rsidRDefault="00C51B33" w:rsidP="00C51B33">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2AFC249F" w14:textId="77777777" w:rsidR="00C51B33" w:rsidRDefault="00467E25"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The WP29</w:t>
      </w:r>
      <w:r w:rsidR="00E83A7F">
        <w:rPr>
          <w:rFonts w:asciiTheme="majorHAnsi" w:eastAsia="Calibri" w:hAnsiTheme="majorHAnsi" w:cs="Calibri"/>
          <w:szCs w:val="22"/>
        </w:rPr>
        <w:t xml:space="preserve"> Opinion 06/2014 </w:t>
      </w:r>
      <w:r w:rsidR="00E83A7F" w:rsidRPr="008C1247">
        <w:rPr>
          <w:rFonts w:asciiTheme="majorHAnsi" w:eastAsia="Calibri" w:hAnsiTheme="majorHAnsi" w:cs="Calibri"/>
          <w:i/>
          <w:szCs w:val="22"/>
        </w:rPr>
        <w:t>on the notion of legitimate interests of the data controller under Article 7 of Directive 95/46/EC</w:t>
      </w:r>
      <w:r w:rsidR="00E83A7F">
        <w:rPr>
          <w:rFonts w:asciiTheme="majorHAnsi" w:eastAsia="Calibri" w:hAnsiTheme="majorHAnsi" w:cs="Calibri"/>
          <w:szCs w:val="22"/>
        </w:rPr>
        <w:t xml:space="preserve"> remains relevant</w:t>
      </w:r>
      <w:r w:rsidR="00C51B33">
        <w:rPr>
          <w:rFonts w:asciiTheme="majorHAnsi" w:eastAsia="Calibri" w:hAnsiTheme="majorHAnsi" w:cs="Calibri"/>
          <w:szCs w:val="22"/>
        </w:rPr>
        <w:t xml:space="preserve"> for interpreting these requirements</w:t>
      </w:r>
      <w:r w:rsidR="00E83A7F">
        <w:rPr>
          <w:rFonts w:asciiTheme="majorHAnsi" w:eastAsia="Calibri" w:hAnsiTheme="majorHAnsi" w:cs="Calibri"/>
          <w:szCs w:val="22"/>
        </w:rPr>
        <w:t>.</w:t>
      </w:r>
      <w:r w:rsidR="00C51B33">
        <w:rPr>
          <w:rFonts w:asciiTheme="majorHAnsi" w:eastAsia="Calibri" w:hAnsiTheme="majorHAnsi" w:cs="Calibri"/>
          <w:szCs w:val="22"/>
        </w:rPr>
        <w:t xml:space="preserve"> </w:t>
      </w:r>
    </w:p>
    <w:p w14:paraId="267E1E7F" w14:textId="77777777" w:rsidR="00C51B33" w:rsidRPr="00C51B33" w:rsidRDefault="00C51B33" w:rsidP="00C51B33">
      <w:pPr>
        <w:widowControl w:val="0"/>
        <w:autoSpaceDE w:val="0"/>
        <w:autoSpaceDN w:val="0"/>
        <w:adjustRightInd w:val="0"/>
        <w:spacing w:after="0"/>
        <w:rPr>
          <w:rFonts w:asciiTheme="majorHAnsi" w:eastAsia="Calibri" w:hAnsiTheme="majorHAnsi" w:cs="Calibri"/>
          <w:szCs w:val="22"/>
        </w:rPr>
      </w:pPr>
    </w:p>
    <w:p w14:paraId="35FF8DEF" w14:textId="360A7A95" w:rsidR="00E83A7F" w:rsidRDefault="00C51B33"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In addition, the GDPR requires controllers to conduct and document their balancing assessments, which analyse whether each of the three elements above is satisfied.</w:t>
      </w:r>
      <w:r w:rsidR="00821289">
        <w:rPr>
          <w:rStyle w:val="FootnoteReference"/>
          <w:rFonts w:asciiTheme="majorHAnsi" w:eastAsia="Calibri" w:hAnsiTheme="majorHAnsi" w:cs="Calibri"/>
          <w:szCs w:val="22"/>
        </w:rPr>
        <w:footnoteReference w:id="2"/>
      </w:r>
    </w:p>
    <w:p w14:paraId="2994CCF6" w14:textId="77777777" w:rsidR="00C51B33" w:rsidRPr="00C51B33" w:rsidRDefault="00C51B33" w:rsidP="00C51B33">
      <w:pPr>
        <w:widowControl w:val="0"/>
        <w:autoSpaceDE w:val="0"/>
        <w:autoSpaceDN w:val="0"/>
        <w:adjustRightInd w:val="0"/>
        <w:spacing w:after="0"/>
        <w:rPr>
          <w:rFonts w:asciiTheme="majorHAnsi" w:eastAsia="Calibri" w:hAnsiTheme="majorHAnsi" w:cs="Calibri"/>
          <w:szCs w:val="22"/>
        </w:rPr>
      </w:pPr>
    </w:p>
    <w:p w14:paraId="0FE043C6" w14:textId="03EF2832" w:rsidR="00C51B33" w:rsidRPr="00C51B33" w:rsidRDefault="00C51B33" w:rsidP="00C51B33">
      <w:pPr>
        <w:widowControl w:val="0"/>
        <w:autoSpaceDE w:val="0"/>
        <w:autoSpaceDN w:val="0"/>
        <w:adjustRightInd w:val="0"/>
        <w:spacing w:after="0"/>
        <w:ind w:left="360"/>
        <w:rPr>
          <w:rFonts w:asciiTheme="majorHAnsi" w:eastAsia="Calibri" w:hAnsiTheme="majorHAnsi" w:cs="Calibri"/>
          <w:szCs w:val="22"/>
          <w:u w:val="single"/>
        </w:rPr>
      </w:pPr>
      <w:r>
        <w:rPr>
          <w:rFonts w:asciiTheme="majorHAnsi" w:eastAsia="Calibri" w:hAnsiTheme="majorHAnsi" w:cs="Calibri"/>
          <w:szCs w:val="22"/>
          <w:u w:val="single"/>
        </w:rPr>
        <w:t>Overview of requirements</w:t>
      </w:r>
    </w:p>
    <w:p w14:paraId="79DCF645" w14:textId="77777777" w:rsidR="00E83A7F" w:rsidRDefault="00E83A7F" w:rsidP="00E83A7F">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04AD05E4" w14:textId="46B51538" w:rsidR="00F36AED" w:rsidRDefault="009F43F1"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E83A7F">
        <w:rPr>
          <w:rFonts w:asciiTheme="majorHAnsi" w:eastAsia="Calibri" w:hAnsiTheme="majorHAnsi" w:cs="Calibri"/>
          <w:b/>
          <w:szCs w:val="22"/>
        </w:rPr>
        <w:t>Legitimate interest.</w:t>
      </w:r>
      <w:r w:rsidR="00467E25" w:rsidRPr="00E83A7F">
        <w:rPr>
          <w:rFonts w:asciiTheme="majorHAnsi" w:eastAsia="Calibri" w:hAnsiTheme="majorHAnsi" w:cs="Calibri"/>
          <w:b/>
          <w:szCs w:val="22"/>
        </w:rPr>
        <w:t xml:space="preserve"> </w:t>
      </w:r>
      <w:r w:rsidR="00467E25" w:rsidRPr="00E83A7F">
        <w:rPr>
          <w:rFonts w:asciiTheme="majorHAnsi" w:eastAsia="Calibri" w:hAnsiTheme="majorHAnsi" w:cs="Calibri"/>
          <w:szCs w:val="22"/>
        </w:rPr>
        <w:t>For an interest to be leg</w:t>
      </w:r>
      <w:r w:rsidR="00E83A7F" w:rsidRPr="00E83A7F">
        <w:rPr>
          <w:rFonts w:asciiTheme="majorHAnsi" w:eastAsia="Calibri" w:hAnsiTheme="majorHAnsi" w:cs="Calibri"/>
          <w:szCs w:val="22"/>
        </w:rPr>
        <w:t xml:space="preserve">itimate, the </w:t>
      </w:r>
      <w:r w:rsidR="00E83A7F">
        <w:rPr>
          <w:rFonts w:asciiTheme="majorHAnsi" w:eastAsia="Calibri" w:hAnsiTheme="majorHAnsi" w:cs="Calibri"/>
          <w:szCs w:val="22"/>
        </w:rPr>
        <w:t>WP29 concluded that it must be lawful,</w:t>
      </w:r>
      <w:r w:rsidR="00E83A7F" w:rsidRPr="00E83A7F">
        <w:rPr>
          <w:rFonts w:asciiTheme="majorHAnsi" w:eastAsia="Calibri" w:hAnsiTheme="majorHAnsi" w:cs="Calibri"/>
          <w:szCs w:val="22"/>
        </w:rPr>
        <w:t xml:space="preserve"> </w:t>
      </w:r>
      <w:r w:rsidR="00E83A7F">
        <w:rPr>
          <w:rFonts w:asciiTheme="majorHAnsi" w:eastAsia="Calibri" w:hAnsiTheme="majorHAnsi" w:cs="Calibri"/>
          <w:szCs w:val="22"/>
        </w:rPr>
        <w:t>s</w:t>
      </w:r>
      <w:r w:rsidR="00467E25" w:rsidRPr="00E83A7F">
        <w:rPr>
          <w:rFonts w:asciiTheme="majorHAnsi" w:eastAsia="Calibri" w:hAnsiTheme="majorHAnsi" w:cs="Calibri"/>
          <w:szCs w:val="22"/>
        </w:rPr>
        <w:t>ufficiently clearly defi</w:t>
      </w:r>
      <w:r w:rsidR="00E83A7F" w:rsidRPr="00E83A7F">
        <w:rPr>
          <w:rFonts w:asciiTheme="majorHAnsi" w:eastAsia="Calibri" w:hAnsiTheme="majorHAnsi" w:cs="Calibri"/>
          <w:szCs w:val="22"/>
        </w:rPr>
        <w:t>ned to permit the controller to</w:t>
      </w:r>
      <w:r w:rsidR="00467E25" w:rsidRPr="00E83A7F">
        <w:rPr>
          <w:rFonts w:asciiTheme="majorHAnsi" w:eastAsia="Calibri" w:hAnsiTheme="majorHAnsi" w:cs="Calibri"/>
          <w:szCs w:val="22"/>
        </w:rPr>
        <w:t xml:space="preserve"> balan</w:t>
      </w:r>
      <w:r w:rsidR="00E83A7F">
        <w:rPr>
          <w:rFonts w:asciiTheme="majorHAnsi" w:eastAsia="Calibri" w:hAnsiTheme="majorHAnsi" w:cs="Calibri"/>
          <w:szCs w:val="22"/>
        </w:rPr>
        <w:t>ce it with individual interests,</w:t>
      </w:r>
      <w:r w:rsidR="00467E25" w:rsidRPr="00E83A7F">
        <w:rPr>
          <w:rFonts w:asciiTheme="majorHAnsi" w:eastAsia="Calibri" w:hAnsiTheme="majorHAnsi" w:cs="Calibri"/>
          <w:szCs w:val="22"/>
        </w:rPr>
        <w:t xml:space="preserve"> and</w:t>
      </w:r>
      <w:r w:rsidR="00E83A7F" w:rsidRPr="00E83A7F">
        <w:rPr>
          <w:rFonts w:asciiTheme="majorHAnsi" w:eastAsia="Calibri" w:hAnsiTheme="majorHAnsi" w:cs="Calibri"/>
          <w:szCs w:val="22"/>
        </w:rPr>
        <w:t xml:space="preserve"> </w:t>
      </w:r>
      <w:r w:rsidR="00E83A7F">
        <w:rPr>
          <w:rFonts w:asciiTheme="majorHAnsi" w:eastAsia="Calibri" w:hAnsiTheme="majorHAnsi" w:cs="Calibri"/>
          <w:szCs w:val="22"/>
        </w:rPr>
        <w:t>n</w:t>
      </w:r>
      <w:r w:rsidR="00467E25" w:rsidRPr="00E83A7F">
        <w:rPr>
          <w:rFonts w:asciiTheme="majorHAnsi" w:eastAsia="Calibri" w:hAnsiTheme="majorHAnsi" w:cs="Calibri"/>
          <w:szCs w:val="22"/>
        </w:rPr>
        <w:t xml:space="preserve">ot </w:t>
      </w:r>
      <w:r w:rsidR="00823C98">
        <w:rPr>
          <w:rFonts w:asciiTheme="majorHAnsi" w:eastAsia="Calibri" w:hAnsiTheme="majorHAnsi" w:cs="Calibri"/>
          <w:szCs w:val="22"/>
        </w:rPr>
        <w:t xml:space="preserve">be </w:t>
      </w:r>
      <w:r w:rsidR="00467E25" w:rsidRPr="00E83A7F">
        <w:rPr>
          <w:rFonts w:asciiTheme="majorHAnsi" w:eastAsia="Calibri" w:hAnsiTheme="majorHAnsi" w:cs="Calibri"/>
          <w:szCs w:val="22"/>
        </w:rPr>
        <w:t>speculative.</w:t>
      </w:r>
      <w:r w:rsidR="00F36AED">
        <w:rPr>
          <w:rFonts w:asciiTheme="majorHAnsi" w:eastAsia="Calibri" w:hAnsiTheme="majorHAnsi" w:cs="Calibri"/>
          <w:szCs w:val="22"/>
        </w:rPr>
        <w:t xml:space="preserve"> </w:t>
      </w:r>
      <w:r w:rsidR="00F36AED" w:rsidRPr="00F36AED">
        <w:rPr>
          <w:rFonts w:asciiTheme="majorHAnsi" w:eastAsia="Calibri" w:hAnsiTheme="majorHAnsi" w:cs="Calibri"/>
          <w:szCs w:val="22"/>
        </w:rPr>
        <w:t>The recitals to the GDPR include examples of processing which will</w:t>
      </w:r>
      <w:r w:rsidR="00F36AED">
        <w:rPr>
          <w:rFonts w:asciiTheme="majorHAnsi" w:eastAsia="Calibri" w:hAnsiTheme="majorHAnsi" w:cs="Calibri"/>
          <w:szCs w:val="22"/>
        </w:rPr>
        <w:t xml:space="preserve"> be </w:t>
      </w:r>
      <w:r w:rsidR="00F36AED" w:rsidRPr="00F36AED">
        <w:rPr>
          <w:rFonts w:asciiTheme="majorHAnsi" w:eastAsia="Calibri" w:hAnsiTheme="majorHAnsi" w:cs="Calibri"/>
          <w:szCs w:val="22"/>
        </w:rPr>
        <w:t>for a legitimate interest</w:t>
      </w:r>
      <w:r w:rsidR="00F36AED">
        <w:rPr>
          <w:rFonts w:asciiTheme="majorHAnsi" w:eastAsia="Calibri" w:hAnsiTheme="majorHAnsi" w:cs="Calibri"/>
          <w:szCs w:val="22"/>
        </w:rPr>
        <w:t xml:space="preserve">, including to prevent fraud (Recital 47) and </w:t>
      </w:r>
      <w:r w:rsidR="00F36AED" w:rsidRPr="00F36AED">
        <w:rPr>
          <w:rFonts w:asciiTheme="majorHAnsi" w:eastAsia="Calibri" w:hAnsiTheme="majorHAnsi" w:cs="Calibri"/>
          <w:szCs w:val="22"/>
        </w:rPr>
        <w:t>to ensure network and information security, such as preventing unauthorised access to networks and denial of service attacks (</w:t>
      </w:r>
      <w:r w:rsidR="00F36AED">
        <w:rPr>
          <w:rFonts w:asciiTheme="majorHAnsi" w:eastAsia="Calibri" w:hAnsiTheme="majorHAnsi" w:cs="Calibri"/>
          <w:szCs w:val="22"/>
        </w:rPr>
        <w:t xml:space="preserve">Recital </w:t>
      </w:r>
      <w:r w:rsidR="00F36AED" w:rsidRPr="00F36AED">
        <w:rPr>
          <w:rFonts w:asciiTheme="majorHAnsi" w:eastAsia="Calibri" w:hAnsiTheme="majorHAnsi" w:cs="Calibri"/>
          <w:szCs w:val="22"/>
        </w:rPr>
        <w:t>49)</w:t>
      </w:r>
      <w:r w:rsidR="00F36AED">
        <w:rPr>
          <w:rFonts w:asciiTheme="majorHAnsi" w:eastAsia="Calibri" w:hAnsiTheme="majorHAnsi" w:cs="Calibri"/>
          <w:szCs w:val="22"/>
        </w:rPr>
        <w:t xml:space="preserve">. The Recitals also state that sharing data for internal administrative purposes </w:t>
      </w:r>
      <w:r w:rsidR="00F36AED">
        <w:rPr>
          <w:rFonts w:asciiTheme="majorHAnsi" w:eastAsia="Calibri" w:hAnsiTheme="majorHAnsi" w:cs="Calibri"/>
          <w:i/>
          <w:szCs w:val="22"/>
        </w:rPr>
        <w:t>may</w:t>
      </w:r>
      <w:r w:rsidR="00F36AED">
        <w:rPr>
          <w:rFonts w:asciiTheme="majorHAnsi" w:eastAsia="Calibri" w:hAnsiTheme="majorHAnsi" w:cs="Calibri"/>
          <w:szCs w:val="22"/>
        </w:rPr>
        <w:t xml:space="preserve"> be a legitimate interest (Recital 48).</w:t>
      </w:r>
    </w:p>
    <w:p w14:paraId="139A3524" w14:textId="77777777" w:rsidR="00F36AED" w:rsidRDefault="00F36AED" w:rsidP="00F36AED">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41409070" w14:textId="460BBE73" w:rsidR="00E83A7F" w:rsidRPr="008475B6" w:rsidRDefault="00F36AED"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b/>
          <w:szCs w:val="22"/>
        </w:rPr>
      </w:pPr>
      <w:r w:rsidRPr="008475B6">
        <w:rPr>
          <w:rFonts w:asciiTheme="majorHAnsi" w:eastAsia="Calibri" w:hAnsiTheme="majorHAnsi" w:cs="Calibri"/>
          <w:szCs w:val="22"/>
        </w:rPr>
        <w:t xml:space="preserve">The </w:t>
      </w:r>
      <w:r w:rsidRPr="008475B6">
        <w:rPr>
          <w:rFonts w:asciiTheme="majorHAnsi" w:eastAsia="Calibri" w:hAnsiTheme="majorHAnsi" w:cs="Calibri"/>
          <w:i/>
          <w:szCs w:val="22"/>
        </w:rPr>
        <w:t>Rigas</w:t>
      </w:r>
      <w:r w:rsidRPr="008475B6">
        <w:rPr>
          <w:rFonts w:asciiTheme="majorHAnsi" w:eastAsia="Calibri" w:hAnsiTheme="majorHAnsi" w:cs="Calibri"/>
          <w:szCs w:val="22"/>
        </w:rPr>
        <w:t xml:space="preserve"> case is particularly relevant for </w:t>
      </w:r>
      <w:r w:rsidR="00823C98">
        <w:rPr>
          <w:rFonts w:asciiTheme="majorHAnsi" w:eastAsia="Calibri" w:hAnsiTheme="majorHAnsi" w:cs="Calibri"/>
          <w:szCs w:val="22"/>
        </w:rPr>
        <w:t>the EPDP</w:t>
      </w:r>
      <w:r w:rsidR="00092870">
        <w:rPr>
          <w:rFonts w:asciiTheme="majorHAnsi" w:eastAsia="Calibri" w:hAnsiTheme="majorHAnsi" w:cs="Calibri"/>
          <w:szCs w:val="22"/>
        </w:rPr>
        <w:t xml:space="preserve"> Team</w:t>
      </w:r>
      <w:r w:rsidRPr="008475B6">
        <w:rPr>
          <w:rFonts w:asciiTheme="majorHAnsi" w:eastAsia="Calibri" w:hAnsiTheme="majorHAnsi" w:cs="Calibri"/>
          <w:szCs w:val="22"/>
        </w:rPr>
        <w:t>. In it, the CJEU found that there is a legitimate interest in a third party obtaining details of someone who damaged their property in order to take legal proceedings against that person.</w:t>
      </w:r>
      <w:r w:rsidR="001E65CD" w:rsidRPr="008475B6">
        <w:rPr>
          <w:rFonts w:asciiTheme="majorHAnsi" w:eastAsia="Calibri" w:hAnsiTheme="majorHAnsi" w:cs="Calibri"/>
          <w:szCs w:val="22"/>
        </w:rPr>
        <w:t xml:space="preserve"> In addition, in </w:t>
      </w:r>
      <w:r w:rsidR="001E65CD" w:rsidRPr="008475B6">
        <w:rPr>
          <w:rFonts w:asciiTheme="majorHAnsi" w:eastAsia="Calibri" w:hAnsiTheme="majorHAnsi" w:cs="Calibri"/>
          <w:i/>
          <w:szCs w:val="22"/>
        </w:rPr>
        <w:t>Camera di Commercio, Industria, Aritigianato e Agricoltura di Lecce v. Salvatore Manni</w:t>
      </w:r>
      <w:r w:rsidR="001E65CD" w:rsidRPr="008475B6">
        <w:rPr>
          <w:rFonts w:asciiTheme="majorHAnsi" w:eastAsia="Calibri" w:hAnsiTheme="majorHAnsi" w:cs="Calibri"/>
          <w:szCs w:val="22"/>
        </w:rPr>
        <w:t xml:space="preserve"> (the "</w:t>
      </w:r>
      <w:r w:rsidR="001E65CD" w:rsidRPr="008475B6">
        <w:rPr>
          <w:rFonts w:asciiTheme="majorHAnsi" w:eastAsia="Calibri" w:hAnsiTheme="majorHAnsi" w:cs="Calibri"/>
          <w:b/>
          <w:i/>
          <w:szCs w:val="22"/>
        </w:rPr>
        <w:t>Manni</w:t>
      </w:r>
      <w:r w:rsidR="001E65CD" w:rsidRPr="008475B6">
        <w:rPr>
          <w:rFonts w:asciiTheme="majorHAnsi" w:eastAsia="Calibri" w:hAnsiTheme="majorHAnsi" w:cs="Calibri"/>
          <w:szCs w:val="22"/>
        </w:rPr>
        <w:t xml:space="preserve">" case), the CJEU held that the </w:t>
      </w:r>
      <w:r w:rsidR="008475B6">
        <w:rPr>
          <w:rFonts w:asciiTheme="majorHAnsi" w:eastAsia="Calibri" w:hAnsiTheme="majorHAnsi" w:cs="Calibri"/>
          <w:szCs w:val="22"/>
        </w:rPr>
        <w:t xml:space="preserve">Lecce </w:t>
      </w:r>
      <w:r w:rsidR="001E65CD" w:rsidRPr="008475B6">
        <w:rPr>
          <w:rFonts w:asciiTheme="majorHAnsi" w:eastAsia="Calibri" w:hAnsiTheme="majorHAnsi" w:cs="Calibri"/>
          <w:szCs w:val="22"/>
        </w:rPr>
        <w:t xml:space="preserve">Chamber of Commerce could publish data concerning bankruptcies and corporate liquidations – </w:t>
      </w:r>
      <w:r w:rsidR="001E65CD" w:rsidRPr="008475B6">
        <w:rPr>
          <w:rFonts w:asciiTheme="majorHAnsi" w:eastAsia="Calibri" w:hAnsiTheme="majorHAnsi" w:cs="Calibri"/>
          <w:i/>
          <w:szCs w:val="22"/>
        </w:rPr>
        <w:t>in an identifiable form</w:t>
      </w:r>
      <w:r w:rsidR="001E65CD" w:rsidRPr="008475B6">
        <w:rPr>
          <w:rFonts w:asciiTheme="majorHAnsi" w:eastAsia="Calibri" w:hAnsiTheme="majorHAnsi" w:cs="Calibri"/>
          <w:szCs w:val="22"/>
        </w:rPr>
        <w:t xml:space="preserve"> – in part to protect the legitimate interests of third-parties that </w:t>
      </w:r>
      <w:r w:rsidR="008475B6" w:rsidRPr="008475B6">
        <w:rPr>
          <w:rFonts w:asciiTheme="majorHAnsi" w:eastAsia="Calibri" w:hAnsiTheme="majorHAnsi" w:cs="Calibri"/>
          <w:szCs w:val="22"/>
        </w:rPr>
        <w:t xml:space="preserve">do business with those who have previously declared bankruptcy. </w:t>
      </w:r>
      <w:r w:rsidR="001E65CD" w:rsidRPr="008475B6">
        <w:rPr>
          <w:rFonts w:asciiTheme="majorHAnsi" w:eastAsia="Calibri" w:hAnsiTheme="majorHAnsi" w:cs="Calibri"/>
          <w:szCs w:val="22"/>
        </w:rPr>
        <w:t xml:space="preserve"> </w:t>
      </w:r>
    </w:p>
    <w:p w14:paraId="4C470C99" w14:textId="77777777" w:rsidR="008475B6" w:rsidRPr="008475B6" w:rsidRDefault="008475B6" w:rsidP="008475B6">
      <w:pPr>
        <w:pStyle w:val="ListParagraph"/>
        <w:widowControl w:val="0"/>
        <w:autoSpaceDE w:val="0"/>
        <w:autoSpaceDN w:val="0"/>
        <w:adjustRightInd w:val="0"/>
        <w:spacing w:after="0"/>
        <w:ind w:left="792"/>
        <w:contextualSpacing w:val="0"/>
        <w:rPr>
          <w:rFonts w:asciiTheme="majorHAnsi" w:eastAsia="Calibri" w:hAnsiTheme="majorHAnsi" w:cs="Calibri"/>
          <w:b/>
          <w:szCs w:val="22"/>
        </w:rPr>
      </w:pPr>
    </w:p>
    <w:p w14:paraId="1A366587" w14:textId="77777777" w:rsidR="00040D57" w:rsidRDefault="009F43F1"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E83A7F">
        <w:rPr>
          <w:rFonts w:asciiTheme="majorHAnsi" w:eastAsia="Calibri" w:hAnsiTheme="majorHAnsi" w:cs="Calibri"/>
          <w:b/>
          <w:szCs w:val="22"/>
        </w:rPr>
        <w:t>Necessary.</w:t>
      </w:r>
      <w:r w:rsidR="00E83A7F">
        <w:rPr>
          <w:rFonts w:asciiTheme="majorHAnsi" w:eastAsia="Calibri" w:hAnsiTheme="majorHAnsi" w:cs="Calibri"/>
          <w:b/>
          <w:szCs w:val="22"/>
        </w:rPr>
        <w:t xml:space="preserve"> </w:t>
      </w:r>
      <w:r w:rsidR="00C51B33" w:rsidRPr="00C51B33">
        <w:rPr>
          <w:rFonts w:asciiTheme="majorHAnsi" w:eastAsia="Calibri" w:hAnsiTheme="majorHAnsi" w:cs="Calibri"/>
          <w:szCs w:val="22"/>
        </w:rPr>
        <w:t>"N</w:t>
      </w:r>
      <w:r w:rsidR="00C51B33" w:rsidRPr="00C51B33">
        <w:rPr>
          <w:rFonts w:asciiTheme="majorHAnsi" w:eastAsia="Calibri" w:hAnsiTheme="majorHAnsi" w:cs="Calibri"/>
          <w:i/>
          <w:szCs w:val="22"/>
        </w:rPr>
        <w:t>ecessary</w:t>
      </w:r>
      <w:r w:rsidR="00C51B33" w:rsidRPr="00C51B33">
        <w:rPr>
          <w:rFonts w:asciiTheme="majorHAnsi" w:eastAsia="Calibri" w:hAnsiTheme="majorHAnsi" w:cs="Calibri"/>
          <w:szCs w:val="22"/>
        </w:rPr>
        <w:t>" does not mean it must be the only or even the least intrusive method. Rather, the analysis for necessity is linked to the concept of proportionality.</w:t>
      </w:r>
      <w:r w:rsidR="00C51B33">
        <w:rPr>
          <w:rFonts w:asciiTheme="majorHAnsi" w:eastAsia="Calibri" w:hAnsiTheme="majorHAnsi" w:cs="Calibri"/>
          <w:szCs w:val="22"/>
        </w:rPr>
        <w:t xml:space="preserve"> </w:t>
      </w:r>
    </w:p>
    <w:p w14:paraId="666C5947" w14:textId="77777777" w:rsidR="00040D57" w:rsidRPr="00040D57" w:rsidRDefault="00040D57" w:rsidP="00040D57">
      <w:pPr>
        <w:pStyle w:val="ListParagraph"/>
        <w:rPr>
          <w:rFonts w:asciiTheme="majorHAnsi" w:eastAsia="Calibri" w:hAnsiTheme="majorHAnsi" w:cs="Calibri"/>
          <w:szCs w:val="22"/>
        </w:rPr>
      </w:pPr>
    </w:p>
    <w:p w14:paraId="07A41148" w14:textId="64ECE624" w:rsidR="005B2611" w:rsidRPr="005B2611" w:rsidRDefault="005B2611" w:rsidP="005B2611">
      <w:pPr>
        <w:pStyle w:val="ListParagraph"/>
        <w:widowControl w:val="0"/>
        <w:numPr>
          <w:ilvl w:val="1"/>
          <w:numId w:val="7"/>
        </w:numPr>
        <w:autoSpaceDE w:val="0"/>
        <w:autoSpaceDN w:val="0"/>
        <w:adjustRightInd w:val="0"/>
        <w:rPr>
          <w:rFonts w:asciiTheme="majorHAnsi" w:eastAsia="Calibri" w:hAnsiTheme="majorHAnsi" w:cs="Calibri"/>
          <w:szCs w:val="22"/>
        </w:rPr>
      </w:pPr>
      <w:r w:rsidRPr="005B2611">
        <w:rPr>
          <w:rFonts w:asciiTheme="majorHAnsi" w:eastAsia="Calibri" w:hAnsiTheme="majorHAnsi" w:cs="Calibri"/>
          <w:szCs w:val="22"/>
        </w:rPr>
        <w:t xml:space="preserve">In </w:t>
      </w:r>
      <w:r w:rsidRPr="005B2611">
        <w:rPr>
          <w:rFonts w:asciiTheme="majorHAnsi" w:eastAsia="Calibri" w:hAnsiTheme="majorHAnsi" w:cs="Calibri"/>
          <w:i/>
          <w:szCs w:val="22"/>
        </w:rPr>
        <w:t>Österreichischer Rundfunk and others</w:t>
      </w:r>
      <w:r w:rsidRPr="005B2611">
        <w:rPr>
          <w:rFonts w:asciiTheme="majorHAnsi" w:eastAsia="Calibri" w:hAnsiTheme="majorHAnsi" w:cs="Calibri"/>
          <w:szCs w:val="22"/>
        </w:rPr>
        <w:t>, the CJEU held that "</w:t>
      </w:r>
      <w:r w:rsidRPr="005B2611">
        <w:rPr>
          <w:rFonts w:asciiTheme="majorHAnsi" w:eastAsia="Calibri" w:hAnsiTheme="majorHAnsi" w:cs="Calibri"/>
          <w:i/>
          <w:szCs w:val="22"/>
        </w:rPr>
        <w:t>the adjective 'necessary' in Article 8(2) of the Convention implies that a 'pressing social need' is involved and that the measure employed is 'proportionate to the legitimate aim pursued'</w:t>
      </w:r>
      <w:r w:rsidRPr="005B2611">
        <w:rPr>
          <w:rFonts w:asciiTheme="majorHAnsi" w:eastAsia="Calibri" w:hAnsiTheme="majorHAnsi" w:cs="Calibri"/>
          <w:szCs w:val="22"/>
        </w:rPr>
        <w:t>"</w:t>
      </w:r>
      <w:r>
        <w:rPr>
          <w:rFonts w:asciiTheme="majorHAnsi" w:eastAsia="Calibri" w:hAnsiTheme="majorHAnsi" w:cs="Calibri"/>
          <w:szCs w:val="22"/>
        </w:rPr>
        <w:t xml:space="preserve">. </w:t>
      </w:r>
      <w:r w:rsidR="00040D57" w:rsidRPr="005B2611">
        <w:rPr>
          <w:rFonts w:asciiTheme="majorHAnsi" w:eastAsia="Calibri" w:hAnsiTheme="majorHAnsi" w:cs="Calibri"/>
          <w:szCs w:val="22"/>
        </w:rPr>
        <w:t>Opinion 06/2014</w:t>
      </w:r>
      <w:r>
        <w:rPr>
          <w:rFonts w:asciiTheme="majorHAnsi" w:eastAsia="Calibri" w:hAnsiTheme="majorHAnsi" w:cs="Calibri"/>
          <w:szCs w:val="22"/>
        </w:rPr>
        <w:t xml:space="preserve"> </w:t>
      </w:r>
      <w:r w:rsidRPr="008C1247">
        <w:rPr>
          <w:rFonts w:asciiTheme="majorHAnsi" w:eastAsia="Calibri" w:hAnsiTheme="majorHAnsi" w:cs="Calibri"/>
          <w:i/>
          <w:szCs w:val="22"/>
        </w:rPr>
        <w:t>on the notion of legitimate interests of the data controller under Article 7 of Directive 95/46/EC</w:t>
      </w:r>
      <w:r>
        <w:rPr>
          <w:rFonts w:asciiTheme="majorHAnsi" w:eastAsia="Calibri" w:hAnsiTheme="majorHAnsi" w:cs="Calibri"/>
          <w:szCs w:val="22"/>
        </w:rPr>
        <w:t xml:space="preserve"> further explained the concept of necessity by reference to</w:t>
      </w:r>
      <w:r w:rsidRPr="005B2611">
        <w:rPr>
          <w:rFonts w:asciiTheme="majorHAnsi" w:eastAsia="Calibri" w:hAnsiTheme="majorHAnsi" w:cs="Calibri"/>
          <w:szCs w:val="22"/>
        </w:rPr>
        <w:t xml:space="preserve"> a j</w:t>
      </w:r>
      <w:r w:rsidR="00040D57" w:rsidRPr="005B2611">
        <w:rPr>
          <w:rFonts w:asciiTheme="majorHAnsi" w:eastAsia="Calibri" w:hAnsiTheme="majorHAnsi" w:cs="Calibri"/>
          <w:szCs w:val="22"/>
        </w:rPr>
        <w:t>udgment of the European Court of Human Rights</w:t>
      </w:r>
      <w:r>
        <w:rPr>
          <w:rStyle w:val="FootnoteReference"/>
          <w:rFonts w:asciiTheme="majorHAnsi" w:eastAsia="Calibri" w:hAnsiTheme="majorHAnsi" w:cs="Calibri"/>
          <w:szCs w:val="22"/>
        </w:rPr>
        <w:footnoteReference w:id="3"/>
      </w:r>
      <w:r w:rsidRPr="005B2611">
        <w:rPr>
          <w:rFonts w:asciiTheme="majorHAnsi" w:eastAsia="Calibri" w:hAnsiTheme="majorHAnsi" w:cs="Calibri"/>
          <w:szCs w:val="22"/>
        </w:rPr>
        <w:t xml:space="preserve"> which states</w:t>
      </w:r>
      <w:r>
        <w:rPr>
          <w:rFonts w:asciiTheme="majorHAnsi" w:eastAsia="Calibri" w:hAnsiTheme="majorHAnsi" w:cs="Calibri"/>
          <w:szCs w:val="22"/>
        </w:rPr>
        <w:t>,</w:t>
      </w:r>
      <w:r w:rsidRPr="005B2611">
        <w:rPr>
          <w:rFonts w:asciiTheme="majorHAnsi" w:eastAsia="Calibri" w:hAnsiTheme="majorHAnsi" w:cs="Calibri"/>
          <w:szCs w:val="22"/>
        </w:rPr>
        <w:t xml:space="preserve"> "</w:t>
      </w:r>
      <w:r w:rsidR="00040D57" w:rsidRPr="005B2611">
        <w:rPr>
          <w:rFonts w:asciiTheme="majorHAnsi" w:eastAsia="Calibri" w:hAnsiTheme="majorHAnsi" w:cs="Calibri"/>
          <w:i/>
          <w:szCs w:val="22"/>
        </w:rPr>
        <w:t xml:space="preserve">the adjective </w:t>
      </w:r>
      <w:r w:rsidRPr="005B2611">
        <w:rPr>
          <w:rFonts w:asciiTheme="majorHAnsi" w:eastAsia="Calibri" w:hAnsiTheme="majorHAnsi" w:cs="Calibri"/>
          <w:i/>
          <w:szCs w:val="22"/>
        </w:rPr>
        <w:t>'necessary' is not synonymous with '</w:t>
      </w:r>
      <w:r w:rsidR="00040D57" w:rsidRPr="005B2611">
        <w:rPr>
          <w:rFonts w:asciiTheme="majorHAnsi" w:eastAsia="Calibri" w:hAnsiTheme="majorHAnsi" w:cs="Calibri"/>
          <w:i/>
          <w:szCs w:val="22"/>
        </w:rPr>
        <w:t>indispensable</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 xml:space="preserve">, neither has it the flexibility of such expressions as </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admissible</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 xml:space="preserve">, </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ordinary</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 xml:space="preserve">, </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useful</w:t>
      </w:r>
      <w:r w:rsidRPr="005B2611">
        <w:rPr>
          <w:rFonts w:asciiTheme="majorHAnsi" w:eastAsia="Calibri" w:hAnsiTheme="majorHAnsi" w:cs="Calibri"/>
          <w:i/>
          <w:szCs w:val="22"/>
        </w:rPr>
        <w:t>', '</w:t>
      </w:r>
      <w:r w:rsidR="00040D57" w:rsidRPr="005B2611">
        <w:rPr>
          <w:rFonts w:asciiTheme="majorHAnsi" w:eastAsia="Calibri" w:hAnsiTheme="majorHAnsi" w:cs="Calibri"/>
          <w:i/>
          <w:szCs w:val="22"/>
        </w:rPr>
        <w:t>reasonable</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 xml:space="preserve"> or </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desirable</w:t>
      </w:r>
      <w:r w:rsidRPr="005B2611">
        <w:rPr>
          <w:rFonts w:asciiTheme="majorHAnsi" w:eastAsia="Calibri" w:hAnsiTheme="majorHAnsi" w:cs="Calibri"/>
          <w:i/>
          <w:szCs w:val="22"/>
        </w:rPr>
        <w:t>'</w:t>
      </w:r>
      <w:r w:rsidR="00040D57" w:rsidRPr="005B2611">
        <w:rPr>
          <w:rFonts w:asciiTheme="majorHAnsi" w:eastAsia="Calibri" w:hAnsiTheme="majorHAnsi" w:cs="Calibri"/>
          <w:i/>
          <w:szCs w:val="22"/>
        </w:rPr>
        <w:t xml:space="preserve"> …</w:t>
      </w:r>
      <w:r w:rsidRPr="005B2611">
        <w:rPr>
          <w:rFonts w:asciiTheme="majorHAnsi" w:eastAsia="Calibri" w:hAnsiTheme="majorHAnsi" w:cs="Calibri"/>
          <w:szCs w:val="22"/>
        </w:rPr>
        <w:t>".</w:t>
      </w:r>
    </w:p>
    <w:p w14:paraId="6F45E724" w14:textId="77777777" w:rsidR="005B2611" w:rsidRDefault="005B2611" w:rsidP="005B2611">
      <w:pPr>
        <w:pStyle w:val="ListParagraph"/>
        <w:widowControl w:val="0"/>
        <w:autoSpaceDE w:val="0"/>
        <w:autoSpaceDN w:val="0"/>
        <w:adjustRightInd w:val="0"/>
        <w:spacing w:after="0"/>
        <w:ind w:left="792"/>
        <w:contextualSpacing w:val="0"/>
        <w:rPr>
          <w:rFonts w:asciiTheme="majorHAnsi" w:eastAsia="Calibri" w:hAnsiTheme="majorHAnsi" w:cs="Calibri"/>
          <w:szCs w:val="22"/>
        </w:rPr>
      </w:pPr>
    </w:p>
    <w:p w14:paraId="510FCC82" w14:textId="263F5DFD" w:rsidR="00BA64B2" w:rsidRPr="00BF0FF4" w:rsidRDefault="005B2611" w:rsidP="00BF0FF4">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This was also addressed in</w:t>
      </w:r>
      <w:r w:rsidR="00BF0FF4">
        <w:rPr>
          <w:rFonts w:asciiTheme="majorHAnsi" w:eastAsia="Calibri" w:hAnsiTheme="majorHAnsi" w:cs="Calibri"/>
          <w:szCs w:val="22"/>
        </w:rPr>
        <w:t xml:space="preserve"> </w:t>
      </w:r>
      <w:r w:rsidR="00BF0FF4">
        <w:rPr>
          <w:rFonts w:asciiTheme="majorHAnsi" w:eastAsia="Calibri" w:hAnsiTheme="majorHAnsi" w:cs="Calibri"/>
          <w:i/>
          <w:szCs w:val="22"/>
        </w:rPr>
        <w:t>Google Spain v AEDP</w:t>
      </w:r>
      <w:r>
        <w:rPr>
          <w:rFonts w:asciiTheme="majorHAnsi" w:eastAsia="Calibri" w:hAnsiTheme="majorHAnsi" w:cs="Calibri"/>
          <w:szCs w:val="22"/>
        </w:rPr>
        <w:t xml:space="preserve">, where the CJEU held that </w:t>
      </w:r>
      <w:r w:rsidRPr="005B2611">
        <w:rPr>
          <w:rFonts w:asciiTheme="majorHAnsi" w:eastAsia="Calibri" w:hAnsiTheme="majorHAnsi" w:cs="Calibri"/>
          <w:szCs w:val="22"/>
        </w:rPr>
        <w:t>processing cannot be considered "</w:t>
      </w:r>
      <w:r w:rsidRPr="00BF0FF4">
        <w:rPr>
          <w:rFonts w:asciiTheme="majorHAnsi" w:eastAsia="Calibri" w:hAnsiTheme="majorHAnsi" w:cs="Calibri"/>
          <w:i/>
          <w:szCs w:val="22"/>
        </w:rPr>
        <w:t>necessary</w:t>
      </w:r>
      <w:r w:rsidRPr="005B2611">
        <w:rPr>
          <w:rFonts w:asciiTheme="majorHAnsi" w:eastAsia="Calibri" w:hAnsiTheme="majorHAnsi" w:cs="Calibri"/>
          <w:szCs w:val="22"/>
        </w:rPr>
        <w:t xml:space="preserve">" if the </w:t>
      </w:r>
      <w:r w:rsidR="00BF0FF4">
        <w:rPr>
          <w:rFonts w:asciiTheme="majorHAnsi" w:eastAsia="Calibri" w:hAnsiTheme="majorHAnsi" w:cs="Calibri"/>
          <w:szCs w:val="22"/>
        </w:rPr>
        <w:t xml:space="preserve">personal </w:t>
      </w:r>
      <w:r w:rsidRPr="005B2611">
        <w:rPr>
          <w:rFonts w:asciiTheme="majorHAnsi" w:eastAsia="Calibri" w:hAnsiTheme="majorHAnsi" w:cs="Calibri"/>
          <w:szCs w:val="22"/>
        </w:rPr>
        <w:t>data is "</w:t>
      </w:r>
      <w:r w:rsidRPr="00BF0FF4">
        <w:rPr>
          <w:rFonts w:asciiTheme="majorHAnsi" w:eastAsia="Calibri" w:hAnsiTheme="majorHAnsi" w:cs="Calibri"/>
          <w:i/>
          <w:szCs w:val="22"/>
        </w:rPr>
        <w:t>inadequate, irrelevant or no longer relevant, or excessive in relation to those purposes</w:t>
      </w:r>
      <w:r w:rsidRPr="005B2611">
        <w:rPr>
          <w:rFonts w:asciiTheme="majorHAnsi" w:eastAsia="Calibri" w:hAnsiTheme="majorHAnsi" w:cs="Calibri"/>
          <w:szCs w:val="22"/>
        </w:rPr>
        <w:t>".</w:t>
      </w:r>
      <w:r w:rsidR="00BF0FF4">
        <w:rPr>
          <w:rFonts w:asciiTheme="majorHAnsi" w:eastAsia="Calibri" w:hAnsiTheme="majorHAnsi" w:cs="Calibri"/>
          <w:szCs w:val="22"/>
        </w:rPr>
        <w:t xml:space="preserve"> </w:t>
      </w:r>
      <w:r w:rsidR="00BA64B2" w:rsidRPr="00BF0FF4">
        <w:rPr>
          <w:rFonts w:asciiTheme="majorHAnsi" w:eastAsia="Calibri" w:hAnsiTheme="majorHAnsi" w:cs="Calibri"/>
          <w:szCs w:val="22"/>
        </w:rPr>
        <w:t xml:space="preserve">In </w:t>
      </w:r>
      <w:r w:rsidR="00BA64B2" w:rsidRPr="00BF0FF4">
        <w:rPr>
          <w:rFonts w:asciiTheme="majorHAnsi" w:eastAsia="Calibri" w:hAnsiTheme="majorHAnsi" w:cs="Calibri"/>
          <w:i/>
          <w:szCs w:val="22"/>
        </w:rPr>
        <w:t>South Lanarkshire Council v Scottish Information Commissioner</w:t>
      </w:r>
      <w:r w:rsidR="00BA64B2" w:rsidRPr="00BF0FF4">
        <w:rPr>
          <w:rFonts w:asciiTheme="majorHAnsi" w:eastAsia="Calibri" w:hAnsiTheme="majorHAnsi" w:cs="Calibri"/>
          <w:szCs w:val="22"/>
        </w:rPr>
        <w:t>,</w:t>
      </w:r>
      <w:r w:rsidR="00BA64B2">
        <w:rPr>
          <w:rStyle w:val="FootnoteReference"/>
          <w:rFonts w:asciiTheme="majorHAnsi" w:eastAsia="Calibri" w:hAnsiTheme="majorHAnsi" w:cs="Calibri"/>
          <w:szCs w:val="22"/>
        </w:rPr>
        <w:footnoteReference w:id="4"/>
      </w:r>
      <w:r w:rsidR="00BA64B2" w:rsidRPr="00BF0FF4">
        <w:rPr>
          <w:rFonts w:asciiTheme="majorHAnsi" w:eastAsia="Calibri" w:hAnsiTheme="majorHAnsi" w:cs="Calibri"/>
          <w:szCs w:val="22"/>
        </w:rPr>
        <w:t xml:space="preserve"> the UK Supreme Court assessed this requirement of European Community law as follows: "</w:t>
      </w:r>
      <w:r w:rsidR="00BA64B2" w:rsidRPr="00BF0FF4">
        <w:rPr>
          <w:rFonts w:asciiTheme="majorHAnsi" w:eastAsia="Calibri" w:hAnsiTheme="majorHAnsi" w:cs="Calibri"/>
          <w:i/>
          <w:szCs w:val="22"/>
        </w:rPr>
        <w:t>It is well established in community law that, at least in the context of justification rather than derogation, 'necessary' means 'reasonably' rather than absolutely or strictly necessary … necessity is well established in community law as part of the proportionality test</w:t>
      </w:r>
      <w:r w:rsidR="00BA64B2" w:rsidRPr="00BF0FF4">
        <w:rPr>
          <w:rFonts w:asciiTheme="majorHAnsi" w:eastAsia="Calibri" w:hAnsiTheme="majorHAnsi" w:cs="Calibri"/>
          <w:szCs w:val="22"/>
        </w:rPr>
        <w:t>".</w:t>
      </w:r>
    </w:p>
    <w:p w14:paraId="419A026A" w14:textId="77777777" w:rsidR="00E83A7F" w:rsidRPr="00E83A7F" w:rsidRDefault="00E83A7F" w:rsidP="00E83A7F">
      <w:pPr>
        <w:widowControl w:val="0"/>
        <w:autoSpaceDE w:val="0"/>
        <w:autoSpaceDN w:val="0"/>
        <w:adjustRightInd w:val="0"/>
        <w:spacing w:after="0"/>
        <w:rPr>
          <w:rFonts w:asciiTheme="majorHAnsi" w:eastAsia="Calibri" w:hAnsiTheme="majorHAnsi" w:cs="Calibri"/>
          <w:b/>
          <w:szCs w:val="22"/>
        </w:rPr>
      </w:pPr>
    </w:p>
    <w:p w14:paraId="371A5D23" w14:textId="359145F9" w:rsidR="009F43F1" w:rsidRDefault="009F43F1" w:rsidP="00E83A7F">
      <w:pPr>
        <w:pStyle w:val="ListParagraph"/>
        <w:widowControl w:val="0"/>
        <w:numPr>
          <w:ilvl w:val="1"/>
          <w:numId w:val="7"/>
        </w:numPr>
        <w:autoSpaceDE w:val="0"/>
        <w:autoSpaceDN w:val="0"/>
        <w:adjustRightInd w:val="0"/>
        <w:spacing w:after="0"/>
        <w:contextualSpacing w:val="0"/>
        <w:rPr>
          <w:rFonts w:asciiTheme="majorHAnsi" w:eastAsia="Calibri" w:hAnsiTheme="majorHAnsi" w:cs="Calibri"/>
          <w:szCs w:val="22"/>
        </w:rPr>
      </w:pPr>
      <w:r w:rsidRPr="00E83A7F">
        <w:rPr>
          <w:rFonts w:asciiTheme="majorHAnsi" w:eastAsia="Calibri" w:hAnsiTheme="majorHAnsi" w:cs="Calibri"/>
          <w:b/>
          <w:szCs w:val="22"/>
        </w:rPr>
        <w:t>Balancing test.</w:t>
      </w:r>
      <w:r w:rsidR="00C51B33">
        <w:rPr>
          <w:rFonts w:asciiTheme="majorHAnsi" w:eastAsia="Calibri" w:hAnsiTheme="majorHAnsi" w:cs="Calibri"/>
          <w:b/>
          <w:szCs w:val="22"/>
        </w:rPr>
        <w:t xml:space="preserve"> </w:t>
      </w:r>
      <w:r w:rsidR="00F02716">
        <w:rPr>
          <w:rFonts w:asciiTheme="majorHAnsi" w:eastAsia="Calibri" w:hAnsiTheme="majorHAnsi" w:cs="Calibri"/>
          <w:szCs w:val="22"/>
        </w:rPr>
        <w:t>Satisfying the balancing test requires an assessment of the strength of the interest pursued balanced against the potential risks for data subjects. This element of the test usually requires detailed analysis of the facts and circumstances. Opinion 06/2014 provides helpful guidance on weighing each side of the balance:</w:t>
      </w:r>
    </w:p>
    <w:p w14:paraId="312E741A" w14:textId="77777777" w:rsidR="00BF0FF4" w:rsidRDefault="00BF0FF4" w:rsidP="00BF0FF4">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455DA30C" w14:textId="758B75A0" w:rsidR="00F02716" w:rsidRDefault="00BF0FF4" w:rsidP="00F02716">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szCs w:val="22"/>
        </w:rPr>
        <w:t>Analysis of t</w:t>
      </w:r>
      <w:r w:rsidR="00F02716">
        <w:rPr>
          <w:rFonts w:asciiTheme="majorHAnsi" w:eastAsia="Calibri" w:hAnsiTheme="majorHAnsi" w:cs="Calibri"/>
          <w:szCs w:val="22"/>
        </w:rPr>
        <w:t>he strength of the interest:</w:t>
      </w:r>
    </w:p>
    <w:p w14:paraId="24766B0F" w14:textId="77777777" w:rsidR="00F02716" w:rsidRDefault="00F02716" w:rsidP="00F02716">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450BA958" w14:textId="22BA450E" w:rsidR="00552CA1" w:rsidRPr="00552CA1" w:rsidRDefault="00552CA1" w:rsidP="00552CA1">
      <w:pPr>
        <w:pStyle w:val="ListParagraph"/>
        <w:widowControl w:val="0"/>
        <w:autoSpaceDE w:val="0"/>
        <w:autoSpaceDN w:val="0"/>
        <w:adjustRightInd w:val="0"/>
        <w:ind w:left="1224"/>
        <w:rPr>
          <w:rFonts w:asciiTheme="majorHAnsi" w:eastAsia="Calibri" w:hAnsiTheme="majorHAnsi" w:cs="Calibri"/>
          <w:i/>
          <w:szCs w:val="22"/>
          <w:lang w:val="en-US"/>
        </w:rPr>
      </w:pPr>
      <w:r>
        <w:rPr>
          <w:rFonts w:asciiTheme="majorHAnsi" w:eastAsia="Calibri" w:hAnsiTheme="majorHAnsi" w:cs="Calibri"/>
          <w:szCs w:val="22"/>
          <w:lang w:val="en-US"/>
        </w:rPr>
        <w:t>"</w:t>
      </w:r>
      <w:r w:rsidRPr="00552CA1">
        <w:rPr>
          <w:rFonts w:asciiTheme="majorHAnsi" w:eastAsia="Calibri" w:hAnsiTheme="majorHAnsi" w:cs="Calibri"/>
          <w:i/>
          <w:szCs w:val="22"/>
          <w:lang w:val="en-US"/>
        </w:rPr>
        <w:t xml:space="preserve">In general, the fact that a controller acts not only in its own legitimate (e.g. business) interest, but also in the interests of the wider community, can give more 'weight' to that interest. The more compelling the public interest or the interest of the wider community, and the more clearly acknowledged and expected it is in the community and by data subjects that the controller can take action and process data in pursuit of these interests, the more heavily this legitimate interest weighs in the balance. </w:t>
      </w:r>
    </w:p>
    <w:p w14:paraId="388ADC64" w14:textId="77777777" w:rsidR="00552CA1" w:rsidRPr="00552CA1" w:rsidRDefault="00552CA1" w:rsidP="00552CA1">
      <w:pPr>
        <w:pStyle w:val="ListParagraph"/>
        <w:widowControl w:val="0"/>
        <w:autoSpaceDE w:val="0"/>
        <w:autoSpaceDN w:val="0"/>
        <w:adjustRightInd w:val="0"/>
        <w:ind w:left="1224"/>
        <w:rPr>
          <w:rFonts w:asciiTheme="majorHAnsi" w:eastAsia="Calibri" w:hAnsiTheme="majorHAnsi" w:cs="Calibri"/>
          <w:i/>
          <w:szCs w:val="22"/>
          <w:lang w:val="en-US"/>
        </w:rPr>
      </w:pPr>
    </w:p>
    <w:p w14:paraId="0CB3C98E" w14:textId="113CBF27" w:rsidR="00F02716" w:rsidRPr="00552CA1" w:rsidRDefault="00552CA1" w:rsidP="00552CA1">
      <w:pPr>
        <w:pStyle w:val="ListParagraph"/>
        <w:widowControl w:val="0"/>
        <w:autoSpaceDE w:val="0"/>
        <w:autoSpaceDN w:val="0"/>
        <w:adjustRightInd w:val="0"/>
        <w:ind w:left="1224"/>
        <w:rPr>
          <w:rFonts w:asciiTheme="majorHAnsi" w:eastAsia="Calibri" w:hAnsiTheme="majorHAnsi" w:cs="Calibri"/>
          <w:szCs w:val="22"/>
          <w:lang w:val="en-US"/>
        </w:rPr>
      </w:pPr>
      <w:r>
        <w:rPr>
          <w:rFonts w:asciiTheme="majorHAnsi" w:eastAsia="Calibri" w:hAnsiTheme="majorHAnsi" w:cs="Calibri"/>
          <w:szCs w:val="22"/>
          <w:lang w:val="en-US"/>
        </w:rPr>
        <w:t>"</w:t>
      </w:r>
      <w:r w:rsidRPr="00552CA1">
        <w:rPr>
          <w:rFonts w:asciiTheme="majorHAnsi" w:eastAsia="Calibri" w:hAnsiTheme="majorHAnsi" w:cs="Calibri"/>
          <w:i/>
          <w:szCs w:val="22"/>
          <w:lang w:val="en-US"/>
        </w:rPr>
        <w:t>On the other hand, 'private enforcement' of the law should not be used to legitimise intrusive practices that would, were they carried out by a government organisation, be prohibited pursuant to the case law of the European Court of Human Rights on grounds that the activities of the public authority would interfere with the privacy of data subjects without meeting the stringent test under Article 8(2) of the ECHR</w:t>
      </w:r>
      <w:r>
        <w:rPr>
          <w:rFonts w:asciiTheme="majorHAnsi" w:eastAsia="Calibri" w:hAnsiTheme="majorHAnsi" w:cs="Calibri"/>
          <w:szCs w:val="22"/>
          <w:lang w:val="en-US"/>
        </w:rPr>
        <w:t>"</w:t>
      </w:r>
      <w:r w:rsidRPr="00552CA1">
        <w:rPr>
          <w:rFonts w:asciiTheme="majorHAnsi" w:eastAsia="Calibri" w:hAnsiTheme="majorHAnsi" w:cs="Calibri"/>
          <w:i/>
          <w:szCs w:val="22"/>
          <w:lang w:val="en-US"/>
        </w:rPr>
        <w:t>.</w:t>
      </w:r>
    </w:p>
    <w:p w14:paraId="5C89906C" w14:textId="23A155FB" w:rsidR="00F02716" w:rsidRDefault="00F02716" w:rsidP="00552CA1">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7F6C4EE1" w14:textId="4C5F3F12" w:rsidR="00552CA1" w:rsidRDefault="00BB3197" w:rsidP="00BB3197">
      <w:pPr>
        <w:pStyle w:val="ListParagraph"/>
        <w:widowControl w:val="0"/>
        <w:numPr>
          <w:ilvl w:val="2"/>
          <w:numId w:val="7"/>
        </w:numPr>
        <w:autoSpaceDE w:val="0"/>
        <w:autoSpaceDN w:val="0"/>
        <w:adjustRightInd w:val="0"/>
        <w:spacing w:after="0"/>
        <w:contextualSpacing w:val="0"/>
        <w:rPr>
          <w:rFonts w:asciiTheme="majorHAnsi" w:eastAsia="Calibri" w:hAnsiTheme="majorHAnsi" w:cs="Calibri"/>
          <w:szCs w:val="22"/>
        </w:rPr>
      </w:pPr>
      <w:r w:rsidRPr="00BB3197">
        <w:rPr>
          <w:rFonts w:asciiTheme="majorHAnsi" w:eastAsia="Calibri" w:hAnsiTheme="majorHAnsi" w:cs="Calibri"/>
          <w:szCs w:val="22"/>
        </w:rPr>
        <w:t>The WP29 lists five factors to consider when assessing the impact on data subjects:</w:t>
      </w:r>
    </w:p>
    <w:p w14:paraId="08252A4B" w14:textId="77777777" w:rsidR="00BB3197" w:rsidRDefault="00BB3197" w:rsidP="00BB3197">
      <w:pPr>
        <w:pStyle w:val="ListParagraph"/>
        <w:widowControl w:val="0"/>
        <w:autoSpaceDE w:val="0"/>
        <w:autoSpaceDN w:val="0"/>
        <w:adjustRightInd w:val="0"/>
        <w:spacing w:after="0"/>
        <w:ind w:left="1224"/>
        <w:contextualSpacing w:val="0"/>
        <w:rPr>
          <w:rFonts w:asciiTheme="majorHAnsi" w:eastAsia="Calibri" w:hAnsiTheme="majorHAnsi" w:cs="Calibri"/>
          <w:szCs w:val="22"/>
        </w:rPr>
      </w:pPr>
    </w:p>
    <w:p w14:paraId="70D0FDF9" w14:textId="4653A404" w:rsidR="00765077" w:rsidRDefault="00765077" w:rsidP="00765077">
      <w:pPr>
        <w:pStyle w:val="ListParagraph"/>
        <w:widowControl w:val="0"/>
        <w:numPr>
          <w:ilvl w:val="3"/>
          <w:numId w:val="7"/>
        </w:numPr>
        <w:autoSpaceDE w:val="0"/>
        <w:autoSpaceDN w:val="0"/>
        <w:adjustRightInd w:val="0"/>
        <w:spacing w:after="0"/>
        <w:rPr>
          <w:rFonts w:asciiTheme="majorHAnsi" w:eastAsia="Calibri" w:hAnsiTheme="majorHAnsi" w:cs="Calibri"/>
          <w:szCs w:val="22"/>
          <w:lang w:val="en-US"/>
        </w:rPr>
      </w:pPr>
      <w:r w:rsidRPr="00765077">
        <w:rPr>
          <w:rFonts w:asciiTheme="majorHAnsi" w:eastAsia="Calibri" w:hAnsiTheme="majorHAnsi" w:cs="Calibri"/>
          <w:i/>
          <w:szCs w:val="22"/>
        </w:rPr>
        <w:t>Assessment of impact.</w:t>
      </w:r>
      <w:r>
        <w:rPr>
          <w:rFonts w:asciiTheme="majorHAnsi" w:eastAsia="Calibri" w:hAnsiTheme="majorHAnsi" w:cs="Calibri"/>
          <w:szCs w:val="22"/>
        </w:rPr>
        <w:t xml:space="preserve"> T</w:t>
      </w:r>
      <w:r w:rsidR="00E84766">
        <w:rPr>
          <w:rFonts w:asciiTheme="majorHAnsi" w:eastAsia="Calibri" w:hAnsiTheme="majorHAnsi" w:cs="Calibri"/>
          <w:szCs w:val="22"/>
        </w:rPr>
        <w:t>he controller must consider not only adverse outcomes on individuals, but also</w:t>
      </w:r>
      <w:r>
        <w:rPr>
          <w:rFonts w:asciiTheme="majorHAnsi" w:eastAsia="Calibri" w:hAnsiTheme="majorHAnsi" w:cs="Calibri"/>
          <w:szCs w:val="22"/>
        </w:rPr>
        <w:t xml:space="preserve"> other broader consequences for data subjects:</w:t>
      </w:r>
      <w:r w:rsidR="00E84766">
        <w:rPr>
          <w:rFonts w:asciiTheme="majorHAnsi" w:eastAsia="Calibri" w:hAnsiTheme="majorHAnsi" w:cs="Calibri"/>
          <w:szCs w:val="22"/>
        </w:rPr>
        <w:t xml:space="preserve"> </w:t>
      </w:r>
      <w:r>
        <w:rPr>
          <w:rFonts w:asciiTheme="majorHAnsi" w:eastAsia="Calibri" w:hAnsiTheme="majorHAnsi" w:cs="Calibri"/>
          <w:szCs w:val="22"/>
        </w:rPr>
        <w:t>"</w:t>
      </w:r>
      <w:r w:rsidRPr="00765077">
        <w:rPr>
          <w:rFonts w:ascii="Times New Roman" w:eastAsia="Times New Roman" w:hAnsi="Times New Roman" w:cs="Times New Roman"/>
          <w:i/>
          <w:sz w:val="24"/>
          <w:szCs w:val="24"/>
          <w:lang w:val="en-US"/>
        </w:rPr>
        <w:t>R</w:t>
      </w:r>
      <w:r w:rsidRPr="00765077">
        <w:rPr>
          <w:rFonts w:asciiTheme="majorHAnsi" w:eastAsia="Calibri" w:hAnsiTheme="majorHAnsi" w:cs="Calibri"/>
          <w:i/>
          <w:szCs w:val="22"/>
          <w:lang w:val="en-US"/>
        </w:rPr>
        <w:t>elevant 'impact' is a much broader concept than harm or damage to one or more specific data subjects. 'Impact' as used in this Opinion covers any possible (potential or actual) consequences of the data processing</w:t>
      </w:r>
      <w:r>
        <w:rPr>
          <w:rFonts w:asciiTheme="majorHAnsi" w:eastAsia="Calibri" w:hAnsiTheme="majorHAnsi" w:cs="Calibri"/>
          <w:szCs w:val="22"/>
          <w:lang w:val="en-US"/>
        </w:rPr>
        <w:t>"</w:t>
      </w:r>
      <w:r w:rsidRPr="00765077">
        <w:rPr>
          <w:rFonts w:asciiTheme="majorHAnsi" w:eastAsia="Calibri" w:hAnsiTheme="majorHAnsi" w:cs="Calibri"/>
          <w:szCs w:val="22"/>
          <w:lang w:val="en-US"/>
        </w:rPr>
        <w:t>.</w:t>
      </w:r>
    </w:p>
    <w:p w14:paraId="00E6A413" w14:textId="77777777" w:rsidR="007610CC" w:rsidRPr="00765077" w:rsidRDefault="007610CC" w:rsidP="007610CC">
      <w:pPr>
        <w:pStyle w:val="ListParagraph"/>
        <w:widowControl w:val="0"/>
        <w:autoSpaceDE w:val="0"/>
        <w:autoSpaceDN w:val="0"/>
        <w:adjustRightInd w:val="0"/>
        <w:spacing w:after="0"/>
        <w:ind w:left="1440"/>
        <w:rPr>
          <w:rFonts w:asciiTheme="majorHAnsi" w:eastAsia="Calibri" w:hAnsiTheme="majorHAnsi" w:cs="Calibri"/>
          <w:szCs w:val="22"/>
          <w:lang w:val="en-US"/>
        </w:rPr>
      </w:pPr>
    </w:p>
    <w:p w14:paraId="7D037179" w14:textId="12772C2E" w:rsidR="00BB3197" w:rsidRDefault="007610CC" w:rsidP="00BB3197">
      <w:pPr>
        <w:pStyle w:val="ListParagraph"/>
        <w:widowControl w:val="0"/>
        <w:numPr>
          <w:ilvl w:val="3"/>
          <w:numId w:val="7"/>
        </w:numPr>
        <w:autoSpaceDE w:val="0"/>
        <w:autoSpaceDN w:val="0"/>
        <w:adjustRightInd w:val="0"/>
        <w:spacing w:after="0"/>
        <w:contextualSpacing w:val="0"/>
        <w:rPr>
          <w:rFonts w:asciiTheme="majorHAnsi" w:eastAsia="Calibri" w:hAnsiTheme="majorHAnsi" w:cs="Calibri"/>
          <w:szCs w:val="22"/>
        </w:rPr>
      </w:pPr>
      <w:r>
        <w:rPr>
          <w:rFonts w:asciiTheme="majorHAnsi" w:eastAsia="Calibri" w:hAnsiTheme="majorHAnsi" w:cs="Calibri"/>
          <w:i/>
          <w:szCs w:val="22"/>
        </w:rPr>
        <w:t>Nature of the data.</w:t>
      </w:r>
      <w:r>
        <w:rPr>
          <w:rFonts w:asciiTheme="majorHAnsi" w:eastAsia="Calibri" w:hAnsiTheme="majorHAnsi" w:cs="Calibri"/>
          <w:szCs w:val="22"/>
        </w:rPr>
        <w:t xml:space="preserve"> This factor requires consideration of the level of sensitivity of the data as well as whether the data is already publicly available.</w:t>
      </w:r>
    </w:p>
    <w:p w14:paraId="18660763" w14:textId="77777777" w:rsidR="007610CC" w:rsidRPr="007610CC" w:rsidRDefault="007610CC" w:rsidP="007610CC">
      <w:pPr>
        <w:widowControl w:val="0"/>
        <w:autoSpaceDE w:val="0"/>
        <w:autoSpaceDN w:val="0"/>
        <w:adjustRightInd w:val="0"/>
        <w:spacing w:after="0"/>
        <w:rPr>
          <w:rFonts w:asciiTheme="majorHAnsi" w:eastAsia="Calibri" w:hAnsiTheme="majorHAnsi" w:cs="Calibri"/>
          <w:szCs w:val="22"/>
        </w:rPr>
      </w:pPr>
    </w:p>
    <w:p w14:paraId="3DD2E8FF" w14:textId="44ECE893" w:rsidR="00F86A07" w:rsidRPr="00F86A07" w:rsidRDefault="00C86CEC" w:rsidP="00F86A07">
      <w:pPr>
        <w:pStyle w:val="ListParagraph"/>
        <w:widowControl w:val="0"/>
        <w:numPr>
          <w:ilvl w:val="3"/>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i/>
          <w:szCs w:val="22"/>
        </w:rPr>
        <w:t>The way the data is processed.</w:t>
      </w:r>
      <w:r>
        <w:rPr>
          <w:rFonts w:asciiTheme="majorHAnsi" w:eastAsia="Calibri" w:hAnsiTheme="majorHAnsi" w:cs="Calibri"/>
          <w:szCs w:val="22"/>
        </w:rPr>
        <w:t xml:space="preserve"> </w:t>
      </w:r>
      <w:r w:rsidR="0067051C">
        <w:rPr>
          <w:rFonts w:asciiTheme="majorHAnsi" w:eastAsia="Calibri" w:hAnsiTheme="majorHAnsi" w:cs="Calibri"/>
          <w:szCs w:val="22"/>
        </w:rPr>
        <w:t xml:space="preserve">The manner in which the data will be processed affects the balance of interests. Of particular relevance, the WP29 states, </w:t>
      </w:r>
      <w:r w:rsidR="00581596">
        <w:rPr>
          <w:rFonts w:asciiTheme="majorHAnsi" w:eastAsia="Calibri" w:hAnsiTheme="majorHAnsi" w:cs="Calibri"/>
          <w:szCs w:val="22"/>
        </w:rPr>
        <w:t>"</w:t>
      </w:r>
      <w:r w:rsidR="00581596" w:rsidRPr="00F86A07">
        <w:rPr>
          <w:rFonts w:asciiTheme="majorHAnsi" w:eastAsia="Calibri" w:hAnsiTheme="majorHAnsi" w:cs="Calibri"/>
          <w:i/>
          <w:szCs w:val="22"/>
          <w:lang w:val="en-US"/>
        </w:rPr>
        <w:t>whether the data are publicly disclosed or otherwise made accessible to a large number of persons</w:t>
      </w:r>
      <w:r w:rsidR="00581596">
        <w:rPr>
          <w:rFonts w:asciiTheme="majorHAnsi" w:eastAsia="Calibri" w:hAnsiTheme="majorHAnsi" w:cs="Calibri"/>
          <w:szCs w:val="22"/>
          <w:lang w:val="en-US"/>
        </w:rPr>
        <w:t>" is a</w:t>
      </w:r>
      <w:r w:rsidR="00F86A07">
        <w:rPr>
          <w:rFonts w:asciiTheme="majorHAnsi" w:eastAsia="Calibri" w:hAnsiTheme="majorHAnsi" w:cs="Calibri"/>
          <w:szCs w:val="22"/>
          <w:lang w:val="en-US"/>
        </w:rPr>
        <w:t>n important consideration if "</w:t>
      </w:r>
      <w:r w:rsidR="00F86A07">
        <w:rPr>
          <w:rFonts w:asciiTheme="majorHAnsi" w:eastAsia="Calibri" w:hAnsiTheme="majorHAnsi" w:cs="Calibri"/>
          <w:i/>
          <w:szCs w:val="22"/>
          <w:lang w:val="en-US"/>
        </w:rPr>
        <w:t>[</w:t>
      </w:r>
      <w:r w:rsidR="00F86A07" w:rsidRPr="00F86A07">
        <w:rPr>
          <w:rFonts w:asciiTheme="majorHAnsi" w:eastAsia="Calibri" w:hAnsiTheme="majorHAnsi" w:cs="Calibri"/>
          <w:i/>
          <w:szCs w:val="22"/>
          <w:lang w:val="en-US"/>
        </w:rPr>
        <w:t>s]eemingly innocuous data, when processed on a large scale and combined with other data may lead to inferences about more sensitive data</w:t>
      </w:r>
      <w:r w:rsidR="00F86A07">
        <w:rPr>
          <w:rFonts w:asciiTheme="majorHAnsi" w:eastAsia="Calibri" w:hAnsiTheme="majorHAnsi" w:cs="Calibri"/>
          <w:szCs w:val="22"/>
          <w:lang w:val="en-US"/>
        </w:rPr>
        <w:t>".</w:t>
      </w:r>
    </w:p>
    <w:p w14:paraId="785EF15E" w14:textId="52B3B7D2" w:rsidR="00581596" w:rsidRPr="00581596" w:rsidRDefault="00581596" w:rsidP="00F86A07">
      <w:pPr>
        <w:pStyle w:val="ListParagraph"/>
        <w:widowControl w:val="0"/>
        <w:autoSpaceDE w:val="0"/>
        <w:autoSpaceDN w:val="0"/>
        <w:adjustRightInd w:val="0"/>
        <w:spacing w:after="0"/>
        <w:ind w:left="1440"/>
        <w:rPr>
          <w:rFonts w:asciiTheme="majorHAnsi" w:eastAsia="Calibri" w:hAnsiTheme="majorHAnsi" w:cs="Calibri"/>
          <w:szCs w:val="22"/>
          <w:lang w:val="en-US"/>
        </w:rPr>
      </w:pPr>
    </w:p>
    <w:p w14:paraId="2B312BB2" w14:textId="4354B805" w:rsidR="007610CC" w:rsidRDefault="00F86A07" w:rsidP="00B2210E">
      <w:pPr>
        <w:pStyle w:val="ListParagraph"/>
        <w:widowControl w:val="0"/>
        <w:numPr>
          <w:ilvl w:val="3"/>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i/>
          <w:szCs w:val="22"/>
        </w:rPr>
        <w:t>The reasonable expectations of the data subject.</w:t>
      </w:r>
      <w:r>
        <w:rPr>
          <w:rFonts w:asciiTheme="majorHAnsi" w:eastAsia="Calibri" w:hAnsiTheme="majorHAnsi" w:cs="Calibri"/>
          <w:szCs w:val="22"/>
        </w:rPr>
        <w:t xml:space="preserve"> </w:t>
      </w:r>
      <w:r w:rsidR="00064C7B">
        <w:rPr>
          <w:rFonts w:asciiTheme="majorHAnsi" w:eastAsia="Calibri" w:hAnsiTheme="majorHAnsi" w:cs="Calibri"/>
          <w:szCs w:val="22"/>
        </w:rPr>
        <w:t xml:space="preserve">Whether an individual is likely to expect the processing activity will affect the balance of interests. This </w:t>
      </w:r>
      <w:r w:rsidR="00B2210E">
        <w:rPr>
          <w:rFonts w:asciiTheme="majorHAnsi" w:eastAsia="Calibri" w:hAnsiTheme="majorHAnsi" w:cs="Calibri"/>
          <w:szCs w:val="22"/>
        </w:rPr>
        <w:t>concept also appears in Recital 47 of the GDPR, which states, "</w:t>
      </w:r>
      <w:r w:rsidR="00B2210E" w:rsidRPr="00B2210E">
        <w:rPr>
          <w:rFonts w:asciiTheme="majorHAnsi" w:eastAsia="Calibri" w:hAnsiTheme="majorHAnsi" w:cs="Calibri"/>
          <w:i/>
          <w:szCs w:val="22"/>
          <w:lang w:val="en-US"/>
        </w:rPr>
        <w:t>the existence of a legitimate interest would need careful assessment including whether a data subject can reasonably expect at the time and in the context of the collection of the personal data that processing for that purpose may take place</w:t>
      </w:r>
      <w:r w:rsidR="00B2210E">
        <w:rPr>
          <w:rFonts w:asciiTheme="majorHAnsi" w:eastAsia="Calibri" w:hAnsiTheme="majorHAnsi" w:cs="Calibri"/>
          <w:szCs w:val="22"/>
          <w:lang w:val="en-US"/>
        </w:rPr>
        <w:t>".</w:t>
      </w:r>
    </w:p>
    <w:p w14:paraId="227FCA5B" w14:textId="77777777" w:rsidR="00B2210E" w:rsidRPr="00B2210E" w:rsidRDefault="00B2210E" w:rsidP="00B2210E">
      <w:pPr>
        <w:widowControl w:val="0"/>
        <w:autoSpaceDE w:val="0"/>
        <w:autoSpaceDN w:val="0"/>
        <w:adjustRightInd w:val="0"/>
        <w:spacing w:after="0"/>
        <w:rPr>
          <w:rFonts w:asciiTheme="majorHAnsi" w:eastAsia="Calibri" w:hAnsiTheme="majorHAnsi" w:cs="Calibri"/>
          <w:szCs w:val="22"/>
          <w:lang w:val="en-US"/>
        </w:rPr>
      </w:pPr>
    </w:p>
    <w:p w14:paraId="368831F4" w14:textId="6165AE74" w:rsidR="009F43F1" w:rsidRDefault="00B2210E" w:rsidP="00182DF4">
      <w:pPr>
        <w:pStyle w:val="ListParagraph"/>
        <w:widowControl w:val="0"/>
        <w:numPr>
          <w:ilvl w:val="3"/>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i/>
          <w:szCs w:val="22"/>
          <w:lang w:val="en-US"/>
        </w:rPr>
        <w:t>The status of the controller and data subject.</w:t>
      </w:r>
      <w:r>
        <w:rPr>
          <w:rFonts w:asciiTheme="majorHAnsi" w:eastAsia="Calibri" w:hAnsiTheme="majorHAnsi" w:cs="Calibri"/>
          <w:szCs w:val="22"/>
          <w:lang w:val="en-US"/>
        </w:rPr>
        <w:t xml:space="preserve"> Finally, the assessment must take into consideration </w:t>
      </w:r>
      <w:r w:rsidR="00F6658F">
        <w:rPr>
          <w:rFonts w:asciiTheme="majorHAnsi" w:eastAsia="Calibri" w:hAnsiTheme="majorHAnsi" w:cs="Calibri"/>
          <w:szCs w:val="22"/>
          <w:lang w:val="en-US"/>
        </w:rPr>
        <w:t xml:space="preserve">the negotiating </w:t>
      </w:r>
      <w:r w:rsidR="00182DF4">
        <w:rPr>
          <w:rFonts w:asciiTheme="majorHAnsi" w:eastAsia="Calibri" w:hAnsiTheme="majorHAnsi" w:cs="Calibri"/>
          <w:szCs w:val="22"/>
          <w:lang w:val="en-US"/>
        </w:rPr>
        <w:t>power and any</w:t>
      </w:r>
      <w:r>
        <w:rPr>
          <w:rFonts w:asciiTheme="majorHAnsi" w:eastAsia="Calibri" w:hAnsiTheme="majorHAnsi" w:cs="Calibri"/>
          <w:szCs w:val="22"/>
          <w:lang w:val="en-US"/>
        </w:rPr>
        <w:t xml:space="preserve"> imbalances in </w:t>
      </w:r>
      <w:r w:rsidR="00182DF4">
        <w:rPr>
          <w:rFonts w:asciiTheme="majorHAnsi" w:eastAsia="Calibri" w:hAnsiTheme="majorHAnsi" w:cs="Calibri"/>
          <w:szCs w:val="22"/>
          <w:lang w:val="en-US"/>
        </w:rPr>
        <w:t xml:space="preserve">authority </w:t>
      </w:r>
      <w:r>
        <w:rPr>
          <w:rFonts w:asciiTheme="majorHAnsi" w:eastAsia="Calibri" w:hAnsiTheme="majorHAnsi" w:cs="Calibri"/>
          <w:szCs w:val="22"/>
          <w:lang w:val="en-US"/>
        </w:rPr>
        <w:t xml:space="preserve">between the controller and the data subject. </w:t>
      </w:r>
      <w:r w:rsidR="00182DF4">
        <w:rPr>
          <w:rFonts w:asciiTheme="majorHAnsi" w:eastAsia="Calibri" w:hAnsiTheme="majorHAnsi" w:cs="Calibri"/>
          <w:szCs w:val="22"/>
          <w:lang w:val="en-US"/>
        </w:rPr>
        <w:t xml:space="preserve">Thus, this analysis changes depending on both the status and authority of the controller and the relative power of the data subject. </w:t>
      </w:r>
    </w:p>
    <w:p w14:paraId="1C449AC8" w14:textId="2D63626C" w:rsidR="00182DF4" w:rsidRPr="00182DF4" w:rsidRDefault="00182DF4" w:rsidP="00182DF4">
      <w:pPr>
        <w:widowControl w:val="0"/>
        <w:autoSpaceDE w:val="0"/>
        <w:autoSpaceDN w:val="0"/>
        <w:adjustRightInd w:val="0"/>
        <w:spacing w:after="0"/>
        <w:rPr>
          <w:rFonts w:asciiTheme="majorHAnsi" w:eastAsia="Calibri" w:hAnsiTheme="majorHAnsi" w:cs="Calibri"/>
          <w:szCs w:val="22"/>
          <w:lang w:val="en-US"/>
        </w:rPr>
      </w:pPr>
    </w:p>
    <w:p w14:paraId="40D4D9E9" w14:textId="77777777" w:rsidR="00182DF4" w:rsidRPr="00C51B33" w:rsidRDefault="00182DF4" w:rsidP="00182DF4">
      <w:pPr>
        <w:widowControl w:val="0"/>
        <w:autoSpaceDE w:val="0"/>
        <w:autoSpaceDN w:val="0"/>
        <w:adjustRightInd w:val="0"/>
        <w:spacing w:after="0"/>
        <w:ind w:left="360"/>
        <w:rPr>
          <w:rFonts w:asciiTheme="majorHAnsi" w:eastAsia="Calibri" w:hAnsiTheme="majorHAnsi" w:cs="Calibri"/>
          <w:szCs w:val="22"/>
          <w:u w:val="single"/>
        </w:rPr>
      </w:pPr>
      <w:r>
        <w:rPr>
          <w:rFonts w:asciiTheme="majorHAnsi" w:eastAsia="Calibri" w:hAnsiTheme="majorHAnsi" w:cs="Calibri"/>
          <w:szCs w:val="22"/>
          <w:u w:val="single"/>
        </w:rPr>
        <w:t>Analysis</w:t>
      </w:r>
    </w:p>
    <w:p w14:paraId="31B05D80" w14:textId="4979CCED" w:rsidR="00182DF4" w:rsidRPr="00092870" w:rsidRDefault="00182DF4" w:rsidP="00092870">
      <w:pPr>
        <w:widowControl w:val="0"/>
        <w:autoSpaceDE w:val="0"/>
        <w:autoSpaceDN w:val="0"/>
        <w:adjustRightInd w:val="0"/>
        <w:spacing w:after="0"/>
        <w:rPr>
          <w:rFonts w:asciiTheme="majorHAnsi" w:eastAsia="Calibri" w:hAnsiTheme="majorHAnsi" w:cs="Calibri"/>
          <w:szCs w:val="22"/>
          <w:lang w:val="en-US"/>
        </w:rPr>
      </w:pPr>
    </w:p>
    <w:p w14:paraId="60F2CD41" w14:textId="4B962EB9" w:rsidR="004C21BE" w:rsidRDefault="004C39D4" w:rsidP="00182DF4">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First, CJEU case law supports finding a legitimate interest where processing </w:t>
      </w:r>
      <w:r w:rsidR="00F17EDB">
        <w:rPr>
          <w:rFonts w:asciiTheme="majorHAnsi" w:eastAsia="Calibri" w:hAnsiTheme="majorHAnsi" w:cs="Calibri"/>
          <w:szCs w:val="22"/>
          <w:lang w:val="en-US"/>
        </w:rPr>
        <w:t xml:space="preserve">of </w:t>
      </w:r>
      <w:r>
        <w:rPr>
          <w:rFonts w:asciiTheme="majorHAnsi" w:eastAsia="Calibri" w:hAnsiTheme="majorHAnsi" w:cs="Calibri"/>
          <w:szCs w:val="22"/>
          <w:lang w:val="en-US"/>
        </w:rPr>
        <w:t>personal data will permit rights</w:t>
      </w:r>
      <w:r w:rsidR="00F17EDB">
        <w:rPr>
          <w:rFonts w:asciiTheme="majorHAnsi" w:eastAsia="Calibri" w:hAnsiTheme="majorHAnsi" w:cs="Calibri"/>
          <w:szCs w:val="22"/>
          <w:lang w:val="en-US"/>
        </w:rPr>
        <w:t>-</w:t>
      </w:r>
      <w:r>
        <w:rPr>
          <w:rFonts w:asciiTheme="majorHAnsi" w:eastAsia="Calibri" w:hAnsiTheme="majorHAnsi" w:cs="Calibri"/>
          <w:szCs w:val="22"/>
          <w:lang w:val="en-US"/>
        </w:rPr>
        <w:t xml:space="preserve">holders to more easily vindicate their rights. </w:t>
      </w:r>
    </w:p>
    <w:p w14:paraId="209C1999" w14:textId="77777777" w:rsidR="004C21BE" w:rsidRPr="004C21BE" w:rsidRDefault="004C21BE" w:rsidP="004C21BE">
      <w:pPr>
        <w:pStyle w:val="ListParagraph"/>
        <w:rPr>
          <w:rFonts w:asciiTheme="majorHAnsi" w:eastAsia="Calibri" w:hAnsiTheme="majorHAnsi" w:cs="Calibri"/>
          <w:szCs w:val="22"/>
          <w:lang w:val="en-US"/>
        </w:rPr>
      </w:pPr>
    </w:p>
    <w:p w14:paraId="50B59A1F" w14:textId="5DB9165F" w:rsidR="004C39D4" w:rsidRDefault="004C39D4" w:rsidP="004C21BE">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For example, in the </w:t>
      </w:r>
      <w:r>
        <w:rPr>
          <w:rFonts w:asciiTheme="majorHAnsi" w:eastAsia="Calibri" w:hAnsiTheme="majorHAnsi" w:cs="Calibri"/>
          <w:i/>
          <w:szCs w:val="22"/>
          <w:lang w:val="en-US"/>
        </w:rPr>
        <w:t>Rigas</w:t>
      </w:r>
      <w:r>
        <w:rPr>
          <w:rFonts w:asciiTheme="majorHAnsi" w:eastAsia="Calibri" w:hAnsiTheme="majorHAnsi" w:cs="Calibri"/>
          <w:szCs w:val="22"/>
          <w:lang w:val="en-US"/>
        </w:rPr>
        <w:t xml:space="preserve"> case, a taxi passenger opened the door of the taxi into a passing trolley, causing damage to the trolley. </w:t>
      </w:r>
      <w:r w:rsidR="004C21BE">
        <w:rPr>
          <w:rFonts w:asciiTheme="majorHAnsi" w:eastAsia="Calibri" w:hAnsiTheme="majorHAnsi" w:cs="Calibri"/>
          <w:szCs w:val="22"/>
          <w:lang w:val="en-US"/>
        </w:rPr>
        <w:t>When the trolley operator's insurer sought to obtain information on the identity of the passenger from the police, the police refused to provide such information on data protection grounds. On this set of facts, the CJEU held "</w:t>
      </w:r>
      <w:r w:rsidR="004C21BE" w:rsidRPr="004C21BE">
        <w:rPr>
          <w:rFonts w:asciiTheme="majorHAnsi" w:eastAsia="Calibri" w:hAnsiTheme="majorHAnsi" w:cs="Calibri"/>
          <w:i/>
          <w:szCs w:val="22"/>
        </w:rPr>
        <w:t>there is no doubt that the interest of a third party in obtaining the personal information of a person who damaged their property in order to sue that person for damages can be qualified as a legitimate interest</w:t>
      </w:r>
      <w:r w:rsidR="004C21BE">
        <w:rPr>
          <w:rFonts w:asciiTheme="majorHAnsi" w:eastAsia="Calibri" w:hAnsiTheme="majorHAnsi" w:cs="Calibri"/>
          <w:szCs w:val="22"/>
        </w:rPr>
        <w:t>".</w:t>
      </w:r>
      <w:r w:rsidR="004C21BE">
        <w:rPr>
          <w:rFonts w:asciiTheme="majorHAnsi" w:eastAsia="Calibri" w:hAnsiTheme="majorHAnsi" w:cs="Calibri"/>
          <w:szCs w:val="22"/>
          <w:lang w:val="en-US"/>
        </w:rPr>
        <w:t xml:space="preserve">  </w:t>
      </w:r>
    </w:p>
    <w:p w14:paraId="4E4EE768" w14:textId="77777777" w:rsidR="004C21BE" w:rsidRDefault="004C21BE" w:rsidP="004C21BE">
      <w:pPr>
        <w:pStyle w:val="ListParagraph"/>
        <w:widowControl w:val="0"/>
        <w:autoSpaceDE w:val="0"/>
        <w:autoSpaceDN w:val="0"/>
        <w:adjustRightInd w:val="0"/>
        <w:spacing w:after="0"/>
        <w:ind w:left="1224"/>
        <w:rPr>
          <w:rFonts w:asciiTheme="majorHAnsi" w:eastAsia="Calibri" w:hAnsiTheme="majorHAnsi" w:cs="Calibri"/>
          <w:szCs w:val="22"/>
          <w:lang w:val="en-US"/>
        </w:rPr>
      </w:pPr>
    </w:p>
    <w:p w14:paraId="455DA72F" w14:textId="35957ADA" w:rsidR="000A6372" w:rsidRPr="000A6372" w:rsidRDefault="004C21BE" w:rsidP="000A6372">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Similarly, in the </w:t>
      </w:r>
      <w:r>
        <w:rPr>
          <w:rFonts w:asciiTheme="majorHAnsi" w:eastAsia="Calibri" w:hAnsiTheme="majorHAnsi" w:cs="Calibri"/>
          <w:i/>
          <w:szCs w:val="22"/>
          <w:lang w:val="en-US"/>
        </w:rPr>
        <w:t xml:space="preserve">Manni </w:t>
      </w:r>
      <w:r>
        <w:rPr>
          <w:rFonts w:asciiTheme="majorHAnsi" w:eastAsia="Calibri" w:hAnsiTheme="majorHAnsi" w:cs="Calibri"/>
          <w:szCs w:val="22"/>
          <w:lang w:val="en-US"/>
        </w:rPr>
        <w:t xml:space="preserve">case, the CJEU </w:t>
      </w:r>
      <w:r w:rsidR="000A6372">
        <w:rPr>
          <w:rFonts w:asciiTheme="majorHAnsi" w:eastAsia="Calibri" w:hAnsiTheme="majorHAnsi" w:cs="Calibri"/>
          <w:szCs w:val="22"/>
          <w:lang w:val="en-US"/>
        </w:rPr>
        <w:t xml:space="preserve">held that the Chamber of Commerce could publish of a register of individuals that had declared bankruptcy in pursuit of the legitimate interests of third-parties who may be affected by doing business with such individuals. This case demonstrates that not only do rights holders have </w:t>
      </w:r>
      <w:r w:rsidR="00BF0FF4">
        <w:rPr>
          <w:rFonts w:asciiTheme="majorHAnsi" w:eastAsia="Calibri" w:hAnsiTheme="majorHAnsi" w:cs="Calibri"/>
          <w:szCs w:val="22"/>
          <w:lang w:val="en-US"/>
        </w:rPr>
        <w:t>legitimate</w:t>
      </w:r>
      <w:r w:rsidR="000A6372">
        <w:rPr>
          <w:rFonts w:asciiTheme="majorHAnsi" w:eastAsia="Calibri" w:hAnsiTheme="majorHAnsi" w:cs="Calibri"/>
          <w:szCs w:val="22"/>
          <w:lang w:val="en-US"/>
        </w:rPr>
        <w:t xml:space="preserve"> interests, but the </w:t>
      </w:r>
      <w:r w:rsidR="00BF0FF4">
        <w:rPr>
          <w:rFonts w:asciiTheme="majorHAnsi" w:eastAsia="Calibri" w:hAnsiTheme="majorHAnsi" w:cs="Calibri"/>
          <w:szCs w:val="22"/>
          <w:lang w:val="en-US"/>
        </w:rPr>
        <w:t xml:space="preserve">more </w:t>
      </w:r>
      <w:r w:rsidR="000A6372">
        <w:rPr>
          <w:rFonts w:asciiTheme="majorHAnsi" w:eastAsia="Calibri" w:hAnsiTheme="majorHAnsi" w:cs="Calibri"/>
          <w:szCs w:val="22"/>
          <w:lang w:val="en-US"/>
        </w:rPr>
        <w:t>prospective interest in allowing others to assess risk would also constitute a legitimate interest.</w:t>
      </w:r>
    </w:p>
    <w:p w14:paraId="170E1A63" w14:textId="77777777" w:rsidR="004C21BE" w:rsidRPr="004C21BE" w:rsidRDefault="004C21BE" w:rsidP="004C21BE">
      <w:pPr>
        <w:pStyle w:val="ListParagraph"/>
        <w:rPr>
          <w:rFonts w:asciiTheme="majorHAnsi" w:eastAsia="Calibri" w:hAnsiTheme="majorHAnsi" w:cs="Calibri"/>
          <w:szCs w:val="22"/>
          <w:lang w:val="en-US"/>
        </w:rPr>
      </w:pPr>
    </w:p>
    <w:p w14:paraId="601169A0" w14:textId="289ACF5A" w:rsidR="004C21BE" w:rsidRDefault="000A6372" w:rsidP="00182DF4">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In our view, "</w:t>
      </w:r>
      <w:r>
        <w:rPr>
          <w:rFonts w:asciiTheme="majorHAnsi" w:eastAsia="Calibri" w:hAnsiTheme="majorHAnsi" w:cs="Calibri"/>
          <w:i/>
          <w:szCs w:val="22"/>
          <w:lang w:val="en-US"/>
        </w:rPr>
        <w:t>necessity</w:t>
      </w:r>
      <w:r>
        <w:rPr>
          <w:rFonts w:asciiTheme="majorHAnsi" w:eastAsia="Calibri" w:hAnsiTheme="majorHAnsi" w:cs="Calibri"/>
          <w:szCs w:val="22"/>
          <w:lang w:val="en-US"/>
        </w:rPr>
        <w:t>" does not require a demonstration that there are no other less intrusive means of achieving the result</w:t>
      </w:r>
      <w:r w:rsidR="00B759E0">
        <w:rPr>
          <w:rFonts w:asciiTheme="majorHAnsi" w:eastAsia="Calibri" w:hAnsiTheme="majorHAnsi" w:cs="Calibri"/>
          <w:szCs w:val="22"/>
          <w:lang w:val="en-US"/>
        </w:rPr>
        <w:t>.</w:t>
      </w:r>
      <w:r w:rsidR="00B759E0">
        <w:rPr>
          <w:rStyle w:val="FootnoteReference"/>
          <w:rFonts w:asciiTheme="majorHAnsi" w:eastAsia="Calibri" w:hAnsiTheme="majorHAnsi" w:cs="Calibri"/>
          <w:szCs w:val="22"/>
          <w:lang w:val="en-US"/>
        </w:rPr>
        <w:footnoteReference w:id="5"/>
      </w:r>
      <w:r>
        <w:rPr>
          <w:rFonts w:asciiTheme="majorHAnsi" w:eastAsia="Calibri" w:hAnsiTheme="majorHAnsi" w:cs="Calibri"/>
          <w:szCs w:val="22"/>
          <w:lang w:val="en-US"/>
        </w:rPr>
        <w:t xml:space="preserve"> </w:t>
      </w:r>
      <w:r w:rsidR="00B759E0">
        <w:rPr>
          <w:rFonts w:asciiTheme="majorHAnsi" w:eastAsia="Calibri" w:hAnsiTheme="majorHAnsi" w:cs="Calibri"/>
          <w:szCs w:val="22"/>
          <w:lang w:val="en-US"/>
        </w:rPr>
        <w:t xml:space="preserve">However, the relevant parties would nonetheless need to show that publishing the "city" field is proportionate. In effect, and consistent with CJEU practice, the analysis of necessity is </w:t>
      </w:r>
      <w:r w:rsidR="00666822">
        <w:rPr>
          <w:rFonts w:asciiTheme="majorHAnsi" w:eastAsia="Calibri" w:hAnsiTheme="majorHAnsi" w:cs="Calibri"/>
          <w:szCs w:val="22"/>
          <w:lang w:val="en-US"/>
        </w:rPr>
        <w:t>often combined with t</w:t>
      </w:r>
      <w:r w:rsidR="00B759E0">
        <w:rPr>
          <w:rFonts w:asciiTheme="majorHAnsi" w:eastAsia="Calibri" w:hAnsiTheme="majorHAnsi" w:cs="Calibri"/>
          <w:szCs w:val="22"/>
          <w:lang w:val="en-US"/>
        </w:rPr>
        <w:t>he balancing test</w:t>
      </w:r>
      <w:r w:rsidR="00666822">
        <w:rPr>
          <w:rFonts w:asciiTheme="majorHAnsi" w:eastAsia="Calibri" w:hAnsiTheme="majorHAnsi" w:cs="Calibri"/>
          <w:szCs w:val="22"/>
          <w:lang w:val="en-US"/>
        </w:rPr>
        <w:t xml:space="preserve"> below</w:t>
      </w:r>
      <w:r w:rsidR="00B759E0">
        <w:rPr>
          <w:rFonts w:asciiTheme="majorHAnsi" w:eastAsia="Calibri" w:hAnsiTheme="majorHAnsi" w:cs="Calibri"/>
          <w:szCs w:val="22"/>
          <w:lang w:val="en-US"/>
        </w:rPr>
        <w:t>.</w:t>
      </w:r>
    </w:p>
    <w:p w14:paraId="480477F0" w14:textId="77777777" w:rsidR="00B759E0" w:rsidRDefault="00B759E0" w:rsidP="00B759E0">
      <w:pPr>
        <w:pStyle w:val="ListParagraph"/>
        <w:widowControl w:val="0"/>
        <w:autoSpaceDE w:val="0"/>
        <w:autoSpaceDN w:val="0"/>
        <w:adjustRightInd w:val="0"/>
        <w:spacing w:after="0"/>
        <w:ind w:left="792"/>
        <w:rPr>
          <w:rFonts w:asciiTheme="majorHAnsi" w:eastAsia="Calibri" w:hAnsiTheme="majorHAnsi" w:cs="Calibri"/>
          <w:szCs w:val="22"/>
          <w:lang w:val="en-US"/>
        </w:rPr>
      </w:pPr>
    </w:p>
    <w:p w14:paraId="51F84402" w14:textId="72409645" w:rsidR="00B759E0" w:rsidRDefault="00B759E0" w:rsidP="00B759E0">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We understand that the policy development process is, in essence, an attempt to analyse these issues and propose a solution for achieving the appropriate balance based on input from a wide array of stakeholders.</w:t>
      </w:r>
    </w:p>
    <w:p w14:paraId="34B6636C" w14:textId="77777777" w:rsidR="00B759E0" w:rsidRPr="00B759E0" w:rsidRDefault="00B759E0" w:rsidP="00B759E0">
      <w:pPr>
        <w:pStyle w:val="ListParagraph"/>
        <w:rPr>
          <w:rFonts w:asciiTheme="majorHAnsi" w:eastAsia="Calibri" w:hAnsiTheme="majorHAnsi" w:cs="Calibri"/>
          <w:szCs w:val="22"/>
          <w:lang w:val="en-US"/>
        </w:rPr>
      </w:pPr>
    </w:p>
    <w:p w14:paraId="7E401172" w14:textId="77777777" w:rsidR="00BF0FF4" w:rsidRDefault="00B759E0" w:rsidP="00666822">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When conducting this assessment, a key issue for ICANN and the relevant parties to con</w:t>
      </w:r>
      <w:r w:rsidR="00666822">
        <w:rPr>
          <w:rFonts w:asciiTheme="majorHAnsi" w:eastAsia="Calibri" w:hAnsiTheme="majorHAnsi" w:cs="Calibri"/>
          <w:szCs w:val="22"/>
          <w:lang w:val="en-US"/>
        </w:rPr>
        <w:t xml:space="preserve">sider is to what extent the publication of the "city" field results in a </w:t>
      </w:r>
      <w:r w:rsidR="00157E93">
        <w:rPr>
          <w:rFonts w:asciiTheme="majorHAnsi" w:eastAsia="Calibri" w:hAnsiTheme="majorHAnsi" w:cs="Calibri"/>
          <w:szCs w:val="22"/>
          <w:lang w:val="en-US"/>
        </w:rPr>
        <w:t xml:space="preserve">significant </w:t>
      </w:r>
      <w:r w:rsidR="00666822">
        <w:rPr>
          <w:rFonts w:asciiTheme="majorHAnsi" w:eastAsia="Calibri" w:hAnsiTheme="majorHAnsi" w:cs="Calibri"/>
          <w:szCs w:val="22"/>
          <w:lang w:val="en-US"/>
        </w:rPr>
        <w:t xml:space="preserve">benefit for rights holders. </w:t>
      </w:r>
      <w:r w:rsidR="00666822" w:rsidRPr="00666822">
        <w:rPr>
          <w:rFonts w:asciiTheme="majorHAnsi" w:eastAsia="Calibri" w:hAnsiTheme="majorHAnsi" w:cs="Calibri"/>
          <w:szCs w:val="22"/>
          <w:lang w:val="en-US"/>
        </w:rPr>
        <w:t xml:space="preserve">From </w:t>
      </w:r>
      <w:r w:rsidR="003512EE">
        <w:rPr>
          <w:rFonts w:asciiTheme="majorHAnsi" w:eastAsia="Calibri" w:hAnsiTheme="majorHAnsi" w:cs="Calibri"/>
          <w:szCs w:val="22"/>
          <w:lang w:val="en-US"/>
        </w:rPr>
        <w:t xml:space="preserve">our </w:t>
      </w:r>
      <w:r w:rsidR="00666822" w:rsidRPr="00666822">
        <w:rPr>
          <w:rFonts w:asciiTheme="majorHAnsi" w:eastAsia="Calibri" w:hAnsiTheme="majorHAnsi" w:cs="Calibri"/>
          <w:szCs w:val="22"/>
          <w:lang w:val="en-US"/>
        </w:rPr>
        <w:t>preliminary analysis, it seems that the benefits may be marginal in the EU</w:t>
      </w:r>
      <w:r w:rsidR="00666822">
        <w:rPr>
          <w:rFonts w:asciiTheme="majorHAnsi" w:eastAsia="Calibri" w:hAnsiTheme="majorHAnsi" w:cs="Calibri"/>
          <w:szCs w:val="22"/>
          <w:lang w:val="en-US"/>
        </w:rPr>
        <w:t xml:space="preserve">, as IP rights tend to be national rather than local. </w:t>
      </w:r>
      <w:r w:rsidR="00BF0FF4">
        <w:rPr>
          <w:rFonts w:asciiTheme="majorHAnsi" w:eastAsia="Calibri" w:hAnsiTheme="majorHAnsi" w:cs="Calibri"/>
          <w:szCs w:val="22"/>
          <w:lang w:val="en-US"/>
        </w:rPr>
        <w:t>It seems that o</w:t>
      </w:r>
      <w:r w:rsidR="00666822">
        <w:rPr>
          <w:rFonts w:asciiTheme="majorHAnsi" w:eastAsia="Calibri" w:hAnsiTheme="majorHAnsi" w:cs="Calibri"/>
          <w:szCs w:val="22"/>
          <w:lang w:val="en-US"/>
        </w:rPr>
        <w:t xml:space="preserve">nly in limited situations, </w:t>
      </w:r>
      <w:r w:rsidR="00BF0FF4">
        <w:rPr>
          <w:rFonts w:asciiTheme="majorHAnsi" w:eastAsia="Calibri" w:hAnsiTheme="majorHAnsi" w:cs="Calibri"/>
          <w:szCs w:val="22"/>
          <w:lang w:val="en-US"/>
        </w:rPr>
        <w:t xml:space="preserve">such as </w:t>
      </w:r>
      <w:r w:rsidR="00666822">
        <w:rPr>
          <w:rFonts w:asciiTheme="majorHAnsi" w:eastAsia="Calibri" w:hAnsiTheme="majorHAnsi" w:cs="Calibri"/>
          <w:szCs w:val="22"/>
          <w:lang w:val="en-US"/>
        </w:rPr>
        <w:t>where the rights holder is asserting a claim of passing off</w:t>
      </w:r>
      <w:r w:rsidR="00BF0FF4">
        <w:rPr>
          <w:rFonts w:asciiTheme="majorHAnsi" w:eastAsia="Calibri" w:hAnsiTheme="majorHAnsi" w:cs="Calibri"/>
          <w:szCs w:val="22"/>
          <w:lang w:val="en-US"/>
        </w:rPr>
        <w:t>,</w:t>
      </w:r>
      <w:r w:rsidR="00666822">
        <w:rPr>
          <w:rFonts w:asciiTheme="majorHAnsi" w:eastAsia="Calibri" w:hAnsiTheme="majorHAnsi" w:cs="Calibri"/>
          <w:szCs w:val="22"/>
          <w:lang w:val="en-US"/>
        </w:rPr>
        <w:t xml:space="preserve"> could the fact that a domain was registered in a specific city be relevant to the claim. </w:t>
      </w:r>
      <w:r w:rsidR="003512EE">
        <w:rPr>
          <w:rFonts w:asciiTheme="majorHAnsi" w:eastAsia="Calibri" w:hAnsiTheme="majorHAnsi" w:cs="Calibri"/>
          <w:szCs w:val="22"/>
          <w:lang w:val="en-US"/>
        </w:rPr>
        <w:t xml:space="preserve">In these situations, the fact that a domain was registered locally will usually not be a determining factor, but would be useful information. </w:t>
      </w:r>
    </w:p>
    <w:p w14:paraId="08C270DF" w14:textId="77777777" w:rsidR="00BF0FF4" w:rsidRPr="00BF0FF4" w:rsidRDefault="00BF0FF4" w:rsidP="00BF0FF4">
      <w:pPr>
        <w:pStyle w:val="ListParagraph"/>
        <w:rPr>
          <w:rFonts w:asciiTheme="majorHAnsi" w:eastAsia="Calibri" w:hAnsiTheme="majorHAnsi" w:cs="Calibri"/>
          <w:szCs w:val="22"/>
          <w:lang w:val="en-US"/>
        </w:rPr>
      </w:pPr>
    </w:p>
    <w:p w14:paraId="29B73A66" w14:textId="11B9D62E" w:rsidR="00666822" w:rsidRDefault="003512EE" w:rsidP="00666822">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W</w:t>
      </w:r>
      <w:r w:rsidR="00157E93">
        <w:rPr>
          <w:rFonts w:asciiTheme="majorHAnsi" w:eastAsia="Calibri" w:hAnsiTheme="majorHAnsi" w:cs="Calibri"/>
          <w:szCs w:val="22"/>
          <w:lang w:val="en-US"/>
        </w:rPr>
        <w:t>e understand from discussion in the EPDP</w:t>
      </w:r>
      <w:r w:rsidR="00BF0FF4">
        <w:rPr>
          <w:rFonts w:asciiTheme="majorHAnsi" w:eastAsia="Calibri" w:hAnsiTheme="majorHAnsi" w:cs="Calibri"/>
          <w:szCs w:val="22"/>
          <w:lang w:val="en-US"/>
        </w:rPr>
        <w:t xml:space="preserve"> Team</w:t>
      </w:r>
      <w:r w:rsidR="00157E93">
        <w:rPr>
          <w:rFonts w:asciiTheme="majorHAnsi" w:eastAsia="Calibri" w:hAnsiTheme="majorHAnsi" w:cs="Calibri"/>
          <w:szCs w:val="22"/>
          <w:lang w:val="en-US"/>
        </w:rPr>
        <w:t xml:space="preserve"> meetings that</w:t>
      </w:r>
      <w:r>
        <w:rPr>
          <w:rFonts w:asciiTheme="majorHAnsi" w:eastAsia="Calibri" w:hAnsiTheme="majorHAnsi" w:cs="Calibri"/>
          <w:szCs w:val="22"/>
          <w:lang w:val="en-US"/>
        </w:rPr>
        <w:t xml:space="preserve"> the precise location of registration may be more relevant in other jurisdictions (such as the US)</w:t>
      </w:r>
      <w:r w:rsidR="00157E93">
        <w:rPr>
          <w:rFonts w:asciiTheme="majorHAnsi" w:eastAsia="Calibri" w:hAnsiTheme="majorHAnsi" w:cs="Calibri"/>
          <w:szCs w:val="22"/>
          <w:lang w:val="en-US"/>
        </w:rPr>
        <w:t xml:space="preserve">. This preliminary analysis suggests that this data will be relevant for some registered name holders only – whereas </w:t>
      </w:r>
      <w:r w:rsidR="003E3248">
        <w:rPr>
          <w:rFonts w:asciiTheme="majorHAnsi" w:eastAsia="Calibri" w:hAnsiTheme="majorHAnsi" w:cs="Calibri"/>
          <w:szCs w:val="22"/>
          <w:lang w:val="en-US"/>
        </w:rPr>
        <w:t xml:space="preserve">the change in policy would result in the "city" field being published </w:t>
      </w:r>
      <w:r w:rsidR="00BF0FF4">
        <w:rPr>
          <w:rFonts w:asciiTheme="majorHAnsi" w:eastAsia="Calibri" w:hAnsiTheme="majorHAnsi" w:cs="Calibri"/>
          <w:szCs w:val="22"/>
          <w:lang w:val="en-US"/>
        </w:rPr>
        <w:t>universally, with the result that the "city" field could be published</w:t>
      </w:r>
      <w:r w:rsidR="003E3248">
        <w:rPr>
          <w:rFonts w:asciiTheme="majorHAnsi" w:eastAsia="Calibri" w:hAnsiTheme="majorHAnsi" w:cs="Calibri"/>
          <w:szCs w:val="22"/>
          <w:lang w:val="en-US"/>
        </w:rPr>
        <w:t xml:space="preserve"> in situations where </w:t>
      </w:r>
      <w:r w:rsidR="00BF0FF4">
        <w:rPr>
          <w:rFonts w:asciiTheme="majorHAnsi" w:eastAsia="Calibri" w:hAnsiTheme="majorHAnsi" w:cs="Calibri"/>
          <w:szCs w:val="22"/>
          <w:lang w:val="en-US"/>
        </w:rPr>
        <w:t>it is</w:t>
      </w:r>
      <w:r w:rsidR="003E3248">
        <w:rPr>
          <w:rFonts w:asciiTheme="majorHAnsi" w:eastAsia="Calibri" w:hAnsiTheme="majorHAnsi" w:cs="Calibri"/>
          <w:szCs w:val="22"/>
          <w:lang w:val="en-US"/>
        </w:rPr>
        <w:t xml:space="preserve"> very unlikely to deliver any benefit. </w:t>
      </w:r>
      <w:r w:rsidR="00157E93">
        <w:rPr>
          <w:rFonts w:asciiTheme="majorHAnsi" w:eastAsia="Calibri" w:hAnsiTheme="majorHAnsi" w:cs="Calibri"/>
          <w:szCs w:val="22"/>
          <w:lang w:val="en-US"/>
        </w:rPr>
        <w:t xml:space="preserve"> </w:t>
      </w:r>
      <w:r w:rsidR="003E3248">
        <w:rPr>
          <w:rFonts w:asciiTheme="majorHAnsi" w:eastAsia="Calibri" w:hAnsiTheme="majorHAnsi" w:cs="Calibri"/>
          <w:szCs w:val="22"/>
          <w:lang w:val="en-US"/>
        </w:rPr>
        <w:t>T</w:t>
      </w:r>
      <w:r>
        <w:rPr>
          <w:rFonts w:asciiTheme="majorHAnsi" w:eastAsia="Calibri" w:hAnsiTheme="majorHAnsi" w:cs="Calibri"/>
          <w:szCs w:val="22"/>
          <w:lang w:val="en-US"/>
        </w:rPr>
        <w:t xml:space="preserve">he relevant </w:t>
      </w:r>
      <w:r w:rsidR="006A12C2">
        <w:rPr>
          <w:rFonts w:asciiTheme="majorHAnsi" w:eastAsia="Calibri" w:hAnsiTheme="majorHAnsi" w:cs="Calibri"/>
          <w:szCs w:val="22"/>
          <w:lang w:val="en-US"/>
        </w:rPr>
        <w:t>parties</w:t>
      </w:r>
      <w:r w:rsidR="003E3248">
        <w:rPr>
          <w:rFonts w:asciiTheme="majorHAnsi" w:eastAsia="Calibri" w:hAnsiTheme="majorHAnsi" w:cs="Calibri"/>
          <w:szCs w:val="22"/>
          <w:lang w:val="en-US"/>
        </w:rPr>
        <w:t xml:space="preserve"> would</w:t>
      </w:r>
      <w:r>
        <w:rPr>
          <w:rFonts w:asciiTheme="majorHAnsi" w:eastAsia="Calibri" w:hAnsiTheme="majorHAnsi" w:cs="Calibri"/>
          <w:szCs w:val="22"/>
          <w:lang w:val="en-US"/>
        </w:rPr>
        <w:t xml:space="preserve"> need to do more to demonstrate the benefit of publishing the "city" field.</w:t>
      </w:r>
    </w:p>
    <w:p w14:paraId="78934461" w14:textId="77777777" w:rsidR="003512EE" w:rsidRPr="003512EE" w:rsidRDefault="003512EE" w:rsidP="003512EE">
      <w:pPr>
        <w:pStyle w:val="ListParagraph"/>
        <w:rPr>
          <w:rFonts w:asciiTheme="majorHAnsi" w:eastAsia="Calibri" w:hAnsiTheme="majorHAnsi" w:cs="Calibri"/>
          <w:szCs w:val="22"/>
          <w:lang w:val="en-US"/>
        </w:rPr>
      </w:pPr>
    </w:p>
    <w:p w14:paraId="7B7753A3" w14:textId="5EAD820F" w:rsidR="003512EE" w:rsidRDefault="003512EE" w:rsidP="00666822">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 xml:space="preserve">Against these benefits, the relevant parties must consider the risks of publication to the rights and interests of the data subjects. </w:t>
      </w:r>
      <w:r w:rsidR="003E3248">
        <w:rPr>
          <w:rFonts w:asciiTheme="majorHAnsi" w:eastAsia="Calibri" w:hAnsiTheme="majorHAnsi" w:cs="Calibri"/>
          <w:szCs w:val="22"/>
          <w:lang w:val="en-US"/>
        </w:rPr>
        <w:t>P</w:t>
      </w:r>
      <w:r w:rsidR="00962DC3">
        <w:rPr>
          <w:rFonts w:asciiTheme="majorHAnsi" w:eastAsia="Calibri" w:hAnsiTheme="majorHAnsi" w:cs="Calibri"/>
          <w:szCs w:val="22"/>
          <w:lang w:val="en-US"/>
        </w:rPr>
        <w:t>ublishing the "city" field could adversely impact some RNHs.</w:t>
      </w:r>
    </w:p>
    <w:p w14:paraId="78C3242A" w14:textId="77777777" w:rsidR="00962DC3" w:rsidRPr="00962DC3" w:rsidRDefault="00962DC3" w:rsidP="00962DC3">
      <w:pPr>
        <w:pStyle w:val="ListParagraph"/>
        <w:rPr>
          <w:rFonts w:asciiTheme="majorHAnsi" w:eastAsia="Calibri" w:hAnsiTheme="majorHAnsi" w:cs="Calibri"/>
          <w:szCs w:val="22"/>
          <w:lang w:val="en-US"/>
        </w:rPr>
      </w:pPr>
    </w:p>
    <w:p w14:paraId="009A66E1" w14:textId="416372C2" w:rsidR="00962DC3" w:rsidRDefault="00962DC3" w:rsidP="00962DC3">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Pr>
          <w:rFonts w:asciiTheme="majorHAnsi" w:eastAsia="Calibri" w:hAnsiTheme="majorHAnsi" w:cs="Calibri"/>
          <w:szCs w:val="22"/>
          <w:lang w:val="en-US"/>
        </w:rPr>
        <w:t>First, the express purpose of this policy would be to allow rights holders to more efficiently determine when to pursue a claim. Therefore, presumably this means that publishing the city field could result in some RNHs facing claims they would not otherwise face because of th</w:t>
      </w:r>
      <w:r w:rsidR="003E3248">
        <w:rPr>
          <w:rFonts w:asciiTheme="majorHAnsi" w:eastAsia="Calibri" w:hAnsiTheme="majorHAnsi" w:cs="Calibri"/>
          <w:szCs w:val="22"/>
          <w:lang w:val="en-US"/>
        </w:rPr>
        <w:t>e</w:t>
      </w:r>
      <w:r>
        <w:rPr>
          <w:rFonts w:asciiTheme="majorHAnsi" w:eastAsia="Calibri" w:hAnsiTheme="majorHAnsi" w:cs="Calibri"/>
          <w:szCs w:val="22"/>
          <w:lang w:val="en-US"/>
        </w:rPr>
        <w:t xml:space="preserve"> additional step</w:t>
      </w:r>
      <w:r w:rsidR="003E3248">
        <w:rPr>
          <w:rFonts w:asciiTheme="majorHAnsi" w:eastAsia="Calibri" w:hAnsiTheme="majorHAnsi" w:cs="Calibri"/>
          <w:szCs w:val="22"/>
          <w:lang w:val="en-US"/>
        </w:rPr>
        <w:t xml:space="preserve"> in needing to obtain further information about their location</w:t>
      </w:r>
      <w:r>
        <w:rPr>
          <w:rFonts w:asciiTheme="majorHAnsi" w:eastAsia="Calibri" w:hAnsiTheme="majorHAnsi" w:cs="Calibri"/>
          <w:szCs w:val="22"/>
          <w:lang w:val="en-US"/>
        </w:rPr>
        <w:t>.</w:t>
      </w:r>
    </w:p>
    <w:p w14:paraId="2A3F918B" w14:textId="77777777" w:rsidR="00962DC3" w:rsidRDefault="00962DC3" w:rsidP="00962DC3">
      <w:pPr>
        <w:pStyle w:val="ListParagraph"/>
        <w:widowControl w:val="0"/>
        <w:autoSpaceDE w:val="0"/>
        <w:autoSpaceDN w:val="0"/>
        <w:adjustRightInd w:val="0"/>
        <w:spacing w:after="0"/>
        <w:ind w:left="1224"/>
        <w:rPr>
          <w:rFonts w:asciiTheme="majorHAnsi" w:eastAsia="Calibri" w:hAnsiTheme="majorHAnsi" w:cs="Calibri"/>
          <w:szCs w:val="22"/>
          <w:lang w:val="en-US"/>
        </w:rPr>
      </w:pPr>
    </w:p>
    <w:p w14:paraId="63BF3CC3" w14:textId="570F6B17" w:rsidR="00962DC3" w:rsidRPr="00F81AE4" w:rsidRDefault="00962DC3" w:rsidP="00962DC3">
      <w:pPr>
        <w:pStyle w:val="ListParagraph"/>
        <w:widowControl w:val="0"/>
        <w:autoSpaceDE w:val="0"/>
        <w:autoSpaceDN w:val="0"/>
        <w:adjustRightInd w:val="0"/>
        <w:spacing w:after="0"/>
        <w:ind w:left="1224"/>
        <w:rPr>
          <w:rFonts w:asciiTheme="majorHAnsi" w:eastAsia="Calibri" w:hAnsiTheme="majorHAnsi" w:cs="Calibri"/>
          <w:szCs w:val="22"/>
          <w:lang w:val="en-US"/>
        </w:rPr>
      </w:pPr>
      <w:r>
        <w:rPr>
          <w:rFonts w:asciiTheme="majorHAnsi" w:eastAsia="Calibri" w:hAnsiTheme="majorHAnsi" w:cs="Calibri"/>
          <w:szCs w:val="22"/>
          <w:lang w:val="en-US"/>
        </w:rPr>
        <w:t xml:space="preserve">If the relevant parties can demonstrate </w:t>
      </w:r>
      <w:r w:rsidR="003E3248">
        <w:rPr>
          <w:rFonts w:asciiTheme="majorHAnsi" w:eastAsia="Calibri" w:hAnsiTheme="majorHAnsi" w:cs="Calibri"/>
          <w:szCs w:val="22"/>
          <w:lang w:val="en-US"/>
        </w:rPr>
        <w:t xml:space="preserve">sufficient </w:t>
      </w:r>
      <w:r>
        <w:rPr>
          <w:rFonts w:asciiTheme="majorHAnsi" w:eastAsia="Calibri" w:hAnsiTheme="majorHAnsi" w:cs="Calibri"/>
          <w:szCs w:val="22"/>
          <w:lang w:val="en-US"/>
        </w:rPr>
        <w:t xml:space="preserve">benefits of publication, this additional risk to RNHs is unlikely to preclude ICANN from adopting this policy. </w:t>
      </w:r>
      <w:r w:rsidR="00F81AE4">
        <w:rPr>
          <w:rFonts w:asciiTheme="majorHAnsi" w:eastAsia="Calibri" w:hAnsiTheme="majorHAnsi" w:cs="Calibri"/>
          <w:szCs w:val="22"/>
          <w:lang w:val="en-US"/>
        </w:rPr>
        <w:t xml:space="preserve">As the </w:t>
      </w:r>
      <w:r w:rsidR="00F81AE4">
        <w:rPr>
          <w:rFonts w:asciiTheme="majorHAnsi" w:eastAsia="Calibri" w:hAnsiTheme="majorHAnsi" w:cs="Calibri"/>
          <w:i/>
          <w:szCs w:val="22"/>
          <w:lang w:val="en-US"/>
        </w:rPr>
        <w:t>Manni</w:t>
      </w:r>
      <w:r w:rsidR="00F81AE4">
        <w:rPr>
          <w:rFonts w:asciiTheme="majorHAnsi" w:eastAsia="Calibri" w:hAnsiTheme="majorHAnsi" w:cs="Calibri"/>
          <w:szCs w:val="22"/>
          <w:lang w:val="en-US"/>
        </w:rPr>
        <w:t xml:space="preserve"> case demonstrate</w:t>
      </w:r>
      <w:r w:rsidR="003E3248">
        <w:rPr>
          <w:rFonts w:asciiTheme="majorHAnsi" w:eastAsia="Calibri" w:hAnsiTheme="majorHAnsi" w:cs="Calibri"/>
          <w:szCs w:val="22"/>
          <w:lang w:val="en-US"/>
        </w:rPr>
        <w:t>s</w:t>
      </w:r>
      <w:r w:rsidR="00F81AE4">
        <w:rPr>
          <w:rFonts w:asciiTheme="majorHAnsi" w:eastAsia="Calibri" w:hAnsiTheme="majorHAnsi" w:cs="Calibri"/>
          <w:szCs w:val="22"/>
          <w:lang w:val="en-US"/>
        </w:rPr>
        <w:t>, the CJEU is prepared to recognise a legitimate interest in allowing other parties to protect their rights, even if that requires disclosure of personal data to a broader set of parties than those who have present claims to pursue.</w:t>
      </w:r>
    </w:p>
    <w:p w14:paraId="702DDB36" w14:textId="77777777" w:rsidR="00962DC3" w:rsidRDefault="00962DC3" w:rsidP="00962DC3">
      <w:pPr>
        <w:pStyle w:val="ListParagraph"/>
        <w:widowControl w:val="0"/>
        <w:autoSpaceDE w:val="0"/>
        <w:autoSpaceDN w:val="0"/>
        <w:adjustRightInd w:val="0"/>
        <w:spacing w:after="0"/>
        <w:ind w:left="1224"/>
        <w:rPr>
          <w:rFonts w:asciiTheme="majorHAnsi" w:eastAsia="Calibri" w:hAnsiTheme="majorHAnsi" w:cs="Calibri"/>
          <w:szCs w:val="22"/>
          <w:lang w:val="en-US"/>
        </w:rPr>
      </w:pPr>
    </w:p>
    <w:p w14:paraId="59DBD926" w14:textId="215A627A" w:rsidR="00962DC3" w:rsidRPr="003E3248" w:rsidRDefault="00F81AE4" w:rsidP="00EE4E6B">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sidRPr="003E3248">
        <w:rPr>
          <w:rFonts w:asciiTheme="majorHAnsi" w:eastAsia="Calibri" w:hAnsiTheme="majorHAnsi" w:cs="Calibri"/>
          <w:szCs w:val="22"/>
          <w:lang w:val="en-US"/>
        </w:rPr>
        <w:t xml:space="preserve">Second, </w:t>
      </w:r>
      <w:r w:rsidR="003E3248" w:rsidRPr="003E3248">
        <w:rPr>
          <w:rFonts w:asciiTheme="majorHAnsi" w:eastAsia="Calibri" w:hAnsiTheme="majorHAnsi" w:cs="Calibri"/>
          <w:szCs w:val="22"/>
          <w:lang w:val="en-US"/>
        </w:rPr>
        <w:t xml:space="preserve">it seems to us that </w:t>
      </w:r>
      <w:r w:rsidRPr="003E3248">
        <w:rPr>
          <w:rFonts w:asciiTheme="majorHAnsi" w:eastAsia="Calibri" w:hAnsiTheme="majorHAnsi" w:cs="Calibri"/>
          <w:szCs w:val="22"/>
          <w:lang w:val="en-US"/>
        </w:rPr>
        <w:t>the disclosure could have risks for RNHs beyond merely the threat of claims from rights holders.</w:t>
      </w:r>
      <w:r w:rsidR="00EE4E6B" w:rsidRPr="003E3248">
        <w:rPr>
          <w:rFonts w:asciiTheme="majorHAnsi" w:eastAsia="Calibri" w:hAnsiTheme="majorHAnsi" w:cs="Calibri"/>
          <w:szCs w:val="22"/>
          <w:lang w:val="en-US"/>
        </w:rPr>
        <w:t xml:space="preserve"> I</w:t>
      </w:r>
      <w:r w:rsidRPr="003E3248">
        <w:rPr>
          <w:rFonts w:asciiTheme="majorHAnsi" w:eastAsia="Calibri" w:hAnsiTheme="majorHAnsi" w:cs="Calibri"/>
          <w:szCs w:val="22"/>
          <w:lang w:val="en-US"/>
        </w:rPr>
        <w:t xml:space="preserve">n limited circumstances, it may be the case that the publication of an RNH's city could result in a unique threat to the RNH. </w:t>
      </w:r>
      <w:r w:rsidR="003E3248" w:rsidRPr="003E3248">
        <w:rPr>
          <w:rFonts w:asciiTheme="majorHAnsi" w:eastAsia="Calibri" w:hAnsiTheme="majorHAnsi" w:cs="Calibri"/>
          <w:szCs w:val="22"/>
          <w:lang w:val="en-US"/>
        </w:rPr>
        <w:t xml:space="preserve"> </w:t>
      </w:r>
      <w:r w:rsidR="003E3248">
        <w:rPr>
          <w:rFonts w:asciiTheme="majorHAnsi" w:eastAsia="Calibri" w:hAnsiTheme="majorHAnsi" w:cs="Calibri"/>
          <w:szCs w:val="22"/>
          <w:lang w:val="en-US"/>
        </w:rPr>
        <w:t xml:space="preserve"> </w:t>
      </w:r>
      <w:r w:rsidR="00EE4E6B" w:rsidRPr="003E3248">
        <w:rPr>
          <w:rFonts w:asciiTheme="majorHAnsi" w:eastAsia="Calibri" w:hAnsiTheme="majorHAnsi" w:cs="Calibri"/>
          <w:szCs w:val="22"/>
          <w:lang w:val="en-US"/>
        </w:rPr>
        <w:t>For example, c</w:t>
      </w:r>
      <w:r w:rsidRPr="003E3248">
        <w:rPr>
          <w:rFonts w:asciiTheme="majorHAnsi" w:eastAsia="Calibri" w:hAnsiTheme="majorHAnsi" w:cs="Calibri"/>
          <w:szCs w:val="22"/>
          <w:lang w:val="en-US"/>
        </w:rPr>
        <w:t xml:space="preserve">onsider a blog that publishes </w:t>
      </w:r>
      <w:r w:rsidR="00EE4E6B" w:rsidRPr="003E3248">
        <w:rPr>
          <w:rFonts w:asciiTheme="majorHAnsi" w:eastAsia="Calibri" w:hAnsiTheme="majorHAnsi" w:cs="Calibri"/>
          <w:szCs w:val="22"/>
          <w:lang w:val="en-US"/>
        </w:rPr>
        <w:t xml:space="preserve">content deemed to be illegal or offensive in a particular jurisdiction – such as a blog discussing the writer's sexuality in a place where this is illegal or considered immoral, or discussing a political views that are a threat to the orthodoxy. It </w:t>
      </w:r>
      <w:r w:rsidR="00EE4E6B" w:rsidRPr="003E3248">
        <w:rPr>
          <w:rFonts w:asciiTheme="majorHAnsi" w:eastAsia="Calibri" w:hAnsiTheme="majorHAnsi" w:cs="Calibri"/>
          <w:i/>
          <w:szCs w:val="22"/>
          <w:lang w:val="en-US"/>
        </w:rPr>
        <w:t>may</w:t>
      </w:r>
      <w:r w:rsidR="00EE4E6B" w:rsidRPr="003E3248">
        <w:rPr>
          <w:rFonts w:asciiTheme="majorHAnsi" w:eastAsia="Calibri" w:hAnsiTheme="majorHAnsi" w:cs="Calibri"/>
          <w:szCs w:val="22"/>
          <w:lang w:val="en-US"/>
        </w:rPr>
        <w:t xml:space="preserve"> be the case that publishing the city where the domain is registered could increase the risks faced by the writer</w:t>
      </w:r>
      <w:r w:rsidR="003E3248">
        <w:rPr>
          <w:rFonts w:asciiTheme="majorHAnsi" w:eastAsia="Calibri" w:hAnsiTheme="majorHAnsi" w:cs="Calibri"/>
          <w:szCs w:val="22"/>
          <w:lang w:val="en-US"/>
        </w:rPr>
        <w:t xml:space="preserve"> by increasing the likelihood of identification</w:t>
      </w:r>
      <w:r w:rsidR="00EE4E6B" w:rsidRPr="003E3248">
        <w:rPr>
          <w:rFonts w:asciiTheme="majorHAnsi" w:eastAsia="Calibri" w:hAnsiTheme="majorHAnsi" w:cs="Calibri"/>
          <w:szCs w:val="22"/>
          <w:lang w:val="en-US"/>
        </w:rPr>
        <w:t xml:space="preserve">. </w:t>
      </w:r>
    </w:p>
    <w:p w14:paraId="44521982" w14:textId="77777777" w:rsidR="00EE4E6B" w:rsidRDefault="00EE4E6B" w:rsidP="00EE4E6B">
      <w:pPr>
        <w:pStyle w:val="ListParagraph"/>
        <w:widowControl w:val="0"/>
        <w:autoSpaceDE w:val="0"/>
        <w:autoSpaceDN w:val="0"/>
        <w:adjustRightInd w:val="0"/>
        <w:spacing w:after="0"/>
        <w:ind w:left="1224"/>
        <w:rPr>
          <w:rFonts w:asciiTheme="majorHAnsi" w:eastAsia="Calibri" w:hAnsiTheme="majorHAnsi" w:cs="Calibri"/>
          <w:szCs w:val="22"/>
          <w:lang w:val="en-US"/>
        </w:rPr>
      </w:pPr>
    </w:p>
    <w:p w14:paraId="29FE8D84" w14:textId="62CBDFCC" w:rsidR="00384318" w:rsidRDefault="00A92A7C" w:rsidP="00EE4E6B">
      <w:pPr>
        <w:pStyle w:val="ListParagraph"/>
        <w:widowControl w:val="0"/>
        <w:autoSpaceDE w:val="0"/>
        <w:autoSpaceDN w:val="0"/>
        <w:adjustRightInd w:val="0"/>
        <w:spacing w:after="0"/>
        <w:ind w:left="1224"/>
        <w:rPr>
          <w:rFonts w:asciiTheme="majorHAnsi" w:eastAsia="Calibri" w:hAnsiTheme="majorHAnsi" w:cs="Calibri"/>
          <w:szCs w:val="22"/>
          <w:lang w:val="en-US"/>
        </w:rPr>
      </w:pPr>
      <w:r>
        <w:rPr>
          <w:rFonts w:asciiTheme="majorHAnsi" w:eastAsia="Calibri" w:hAnsiTheme="majorHAnsi" w:cs="Calibri"/>
          <w:szCs w:val="22"/>
          <w:lang w:val="en-US"/>
        </w:rPr>
        <w:t>We do not have enough information about the likelihood that this</w:t>
      </w:r>
      <w:r w:rsidR="006A12C2">
        <w:rPr>
          <w:rFonts w:asciiTheme="majorHAnsi" w:eastAsia="Calibri" w:hAnsiTheme="majorHAnsi" w:cs="Calibri"/>
          <w:szCs w:val="22"/>
          <w:lang w:val="en-US"/>
        </w:rPr>
        <w:t xml:space="preserve"> could occur</w:t>
      </w:r>
      <w:r>
        <w:rPr>
          <w:rFonts w:asciiTheme="majorHAnsi" w:eastAsia="Calibri" w:hAnsiTheme="majorHAnsi" w:cs="Calibri"/>
          <w:szCs w:val="22"/>
          <w:lang w:val="en-US"/>
        </w:rPr>
        <w:t xml:space="preserve"> to be able to conclude that this would prohibit publication of the "city" field. However, it is a factor which should be considered by the EPDP</w:t>
      </w:r>
      <w:r w:rsidR="000A02A3">
        <w:rPr>
          <w:rFonts w:asciiTheme="majorHAnsi" w:eastAsia="Calibri" w:hAnsiTheme="majorHAnsi" w:cs="Calibri"/>
          <w:szCs w:val="22"/>
          <w:lang w:val="en-US"/>
        </w:rPr>
        <w:t xml:space="preserve"> Team. As Whois data was published in a clearly identifiable form for many years, the relevant parties may have a</w:t>
      </w:r>
      <w:r w:rsidR="006A12C2">
        <w:rPr>
          <w:rFonts w:asciiTheme="majorHAnsi" w:eastAsia="Calibri" w:hAnsiTheme="majorHAnsi" w:cs="Calibri"/>
          <w:szCs w:val="22"/>
          <w:lang w:val="en-US"/>
        </w:rPr>
        <w:t xml:space="preserve"> better understanding of</w:t>
      </w:r>
      <w:r w:rsidR="000A02A3">
        <w:rPr>
          <w:rFonts w:asciiTheme="majorHAnsi" w:eastAsia="Calibri" w:hAnsiTheme="majorHAnsi" w:cs="Calibri"/>
          <w:szCs w:val="22"/>
          <w:lang w:val="en-US"/>
        </w:rPr>
        <w:t xml:space="preserve"> whether the types of consequences described above actually do materialize.</w:t>
      </w:r>
      <w:r>
        <w:rPr>
          <w:rFonts w:asciiTheme="majorHAnsi" w:eastAsia="Calibri" w:hAnsiTheme="majorHAnsi" w:cs="Calibri"/>
          <w:szCs w:val="22"/>
          <w:lang w:val="en-US"/>
        </w:rPr>
        <w:t xml:space="preserve"> </w:t>
      </w:r>
    </w:p>
    <w:p w14:paraId="24553BDE" w14:textId="77777777" w:rsidR="00092870" w:rsidRDefault="00092870" w:rsidP="00092870">
      <w:pPr>
        <w:widowControl w:val="0"/>
        <w:autoSpaceDE w:val="0"/>
        <w:autoSpaceDN w:val="0"/>
        <w:adjustRightInd w:val="0"/>
        <w:spacing w:after="0"/>
        <w:rPr>
          <w:rFonts w:asciiTheme="majorHAnsi" w:eastAsia="Calibri" w:hAnsiTheme="majorHAnsi" w:cs="Calibri"/>
          <w:szCs w:val="22"/>
          <w:lang w:val="en-US"/>
        </w:rPr>
      </w:pPr>
    </w:p>
    <w:p w14:paraId="673FCE46" w14:textId="42558654" w:rsidR="00092870" w:rsidRPr="00092870" w:rsidRDefault="00092870" w:rsidP="00092870">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sidRPr="00092870">
        <w:rPr>
          <w:rFonts w:asciiTheme="majorHAnsi" w:eastAsia="Calibri" w:hAnsiTheme="majorHAnsi" w:cs="Calibri"/>
          <w:szCs w:val="22"/>
          <w:lang w:val="en-US"/>
        </w:rPr>
        <w:t xml:space="preserve">Taking all the above into consideration, </w:t>
      </w:r>
      <w:r w:rsidR="00866E18">
        <w:rPr>
          <w:rFonts w:asciiTheme="majorHAnsi" w:eastAsia="Calibri" w:hAnsiTheme="majorHAnsi" w:cs="Calibri"/>
          <w:szCs w:val="22"/>
          <w:lang w:val="en-US"/>
        </w:rPr>
        <w:t xml:space="preserve">the </w:t>
      </w:r>
      <w:r w:rsidRPr="00092870">
        <w:rPr>
          <w:rFonts w:asciiTheme="majorHAnsi" w:eastAsia="Calibri" w:hAnsiTheme="majorHAnsi" w:cs="Calibri"/>
          <w:szCs w:val="22"/>
          <w:lang w:val="en-US"/>
        </w:rPr>
        <w:t xml:space="preserve">relevant parties may be able to satisfy the legitimate interests test for the publication of the "city" field. However, this is not clear to us from the information available so far. In particular: </w:t>
      </w:r>
    </w:p>
    <w:p w14:paraId="15D9300B" w14:textId="77777777" w:rsidR="00092870" w:rsidRPr="00092870" w:rsidRDefault="00092870" w:rsidP="00092870">
      <w:pPr>
        <w:pStyle w:val="ListParagraph"/>
        <w:widowControl w:val="0"/>
        <w:autoSpaceDE w:val="0"/>
        <w:autoSpaceDN w:val="0"/>
        <w:adjustRightInd w:val="0"/>
        <w:spacing w:after="0"/>
        <w:ind w:left="792"/>
        <w:rPr>
          <w:rFonts w:asciiTheme="majorHAnsi" w:eastAsia="Calibri" w:hAnsiTheme="majorHAnsi" w:cs="Calibri"/>
          <w:szCs w:val="22"/>
          <w:lang w:val="en-US"/>
        </w:rPr>
      </w:pPr>
    </w:p>
    <w:p w14:paraId="37B5CA62" w14:textId="77777777" w:rsidR="00092870" w:rsidRDefault="00092870" w:rsidP="00092870">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sidRPr="00092870">
        <w:rPr>
          <w:rFonts w:asciiTheme="majorHAnsi" w:eastAsia="Calibri" w:hAnsiTheme="majorHAnsi" w:cs="Calibri"/>
          <w:szCs w:val="22"/>
          <w:lang w:val="en-US"/>
        </w:rPr>
        <w:t>further information will be required to show that the benefits to rights holders are sufficiently meaningful as to justify universal publication of city field, rather than being of use in very limited cases; and</w:t>
      </w:r>
    </w:p>
    <w:p w14:paraId="31CE3CB1" w14:textId="77777777" w:rsidR="00092870" w:rsidRDefault="00092870" w:rsidP="00092870">
      <w:pPr>
        <w:pStyle w:val="ListParagraph"/>
        <w:widowControl w:val="0"/>
        <w:autoSpaceDE w:val="0"/>
        <w:autoSpaceDN w:val="0"/>
        <w:adjustRightInd w:val="0"/>
        <w:spacing w:after="0"/>
        <w:ind w:left="1224"/>
        <w:rPr>
          <w:rFonts w:asciiTheme="majorHAnsi" w:eastAsia="Calibri" w:hAnsiTheme="majorHAnsi" w:cs="Calibri"/>
          <w:szCs w:val="22"/>
          <w:lang w:val="en-US"/>
        </w:rPr>
      </w:pPr>
    </w:p>
    <w:p w14:paraId="636D5701" w14:textId="660F0999" w:rsidR="00092870" w:rsidRDefault="00092870" w:rsidP="00092870">
      <w:pPr>
        <w:pStyle w:val="ListParagraph"/>
        <w:widowControl w:val="0"/>
        <w:numPr>
          <w:ilvl w:val="2"/>
          <w:numId w:val="7"/>
        </w:numPr>
        <w:autoSpaceDE w:val="0"/>
        <w:autoSpaceDN w:val="0"/>
        <w:adjustRightInd w:val="0"/>
        <w:spacing w:after="0"/>
        <w:rPr>
          <w:rFonts w:asciiTheme="majorHAnsi" w:eastAsia="Calibri" w:hAnsiTheme="majorHAnsi" w:cs="Calibri"/>
          <w:szCs w:val="22"/>
          <w:lang w:val="en-US"/>
        </w:rPr>
      </w:pPr>
      <w:r w:rsidRPr="00092870">
        <w:rPr>
          <w:rFonts w:asciiTheme="majorHAnsi" w:eastAsia="Calibri" w:hAnsiTheme="majorHAnsi" w:cs="Calibri"/>
          <w:szCs w:val="22"/>
          <w:lang w:val="en-US"/>
        </w:rPr>
        <w:t xml:space="preserve">more information on the potential impact on the rights and interests of data subjects is needed. </w:t>
      </w:r>
    </w:p>
    <w:p w14:paraId="4D3548AF" w14:textId="77777777" w:rsidR="00092870" w:rsidRPr="00092870" w:rsidRDefault="00092870" w:rsidP="00092870">
      <w:pPr>
        <w:widowControl w:val="0"/>
        <w:autoSpaceDE w:val="0"/>
        <w:autoSpaceDN w:val="0"/>
        <w:adjustRightInd w:val="0"/>
        <w:spacing w:after="0"/>
        <w:rPr>
          <w:rFonts w:asciiTheme="majorHAnsi" w:eastAsia="Calibri" w:hAnsiTheme="majorHAnsi" w:cs="Calibri"/>
          <w:szCs w:val="22"/>
          <w:lang w:val="en-US"/>
        </w:rPr>
      </w:pPr>
    </w:p>
    <w:p w14:paraId="103827B0" w14:textId="77777777" w:rsidR="00092870" w:rsidRDefault="00092870" w:rsidP="00092870">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sidRPr="00092870">
        <w:rPr>
          <w:rFonts w:asciiTheme="majorHAnsi" w:eastAsia="Calibri" w:hAnsiTheme="majorHAnsi" w:cs="Calibri"/>
          <w:szCs w:val="22"/>
          <w:lang w:val="en-US"/>
        </w:rPr>
        <w:t xml:space="preserve">The relevant parties would then need to conduct a detailed assessment of the facts and circumstances to determine whether the interests pursued outweigh those of data subjects. </w:t>
      </w:r>
    </w:p>
    <w:p w14:paraId="39F0D4B5" w14:textId="77777777" w:rsidR="00092870" w:rsidRPr="00092870" w:rsidRDefault="00092870" w:rsidP="00092870">
      <w:pPr>
        <w:widowControl w:val="0"/>
        <w:autoSpaceDE w:val="0"/>
        <w:autoSpaceDN w:val="0"/>
        <w:adjustRightInd w:val="0"/>
        <w:spacing w:after="0"/>
        <w:ind w:left="360"/>
        <w:rPr>
          <w:rFonts w:asciiTheme="majorHAnsi" w:eastAsia="Calibri" w:hAnsiTheme="majorHAnsi" w:cs="Calibri"/>
          <w:szCs w:val="22"/>
          <w:lang w:val="en-US"/>
        </w:rPr>
      </w:pPr>
    </w:p>
    <w:p w14:paraId="261DFEF4" w14:textId="6F3F1A32" w:rsidR="00092870" w:rsidRPr="00092870" w:rsidRDefault="00092870" w:rsidP="00866E18">
      <w:pPr>
        <w:pStyle w:val="ListParagraph"/>
        <w:widowControl w:val="0"/>
        <w:numPr>
          <w:ilvl w:val="1"/>
          <w:numId w:val="7"/>
        </w:numPr>
        <w:autoSpaceDE w:val="0"/>
        <w:autoSpaceDN w:val="0"/>
        <w:adjustRightInd w:val="0"/>
        <w:spacing w:after="0"/>
        <w:rPr>
          <w:rFonts w:asciiTheme="majorHAnsi" w:eastAsia="Calibri" w:hAnsiTheme="majorHAnsi" w:cs="Calibri"/>
          <w:szCs w:val="22"/>
          <w:lang w:val="en-US"/>
        </w:rPr>
      </w:pPr>
      <w:r w:rsidRPr="00866E18">
        <w:rPr>
          <w:rFonts w:asciiTheme="majorHAnsi" w:eastAsia="Calibri" w:hAnsiTheme="majorHAnsi" w:cs="Calibri"/>
          <w:szCs w:val="22"/>
        </w:rPr>
        <w:t xml:space="preserve">It may be that further analysis will conclude that there is justification. Our survey of similar practices among other top-level domain systems reveals that practices across the European Union are mixed. For example, the database of .eu domains does what the EPDP Team has proposed, by the "city" field, but not providing the full address or name of the RNH. By contrast, databases of UK and German country code domains do not provide the "city" field, while France and Belgium provide full address details (and even the name) of the RNH. Given the range of practices, it may be that others were able to satisfy themselves that the balance of interests favoured the rights holders or that there were other interests at stake we have not considered here. </w:t>
      </w:r>
    </w:p>
    <w:sectPr w:rsidR="00092870" w:rsidRPr="00092870" w:rsidSect="00384318">
      <w:headerReference w:type="even" r:id="rId9"/>
      <w:headerReference w:type="default" r:id="rId10"/>
      <w:footerReference w:type="even" r:id="rId11"/>
      <w:footerReference w:type="default" r:id="rId12"/>
      <w:headerReference w:type="first" r:id="rId13"/>
      <w:footerReference w:type="first" r:id="rId14"/>
      <w:pgSz w:w="11906" w:h="16838" w:code="9"/>
      <w:pgMar w:top="1843" w:right="1418" w:bottom="1701" w:left="1418" w:header="567" w:footer="42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B599EE" w16cid:durableId="2005A57D"/>
  <w16cid:commentId w16cid:paraId="05251F1B" w16cid:durableId="20059ABF"/>
  <w16cid:commentId w16cid:paraId="57BFB3D1" w16cid:durableId="20059B38"/>
  <w16cid:commentId w16cid:paraId="2C2029BA" w16cid:durableId="20059B52"/>
  <w16cid:commentId w16cid:paraId="6B0281F2" w16cid:durableId="20059C91"/>
  <w16cid:commentId w16cid:paraId="14D742FC" w16cid:durableId="20059D5C"/>
  <w16cid:commentId w16cid:paraId="5BE2A1DA" w16cid:durableId="20059DDC"/>
  <w16cid:commentId w16cid:paraId="079A94B6" w16cid:durableId="20059EE0"/>
  <w16cid:commentId w16cid:paraId="014C1F01" w16cid:durableId="2005A00C"/>
  <w16cid:commentId w16cid:paraId="689FE4A3" w16cid:durableId="2005A1A7"/>
  <w16cid:commentId w16cid:paraId="09167554" w16cid:durableId="2005A0CD"/>
  <w16cid:commentId w16cid:paraId="456961D8" w16cid:durableId="2005A454"/>
  <w16cid:commentId w16cid:paraId="72545081" w16cid:durableId="2005A496"/>
  <w16cid:commentId w16cid:paraId="2211BCD6" w16cid:durableId="200599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8180E" w14:textId="77777777" w:rsidR="005D2A06" w:rsidRDefault="005D2A06" w:rsidP="00F13581">
      <w:pPr>
        <w:spacing w:after="0"/>
      </w:pPr>
      <w:r>
        <w:separator/>
      </w:r>
    </w:p>
  </w:endnote>
  <w:endnote w:type="continuationSeparator" w:id="0">
    <w:p w14:paraId="429E2B7C" w14:textId="77777777" w:rsidR="005D2A06" w:rsidRDefault="005D2A06" w:rsidP="00F135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4141D" w14:textId="77777777" w:rsidR="005101B0" w:rsidRDefault="00510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ACDAF" w14:textId="77777777" w:rsidR="00F028D1" w:rsidRDefault="00F028D1" w:rsidP="00E27172">
    <w:pPr>
      <w:pStyle w:val="Footer"/>
      <w:spacing w:after="120"/>
      <w:rPr>
        <w:noProof/>
      </w:rPr>
    </w:pPr>
    <w:r>
      <w:fldChar w:fldCharType="begin"/>
    </w:r>
    <w:r>
      <w:instrText xml:space="preserve"> PAGE   \* MERGEFORMAT</w:instrText>
    </w:r>
    <w:r>
      <w:fldChar w:fldCharType="separate"/>
    </w:r>
    <w:r w:rsidR="00084634">
      <w:rPr>
        <w:noProof/>
      </w:rPr>
      <w:t>2</w:t>
    </w:r>
    <w:r>
      <w:rPr>
        <w:noProof/>
      </w:rPr>
      <w:fldChar w:fldCharType="end"/>
    </w:r>
  </w:p>
  <w:p w14:paraId="48A17077" w14:textId="39550CB1" w:rsidR="00364763" w:rsidRPr="00E27172" w:rsidRDefault="00364763" w:rsidP="00E27172">
    <w:pPr>
      <w:pStyle w:val="Footer"/>
      <w:spacing w:after="12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153A7" w14:textId="77777777" w:rsidR="00433155" w:rsidRDefault="00176258" w:rsidP="00E27172">
    <w:pPr>
      <w:pStyle w:val="Footer"/>
      <w:spacing w:after="120"/>
    </w:pPr>
    <w:bookmarkStart w:id="13" w:name="bmkFooterLogo"/>
    <w:r>
      <w:rPr>
        <w:noProof/>
        <w:lang w:eastAsia="en-GB"/>
      </w:rPr>
      <w:drawing>
        <wp:inline distT="0" distB="0" distL="0" distR="0" wp14:anchorId="024E09AE" wp14:editId="06D614FB">
          <wp:extent cx="5759450" cy="71247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59450" cy="712470"/>
                  </a:xfrm>
                  <a:prstGeom prst="rect">
                    <a:avLst/>
                  </a:prstGeom>
                </pic:spPr>
              </pic:pic>
            </a:graphicData>
          </a:graphic>
        </wp:inline>
      </w:drawing>
    </w:r>
    <w:bookmarkEnd w:id="13"/>
  </w:p>
  <w:p w14:paraId="7FE31A63" w14:textId="77777777" w:rsidR="00DD28ED" w:rsidRPr="00E27172" w:rsidRDefault="00D2479F" w:rsidP="00E27172">
    <w:pPr>
      <w:pStyle w:val="Footer"/>
      <w:spacing w:after="120"/>
      <w:jc w:val="right"/>
      <w:rPr>
        <w:sz w:val="16"/>
      </w:rPr>
    </w:pPr>
    <w:r>
      <w:rPr>
        <w:sz w:val="16"/>
      </w:rPr>
      <w:t>Matters\45269922.1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E25D1" w14:textId="77777777" w:rsidR="005D2A06" w:rsidRDefault="005D2A06" w:rsidP="00F13581">
      <w:pPr>
        <w:spacing w:after="0"/>
      </w:pPr>
      <w:r>
        <w:separator/>
      </w:r>
    </w:p>
  </w:footnote>
  <w:footnote w:type="continuationSeparator" w:id="0">
    <w:p w14:paraId="2B7F5635" w14:textId="77777777" w:rsidR="005D2A06" w:rsidRDefault="005D2A06" w:rsidP="00F13581">
      <w:pPr>
        <w:spacing w:after="0"/>
      </w:pPr>
      <w:r>
        <w:continuationSeparator/>
      </w:r>
    </w:p>
  </w:footnote>
  <w:footnote w:id="1">
    <w:p w14:paraId="3DF7DD5C" w14:textId="35F3C3BC" w:rsidR="00004D4E" w:rsidRDefault="00004D4E">
      <w:pPr>
        <w:pStyle w:val="FootnoteText"/>
      </w:pPr>
      <w:r>
        <w:rPr>
          <w:rStyle w:val="FootnoteReference"/>
        </w:rPr>
        <w:footnoteRef/>
      </w:r>
      <w:r>
        <w:t xml:space="preserve"> The Data Protection Directive defined personal data as "</w:t>
      </w:r>
      <w:r w:rsidRPr="00004D4E">
        <w:rPr>
          <w:i/>
        </w:rPr>
        <w:t>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r>
        <w:t>".</w:t>
      </w:r>
    </w:p>
  </w:footnote>
  <w:footnote w:id="2">
    <w:p w14:paraId="4B0D655E" w14:textId="4E943767" w:rsidR="00821289" w:rsidRPr="00821289" w:rsidRDefault="00821289">
      <w:pPr>
        <w:pStyle w:val="FootnoteText"/>
      </w:pPr>
      <w:r>
        <w:rPr>
          <w:rStyle w:val="FootnoteReference"/>
        </w:rPr>
        <w:footnoteRef/>
      </w:r>
      <w:r>
        <w:t xml:space="preserve"> </w:t>
      </w:r>
      <w:r>
        <w:rPr>
          <w:i/>
        </w:rPr>
        <w:t>See</w:t>
      </w:r>
      <w:r>
        <w:t xml:space="preserve"> </w:t>
      </w:r>
      <w:r w:rsidRPr="00821289">
        <w:t>Article 29 Working Party Guidelines on transparency under Regulation 2016/679</w:t>
      </w:r>
      <w:r>
        <w:t xml:space="preserve"> (WP260 rev.01).</w:t>
      </w:r>
    </w:p>
  </w:footnote>
  <w:footnote w:id="3">
    <w:p w14:paraId="6CB4C941" w14:textId="76C48C70" w:rsidR="005B2611" w:rsidRDefault="005B2611">
      <w:pPr>
        <w:pStyle w:val="FootnoteText"/>
      </w:pPr>
      <w:r>
        <w:rPr>
          <w:rStyle w:val="FootnoteReference"/>
        </w:rPr>
        <w:footnoteRef/>
      </w:r>
      <w:r>
        <w:t xml:space="preserve"> </w:t>
      </w:r>
      <w:r w:rsidRPr="00040D57">
        <w:rPr>
          <w:rFonts w:eastAsia="Calibri" w:cs="Calibri"/>
          <w:szCs w:val="22"/>
        </w:rPr>
        <w:t>Silver &amp; Others v United Kingdom of 25 March 1983</w:t>
      </w:r>
      <w:r>
        <w:rPr>
          <w:rFonts w:eastAsia="Calibri" w:cs="Calibri"/>
          <w:szCs w:val="22"/>
        </w:rPr>
        <w:t>.</w:t>
      </w:r>
    </w:p>
  </w:footnote>
  <w:footnote w:id="4">
    <w:p w14:paraId="05FFE0EC" w14:textId="5219ADE5" w:rsidR="00BA64B2" w:rsidRDefault="00BA64B2">
      <w:pPr>
        <w:pStyle w:val="FootnoteText"/>
      </w:pPr>
      <w:r>
        <w:rPr>
          <w:rStyle w:val="FootnoteReference"/>
        </w:rPr>
        <w:footnoteRef/>
      </w:r>
      <w:r>
        <w:t xml:space="preserve"> </w:t>
      </w:r>
      <w:r w:rsidRPr="00BA64B2">
        <w:rPr>
          <w:rFonts w:eastAsia="Calibri" w:cs="Calibri"/>
          <w:szCs w:val="22"/>
        </w:rPr>
        <w:t>[2013] UKSC 55</w:t>
      </w:r>
      <w:r>
        <w:rPr>
          <w:rFonts w:eastAsia="Calibri" w:cs="Calibri"/>
          <w:szCs w:val="22"/>
        </w:rPr>
        <w:t>.</w:t>
      </w:r>
    </w:p>
  </w:footnote>
  <w:footnote w:id="5">
    <w:p w14:paraId="5095F2BE" w14:textId="1FD89A32" w:rsidR="00B759E0" w:rsidRDefault="00B759E0">
      <w:pPr>
        <w:pStyle w:val="FootnoteText"/>
      </w:pPr>
      <w:r>
        <w:rPr>
          <w:rStyle w:val="FootnoteReference"/>
        </w:rPr>
        <w:footnoteRef/>
      </w:r>
      <w:r>
        <w:t xml:space="preserve"> S</w:t>
      </w:r>
      <w:r>
        <w:rPr>
          <w:rFonts w:eastAsia="Calibri" w:cs="Calibri"/>
          <w:szCs w:val="22"/>
          <w:lang w:val="en-US"/>
        </w:rPr>
        <w:t xml:space="preserve">uch a strict interpretation might preclude the publication of the "city" field on this basis since rights holders likely could access the "city" field, even if not published, when they sought to </w:t>
      </w:r>
      <w:r w:rsidR="00157E93">
        <w:rPr>
          <w:rFonts w:eastAsia="Calibri" w:cs="Calibri"/>
          <w:szCs w:val="22"/>
          <w:lang w:val="en-US"/>
        </w:rPr>
        <w:t xml:space="preserve">pursue </w:t>
      </w:r>
      <w:r>
        <w:rPr>
          <w:rFonts w:eastAsia="Calibri" w:cs="Calibri"/>
          <w:szCs w:val="22"/>
          <w:lang w:val="en-US"/>
        </w:rPr>
        <w:t>legitimate claims.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289E3" w14:textId="77777777" w:rsidR="005101B0" w:rsidRDefault="005101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F028D1" w14:paraId="38424B55" w14:textId="77777777" w:rsidTr="00225B04">
      <w:tc>
        <w:tcPr>
          <w:tcW w:w="9286" w:type="dxa"/>
        </w:tcPr>
        <w:p w14:paraId="7B599F54" w14:textId="77777777" w:rsidR="00F028D1" w:rsidRDefault="00176258" w:rsidP="00176258">
          <w:pPr>
            <w:pStyle w:val="Header"/>
          </w:pPr>
          <w:bookmarkStart w:id="10" w:name="bmkLogo1"/>
          <w:r>
            <w:rPr>
              <w:noProof/>
              <w:lang w:eastAsia="en-GB"/>
            </w:rPr>
            <w:drawing>
              <wp:inline distT="0" distB="0" distL="0" distR="0" wp14:anchorId="29082E00" wp14:editId="39D978E9">
                <wp:extent cx="1505715" cy="265177"/>
                <wp:effectExtent l="0" t="0" r="0" b="190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0"/>
        </w:p>
      </w:tc>
    </w:tr>
  </w:tbl>
  <w:p w14:paraId="6250D26B" w14:textId="77777777" w:rsidR="00F13581" w:rsidRPr="00F028D1" w:rsidRDefault="00F13581" w:rsidP="00F028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07" w:type="dxa"/>
      <w:tblInd w:w="-851" w:type="dxa"/>
      <w:tblLook w:val="04A0" w:firstRow="1" w:lastRow="0" w:firstColumn="1" w:lastColumn="0" w:noHBand="0" w:noVBand="1"/>
    </w:tblPr>
    <w:tblGrid>
      <w:gridCol w:w="8614"/>
      <w:gridCol w:w="2693"/>
    </w:tblGrid>
    <w:tr w:rsidR="005513B1" w14:paraId="759CCA99" w14:textId="77777777" w:rsidTr="00894459">
      <w:tc>
        <w:tcPr>
          <w:tcW w:w="8614" w:type="dxa"/>
        </w:tcPr>
        <w:p w14:paraId="49D3C4E2" w14:textId="77777777" w:rsidR="005513B1" w:rsidRPr="008F63DB" w:rsidRDefault="00176258" w:rsidP="00894459">
          <w:pPr>
            <w:pStyle w:val="Header"/>
            <w:tabs>
              <w:tab w:val="clear" w:pos="4513"/>
              <w:tab w:val="clear" w:pos="9026"/>
            </w:tabs>
            <w:ind w:right="-3335"/>
          </w:pPr>
          <w:bookmarkStart w:id="11" w:name="bmkLogo"/>
          <w:r>
            <w:rPr>
              <w:noProof/>
              <w:lang w:eastAsia="en-GB"/>
            </w:rPr>
            <w:drawing>
              <wp:inline distT="0" distB="0" distL="0" distR="0" wp14:anchorId="67006459" wp14:editId="1516A524">
                <wp:extent cx="1505715" cy="265177"/>
                <wp:effectExtent l="0" t="0" r="0" b="1905"/>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05715" cy="265177"/>
                        </a:xfrm>
                        <a:prstGeom prst="rect">
                          <a:avLst/>
                        </a:prstGeom>
                      </pic:spPr>
                    </pic:pic>
                  </a:graphicData>
                </a:graphic>
              </wp:inline>
            </w:drawing>
          </w:r>
          <w:bookmarkEnd w:id="11"/>
          <w:r w:rsidR="005513B1">
            <w:rPr>
              <w:noProof/>
              <w:lang w:eastAsia="en-GB"/>
            </w:rPr>
            <mc:AlternateContent>
              <mc:Choice Requires="wps">
                <w:drawing>
                  <wp:anchor distT="0" distB="0" distL="114300" distR="114300" simplePos="0" relativeHeight="251659264" behindDoc="1" locked="0" layoutInCell="1" allowOverlap="1" wp14:anchorId="20CA24C1" wp14:editId="05F0CF51">
                    <wp:simplePos x="0" y="0"/>
                    <wp:positionH relativeFrom="column">
                      <wp:posOffset>5393055</wp:posOffset>
                    </wp:positionH>
                    <wp:positionV relativeFrom="paragraph">
                      <wp:posOffset>-17145</wp:posOffset>
                    </wp:positionV>
                    <wp:extent cx="1707515" cy="5438775"/>
                    <wp:effectExtent l="0" t="0" r="698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5438775"/>
                            </a:xfrm>
                            <a:prstGeom prst="rect">
                              <a:avLst/>
                            </a:prstGeom>
                            <a:solidFill>
                              <a:srgbClr val="FFFFFF"/>
                            </a:solidFill>
                            <a:ln w="9525">
                              <a:noFill/>
                              <a:miter lim="800000"/>
                              <a:headEnd/>
                              <a:tailEnd/>
                            </a:ln>
                          </wps:spPr>
                          <wps:txbx>
                            <w:txbxContent>
                              <w:p w14:paraId="5DEFA093" w14:textId="77777777" w:rsidR="005513B1" w:rsidRDefault="00176258" w:rsidP="005513B1">
                                <w:bookmarkStart w:id="12" w:name="bmkOfficeAddress"/>
                                <w:r>
                                  <w:rPr>
                                    <w:noProof/>
                                    <w:lang w:eastAsia="en-GB"/>
                                  </w:rPr>
                                  <w:drawing>
                                    <wp:inline distT="0" distB="0" distL="0" distR="0" wp14:anchorId="08571664" wp14:editId="1002ABDC">
                                      <wp:extent cx="1515745" cy="1264285"/>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15745" cy="1264285"/>
                                              </a:xfrm>
                                              <a:prstGeom prst="rect">
                                                <a:avLst/>
                                              </a:prstGeom>
                                            </pic:spPr>
                                          </pic:pic>
                                        </a:graphicData>
                                      </a:graphic>
                                    </wp:inline>
                                  </w:drawing>
                                </w:r>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65pt;margin-top:-1.35pt;width:134.45pt;height:4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" stroked="f">
                    <v:textbox>
                      <w:txbxContent>
                        <w:p w14:paraId="5DEFA093" w14:textId="77777777" w:rsidR="005513B1" w:rsidRDefault="00176258" w:rsidP="005513B1">
                          <w:bookmarkStart w:id="13" w:name="bmkOfficeAddress"/>
                          <w:r>
                            <w:rPr>
                              <w:noProof/>
                              <w:lang w:eastAsia="en-GB"/>
                            </w:rPr>
                            <w:drawing>
                              <wp:inline distT="0" distB="0" distL="0" distR="0" wp14:anchorId="08571664" wp14:editId="1002ABDC">
                                <wp:extent cx="1515745" cy="1264285"/>
                                <wp:effectExtent l="0" t="0" r="8255"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515745" cy="1264285"/>
                                        </a:xfrm>
                                        <a:prstGeom prst="rect">
                                          <a:avLst/>
                                        </a:prstGeom>
                                      </pic:spPr>
                                    </pic:pic>
                                  </a:graphicData>
                                </a:graphic>
                              </wp:inline>
                            </w:drawing>
                          </w:r>
                          <w:bookmarkEnd w:id="13"/>
                        </w:p>
                      </w:txbxContent>
                    </v:textbox>
                  </v:shape>
                </w:pict>
              </mc:Fallback>
            </mc:AlternateContent>
          </w:r>
        </w:p>
      </w:tc>
      <w:tc>
        <w:tcPr>
          <w:tcW w:w="2693" w:type="dxa"/>
        </w:tcPr>
        <w:p w14:paraId="5C34EE0A" w14:textId="77777777" w:rsidR="005513B1" w:rsidRDefault="005513B1" w:rsidP="00894459">
          <w:pPr>
            <w:pStyle w:val="Header"/>
            <w:tabs>
              <w:tab w:val="clear" w:pos="4513"/>
              <w:tab w:val="clear" w:pos="9026"/>
            </w:tabs>
            <w:ind w:right="-1136"/>
          </w:pPr>
        </w:p>
      </w:tc>
    </w:tr>
  </w:tbl>
  <w:p w14:paraId="1B154F0A" w14:textId="77777777" w:rsidR="00DD28ED" w:rsidRPr="005513B1" w:rsidRDefault="00DD28ED" w:rsidP="00551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nsid w:val="04CA7B26"/>
    <w:multiLevelType w:val="hybridMultilevel"/>
    <w:tmpl w:val="A080FE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3">
    <w:nsid w:val="2FC26C16"/>
    <w:multiLevelType w:val="hybridMultilevel"/>
    <w:tmpl w:val="056426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C90A6E"/>
    <w:multiLevelType w:val="hybridMultilevel"/>
    <w:tmpl w:val="907C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6">
    <w:nsid w:val="52E858E5"/>
    <w:multiLevelType w:val="hybridMultilevel"/>
    <w:tmpl w:val="7B4CA7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85C17"/>
    <w:multiLevelType w:val="multilevel"/>
    <w:tmpl w:val="CA3E3F1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lowerRoman"/>
      <w:lvlText w:val="%4."/>
      <w:lvlJc w:val="right"/>
      <w:pPr>
        <w:ind w:left="1440" w:hanging="360"/>
      </w:pPr>
      <w:rPr>
        <w:rFonts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5"/>
  </w:num>
  <w:num w:numId="3">
    <w:abstractNumId w:val="0"/>
  </w:num>
  <w:num w:numId="4">
    <w:abstractNumId w:val="0"/>
  </w:num>
  <w:num w:numId="5">
    <w:abstractNumId w:val="2"/>
  </w:num>
  <w:num w:numId="6">
    <w:abstractNumId w:val="5"/>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3"/>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1AF"/>
    <w:rsid w:val="0000023A"/>
    <w:rsid w:val="00004D4E"/>
    <w:rsid w:val="00007C88"/>
    <w:rsid w:val="00011068"/>
    <w:rsid w:val="0001678D"/>
    <w:rsid w:val="00020F65"/>
    <w:rsid w:val="0002314C"/>
    <w:rsid w:val="00025F87"/>
    <w:rsid w:val="00027C51"/>
    <w:rsid w:val="000330AA"/>
    <w:rsid w:val="00034B47"/>
    <w:rsid w:val="00037934"/>
    <w:rsid w:val="00040D57"/>
    <w:rsid w:val="000419AD"/>
    <w:rsid w:val="00042DC9"/>
    <w:rsid w:val="000454FB"/>
    <w:rsid w:val="00046814"/>
    <w:rsid w:val="000477C1"/>
    <w:rsid w:val="000609AE"/>
    <w:rsid w:val="0006369B"/>
    <w:rsid w:val="00064C7B"/>
    <w:rsid w:val="00070B14"/>
    <w:rsid w:val="00070B1E"/>
    <w:rsid w:val="00072F39"/>
    <w:rsid w:val="00074B5C"/>
    <w:rsid w:val="000801C1"/>
    <w:rsid w:val="00084634"/>
    <w:rsid w:val="0009108C"/>
    <w:rsid w:val="00092870"/>
    <w:rsid w:val="0009714F"/>
    <w:rsid w:val="000A02A3"/>
    <w:rsid w:val="000A0CBE"/>
    <w:rsid w:val="000A488A"/>
    <w:rsid w:val="000A6372"/>
    <w:rsid w:val="000B5371"/>
    <w:rsid w:val="000B6ED8"/>
    <w:rsid w:val="000C0ADC"/>
    <w:rsid w:val="000C6717"/>
    <w:rsid w:val="000D25EF"/>
    <w:rsid w:val="000D329C"/>
    <w:rsid w:val="000D4ED2"/>
    <w:rsid w:val="000D4F62"/>
    <w:rsid w:val="000E332B"/>
    <w:rsid w:val="000E5B91"/>
    <w:rsid w:val="000E69F2"/>
    <w:rsid w:val="000F79FE"/>
    <w:rsid w:val="001064A5"/>
    <w:rsid w:val="00106D8C"/>
    <w:rsid w:val="001111BB"/>
    <w:rsid w:val="00112772"/>
    <w:rsid w:val="00112A2E"/>
    <w:rsid w:val="00113CEA"/>
    <w:rsid w:val="001178E2"/>
    <w:rsid w:val="0013053C"/>
    <w:rsid w:val="00131065"/>
    <w:rsid w:val="00132ADD"/>
    <w:rsid w:val="001451E7"/>
    <w:rsid w:val="00151BCE"/>
    <w:rsid w:val="00157025"/>
    <w:rsid w:val="00157E93"/>
    <w:rsid w:val="0016007D"/>
    <w:rsid w:val="00163E79"/>
    <w:rsid w:val="001664E6"/>
    <w:rsid w:val="00167770"/>
    <w:rsid w:val="00174E5A"/>
    <w:rsid w:val="00176258"/>
    <w:rsid w:val="00182DF4"/>
    <w:rsid w:val="00186070"/>
    <w:rsid w:val="00186923"/>
    <w:rsid w:val="00192851"/>
    <w:rsid w:val="00196F70"/>
    <w:rsid w:val="001A242F"/>
    <w:rsid w:val="001A6A99"/>
    <w:rsid w:val="001B1800"/>
    <w:rsid w:val="001B35BD"/>
    <w:rsid w:val="001C15FE"/>
    <w:rsid w:val="001C2132"/>
    <w:rsid w:val="001C2B06"/>
    <w:rsid w:val="001D1077"/>
    <w:rsid w:val="001D724C"/>
    <w:rsid w:val="001E64E3"/>
    <w:rsid w:val="001E65CD"/>
    <w:rsid w:val="001F1982"/>
    <w:rsid w:val="001F667F"/>
    <w:rsid w:val="001F6D33"/>
    <w:rsid w:val="00207DB5"/>
    <w:rsid w:val="002117CD"/>
    <w:rsid w:val="00212EDF"/>
    <w:rsid w:val="00217374"/>
    <w:rsid w:val="0022000F"/>
    <w:rsid w:val="0022218B"/>
    <w:rsid w:val="00225B04"/>
    <w:rsid w:val="00240C0F"/>
    <w:rsid w:val="00245E75"/>
    <w:rsid w:val="0025251C"/>
    <w:rsid w:val="0025545D"/>
    <w:rsid w:val="00257F08"/>
    <w:rsid w:val="0026006A"/>
    <w:rsid w:val="00260295"/>
    <w:rsid w:val="00262CF8"/>
    <w:rsid w:val="00265DBD"/>
    <w:rsid w:val="00266E11"/>
    <w:rsid w:val="00277867"/>
    <w:rsid w:val="002819C1"/>
    <w:rsid w:val="002861DF"/>
    <w:rsid w:val="002945D6"/>
    <w:rsid w:val="0029566A"/>
    <w:rsid w:val="002A7748"/>
    <w:rsid w:val="002B2A64"/>
    <w:rsid w:val="002B4C6B"/>
    <w:rsid w:val="002B6038"/>
    <w:rsid w:val="002B69EA"/>
    <w:rsid w:val="002B7CFB"/>
    <w:rsid w:val="002C3BAE"/>
    <w:rsid w:val="002C5FC5"/>
    <w:rsid w:val="002D45EF"/>
    <w:rsid w:val="002D5665"/>
    <w:rsid w:val="002D5D7F"/>
    <w:rsid w:val="002E23C5"/>
    <w:rsid w:val="0030001D"/>
    <w:rsid w:val="00302CA5"/>
    <w:rsid w:val="00311B45"/>
    <w:rsid w:val="00313C9F"/>
    <w:rsid w:val="003143EB"/>
    <w:rsid w:val="003167A5"/>
    <w:rsid w:val="0032622F"/>
    <w:rsid w:val="003279BC"/>
    <w:rsid w:val="0033392E"/>
    <w:rsid w:val="003349C8"/>
    <w:rsid w:val="0033509B"/>
    <w:rsid w:val="003512EE"/>
    <w:rsid w:val="00357333"/>
    <w:rsid w:val="003621A7"/>
    <w:rsid w:val="00364763"/>
    <w:rsid w:val="003651D2"/>
    <w:rsid w:val="00374581"/>
    <w:rsid w:val="00377D74"/>
    <w:rsid w:val="00384318"/>
    <w:rsid w:val="00393808"/>
    <w:rsid w:val="00393A3C"/>
    <w:rsid w:val="00396A7A"/>
    <w:rsid w:val="00396CF7"/>
    <w:rsid w:val="003A0280"/>
    <w:rsid w:val="003A199A"/>
    <w:rsid w:val="003B288B"/>
    <w:rsid w:val="003D451A"/>
    <w:rsid w:val="003D68A4"/>
    <w:rsid w:val="003E3248"/>
    <w:rsid w:val="00402A7D"/>
    <w:rsid w:val="004037C8"/>
    <w:rsid w:val="00403B87"/>
    <w:rsid w:val="004067A8"/>
    <w:rsid w:val="00421F0A"/>
    <w:rsid w:val="004233B8"/>
    <w:rsid w:val="004250B2"/>
    <w:rsid w:val="00426F59"/>
    <w:rsid w:val="0043207F"/>
    <w:rsid w:val="00433155"/>
    <w:rsid w:val="004345B1"/>
    <w:rsid w:val="00443E87"/>
    <w:rsid w:val="00446335"/>
    <w:rsid w:val="00447A10"/>
    <w:rsid w:val="00455985"/>
    <w:rsid w:val="00460753"/>
    <w:rsid w:val="00463906"/>
    <w:rsid w:val="00467E25"/>
    <w:rsid w:val="00477875"/>
    <w:rsid w:val="004802D5"/>
    <w:rsid w:val="004930BB"/>
    <w:rsid w:val="004A3775"/>
    <w:rsid w:val="004A66DE"/>
    <w:rsid w:val="004B0F29"/>
    <w:rsid w:val="004B4C47"/>
    <w:rsid w:val="004C13E3"/>
    <w:rsid w:val="004C165B"/>
    <w:rsid w:val="004C17DF"/>
    <w:rsid w:val="004C21BE"/>
    <w:rsid w:val="004C39D4"/>
    <w:rsid w:val="004C5260"/>
    <w:rsid w:val="004D1A1E"/>
    <w:rsid w:val="004F114F"/>
    <w:rsid w:val="004F2633"/>
    <w:rsid w:val="004F7920"/>
    <w:rsid w:val="005004F6"/>
    <w:rsid w:val="0050328C"/>
    <w:rsid w:val="00506119"/>
    <w:rsid w:val="005101B0"/>
    <w:rsid w:val="00521793"/>
    <w:rsid w:val="005372A9"/>
    <w:rsid w:val="00537927"/>
    <w:rsid w:val="005513B1"/>
    <w:rsid w:val="00552CA1"/>
    <w:rsid w:val="0055447A"/>
    <w:rsid w:val="005579C2"/>
    <w:rsid w:val="00560DC8"/>
    <w:rsid w:val="00561802"/>
    <w:rsid w:val="005733A3"/>
    <w:rsid w:val="00573994"/>
    <w:rsid w:val="00581596"/>
    <w:rsid w:val="00582B7E"/>
    <w:rsid w:val="005952EA"/>
    <w:rsid w:val="00596B95"/>
    <w:rsid w:val="005A2F00"/>
    <w:rsid w:val="005A498D"/>
    <w:rsid w:val="005A5B4F"/>
    <w:rsid w:val="005B0710"/>
    <w:rsid w:val="005B2611"/>
    <w:rsid w:val="005B560B"/>
    <w:rsid w:val="005B728B"/>
    <w:rsid w:val="005C7E90"/>
    <w:rsid w:val="005D2244"/>
    <w:rsid w:val="005D23E9"/>
    <w:rsid w:val="005D2A06"/>
    <w:rsid w:val="005D4668"/>
    <w:rsid w:val="005D51BF"/>
    <w:rsid w:val="005D565A"/>
    <w:rsid w:val="005D72E8"/>
    <w:rsid w:val="005D7FA5"/>
    <w:rsid w:val="005E0445"/>
    <w:rsid w:val="005E7412"/>
    <w:rsid w:val="005F26B0"/>
    <w:rsid w:val="00616ACA"/>
    <w:rsid w:val="00620EA3"/>
    <w:rsid w:val="00640DCF"/>
    <w:rsid w:val="00646EEA"/>
    <w:rsid w:val="0065775E"/>
    <w:rsid w:val="00662267"/>
    <w:rsid w:val="00666822"/>
    <w:rsid w:val="00667A13"/>
    <w:rsid w:val="0067051C"/>
    <w:rsid w:val="00671C0C"/>
    <w:rsid w:val="006725BC"/>
    <w:rsid w:val="0068072C"/>
    <w:rsid w:val="00692027"/>
    <w:rsid w:val="0069544B"/>
    <w:rsid w:val="00697C56"/>
    <w:rsid w:val="006A12C2"/>
    <w:rsid w:val="006A378B"/>
    <w:rsid w:val="006A7B3D"/>
    <w:rsid w:val="006C0408"/>
    <w:rsid w:val="006C14FD"/>
    <w:rsid w:val="006C24D9"/>
    <w:rsid w:val="006E0217"/>
    <w:rsid w:val="006E5498"/>
    <w:rsid w:val="006F6FFC"/>
    <w:rsid w:val="00702175"/>
    <w:rsid w:val="00712E7A"/>
    <w:rsid w:val="00716A3C"/>
    <w:rsid w:val="00720E51"/>
    <w:rsid w:val="007269AB"/>
    <w:rsid w:val="0073163E"/>
    <w:rsid w:val="007336A7"/>
    <w:rsid w:val="00734D0C"/>
    <w:rsid w:val="00737F39"/>
    <w:rsid w:val="007431BC"/>
    <w:rsid w:val="007475F4"/>
    <w:rsid w:val="00752E82"/>
    <w:rsid w:val="00754280"/>
    <w:rsid w:val="00757E3E"/>
    <w:rsid w:val="007610CC"/>
    <w:rsid w:val="00765077"/>
    <w:rsid w:val="0076518C"/>
    <w:rsid w:val="00766013"/>
    <w:rsid w:val="007674F5"/>
    <w:rsid w:val="00771490"/>
    <w:rsid w:val="00774996"/>
    <w:rsid w:val="00782183"/>
    <w:rsid w:val="00782E1C"/>
    <w:rsid w:val="00784866"/>
    <w:rsid w:val="00784B27"/>
    <w:rsid w:val="00790A4B"/>
    <w:rsid w:val="007A55C9"/>
    <w:rsid w:val="007B548F"/>
    <w:rsid w:val="007C0A85"/>
    <w:rsid w:val="007C300A"/>
    <w:rsid w:val="007D0DB5"/>
    <w:rsid w:val="007D6D65"/>
    <w:rsid w:val="007E3314"/>
    <w:rsid w:val="00807F72"/>
    <w:rsid w:val="00810EF6"/>
    <w:rsid w:val="0081141F"/>
    <w:rsid w:val="0081295A"/>
    <w:rsid w:val="0081557A"/>
    <w:rsid w:val="00821289"/>
    <w:rsid w:val="00823C98"/>
    <w:rsid w:val="00837363"/>
    <w:rsid w:val="0084214A"/>
    <w:rsid w:val="008443CC"/>
    <w:rsid w:val="0084606A"/>
    <w:rsid w:val="008475B6"/>
    <w:rsid w:val="008500E9"/>
    <w:rsid w:val="00852CC1"/>
    <w:rsid w:val="00852CD5"/>
    <w:rsid w:val="00853A68"/>
    <w:rsid w:val="00862F44"/>
    <w:rsid w:val="00863FA9"/>
    <w:rsid w:val="00865337"/>
    <w:rsid w:val="00866E18"/>
    <w:rsid w:val="00873B0D"/>
    <w:rsid w:val="008833F3"/>
    <w:rsid w:val="00891B05"/>
    <w:rsid w:val="00892F0A"/>
    <w:rsid w:val="00892F7B"/>
    <w:rsid w:val="008A1506"/>
    <w:rsid w:val="008A25BB"/>
    <w:rsid w:val="008B0518"/>
    <w:rsid w:val="008B4991"/>
    <w:rsid w:val="008B5C15"/>
    <w:rsid w:val="008B6263"/>
    <w:rsid w:val="008B74F4"/>
    <w:rsid w:val="008B7A83"/>
    <w:rsid w:val="008C1247"/>
    <w:rsid w:val="008C2354"/>
    <w:rsid w:val="008F3C39"/>
    <w:rsid w:val="008F42C7"/>
    <w:rsid w:val="00905386"/>
    <w:rsid w:val="00916935"/>
    <w:rsid w:val="0092083C"/>
    <w:rsid w:val="009237CE"/>
    <w:rsid w:val="00925DEB"/>
    <w:rsid w:val="00926DE5"/>
    <w:rsid w:val="00931FFE"/>
    <w:rsid w:val="009322FE"/>
    <w:rsid w:val="00934436"/>
    <w:rsid w:val="00940C4E"/>
    <w:rsid w:val="00945E2F"/>
    <w:rsid w:val="00951821"/>
    <w:rsid w:val="00957AC4"/>
    <w:rsid w:val="00962DC3"/>
    <w:rsid w:val="00971EE3"/>
    <w:rsid w:val="009729A5"/>
    <w:rsid w:val="00975DDE"/>
    <w:rsid w:val="00990113"/>
    <w:rsid w:val="009909A9"/>
    <w:rsid w:val="009A0356"/>
    <w:rsid w:val="009A227E"/>
    <w:rsid w:val="009A33F6"/>
    <w:rsid w:val="009B70A9"/>
    <w:rsid w:val="009D1611"/>
    <w:rsid w:val="009D3516"/>
    <w:rsid w:val="009F0DEA"/>
    <w:rsid w:val="009F349A"/>
    <w:rsid w:val="009F4341"/>
    <w:rsid w:val="009F43F1"/>
    <w:rsid w:val="009F6EAB"/>
    <w:rsid w:val="009F729E"/>
    <w:rsid w:val="00A01B7C"/>
    <w:rsid w:val="00A04934"/>
    <w:rsid w:val="00A3643E"/>
    <w:rsid w:val="00A36ADA"/>
    <w:rsid w:val="00A56645"/>
    <w:rsid w:val="00A640F1"/>
    <w:rsid w:val="00A72994"/>
    <w:rsid w:val="00A72C00"/>
    <w:rsid w:val="00A7464C"/>
    <w:rsid w:val="00A770A3"/>
    <w:rsid w:val="00A83D92"/>
    <w:rsid w:val="00A84A29"/>
    <w:rsid w:val="00A86FC9"/>
    <w:rsid w:val="00A92A7C"/>
    <w:rsid w:val="00AA0E03"/>
    <w:rsid w:val="00AA1944"/>
    <w:rsid w:val="00AA1B8A"/>
    <w:rsid w:val="00AA3723"/>
    <w:rsid w:val="00AA51A5"/>
    <w:rsid w:val="00AB01AF"/>
    <w:rsid w:val="00AB16E8"/>
    <w:rsid w:val="00AC096A"/>
    <w:rsid w:val="00AE0152"/>
    <w:rsid w:val="00AF0E7A"/>
    <w:rsid w:val="00AF327B"/>
    <w:rsid w:val="00AF53DB"/>
    <w:rsid w:val="00AF613E"/>
    <w:rsid w:val="00AF7DE0"/>
    <w:rsid w:val="00B137CD"/>
    <w:rsid w:val="00B146A7"/>
    <w:rsid w:val="00B2210E"/>
    <w:rsid w:val="00B235E3"/>
    <w:rsid w:val="00B260EF"/>
    <w:rsid w:val="00B34382"/>
    <w:rsid w:val="00B45553"/>
    <w:rsid w:val="00B64626"/>
    <w:rsid w:val="00B65D47"/>
    <w:rsid w:val="00B71894"/>
    <w:rsid w:val="00B759E0"/>
    <w:rsid w:val="00B84637"/>
    <w:rsid w:val="00B86CCD"/>
    <w:rsid w:val="00B90375"/>
    <w:rsid w:val="00B91F8C"/>
    <w:rsid w:val="00B9688E"/>
    <w:rsid w:val="00BA279D"/>
    <w:rsid w:val="00BA64B2"/>
    <w:rsid w:val="00BA67B9"/>
    <w:rsid w:val="00BA7D81"/>
    <w:rsid w:val="00BB3197"/>
    <w:rsid w:val="00BB53B6"/>
    <w:rsid w:val="00BB5F69"/>
    <w:rsid w:val="00BC14D0"/>
    <w:rsid w:val="00BC4C4E"/>
    <w:rsid w:val="00BD196E"/>
    <w:rsid w:val="00BD39BD"/>
    <w:rsid w:val="00BE4825"/>
    <w:rsid w:val="00BF03CC"/>
    <w:rsid w:val="00BF0FF4"/>
    <w:rsid w:val="00C028B3"/>
    <w:rsid w:val="00C10B94"/>
    <w:rsid w:val="00C12C48"/>
    <w:rsid w:val="00C14604"/>
    <w:rsid w:val="00C14BFD"/>
    <w:rsid w:val="00C15716"/>
    <w:rsid w:val="00C15726"/>
    <w:rsid w:val="00C24852"/>
    <w:rsid w:val="00C30387"/>
    <w:rsid w:val="00C3116F"/>
    <w:rsid w:val="00C31B3E"/>
    <w:rsid w:val="00C34C1B"/>
    <w:rsid w:val="00C35E1A"/>
    <w:rsid w:val="00C42D82"/>
    <w:rsid w:val="00C44A76"/>
    <w:rsid w:val="00C46F56"/>
    <w:rsid w:val="00C51B33"/>
    <w:rsid w:val="00C53E25"/>
    <w:rsid w:val="00C56FC0"/>
    <w:rsid w:val="00C630A7"/>
    <w:rsid w:val="00C7686B"/>
    <w:rsid w:val="00C86CEC"/>
    <w:rsid w:val="00C94033"/>
    <w:rsid w:val="00C9657E"/>
    <w:rsid w:val="00C96AD1"/>
    <w:rsid w:val="00CA1B6B"/>
    <w:rsid w:val="00CA1BAB"/>
    <w:rsid w:val="00CB6B0F"/>
    <w:rsid w:val="00CC362E"/>
    <w:rsid w:val="00CC394A"/>
    <w:rsid w:val="00CD7DB1"/>
    <w:rsid w:val="00CE2157"/>
    <w:rsid w:val="00CE5E56"/>
    <w:rsid w:val="00CF015C"/>
    <w:rsid w:val="00CF13B4"/>
    <w:rsid w:val="00CF4F7C"/>
    <w:rsid w:val="00D06C1A"/>
    <w:rsid w:val="00D16785"/>
    <w:rsid w:val="00D2479F"/>
    <w:rsid w:val="00D25952"/>
    <w:rsid w:val="00D26585"/>
    <w:rsid w:val="00D34369"/>
    <w:rsid w:val="00D371D1"/>
    <w:rsid w:val="00D425F3"/>
    <w:rsid w:val="00D42BAE"/>
    <w:rsid w:val="00D556B8"/>
    <w:rsid w:val="00D55E91"/>
    <w:rsid w:val="00D56C18"/>
    <w:rsid w:val="00D66878"/>
    <w:rsid w:val="00D725B1"/>
    <w:rsid w:val="00D756B2"/>
    <w:rsid w:val="00D767DF"/>
    <w:rsid w:val="00D93AC4"/>
    <w:rsid w:val="00DB0F49"/>
    <w:rsid w:val="00DB0FB6"/>
    <w:rsid w:val="00DC349C"/>
    <w:rsid w:val="00DC6BD9"/>
    <w:rsid w:val="00DD0737"/>
    <w:rsid w:val="00DD28ED"/>
    <w:rsid w:val="00DD4E75"/>
    <w:rsid w:val="00DD59E6"/>
    <w:rsid w:val="00DD6FCA"/>
    <w:rsid w:val="00DE2CB4"/>
    <w:rsid w:val="00DF0791"/>
    <w:rsid w:val="00DF1B43"/>
    <w:rsid w:val="00E02641"/>
    <w:rsid w:val="00E029AC"/>
    <w:rsid w:val="00E0371A"/>
    <w:rsid w:val="00E05451"/>
    <w:rsid w:val="00E06412"/>
    <w:rsid w:val="00E117B9"/>
    <w:rsid w:val="00E1483E"/>
    <w:rsid w:val="00E15C36"/>
    <w:rsid w:val="00E21553"/>
    <w:rsid w:val="00E218A1"/>
    <w:rsid w:val="00E25B1D"/>
    <w:rsid w:val="00E27172"/>
    <w:rsid w:val="00E31FAD"/>
    <w:rsid w:val="00E33721"/>
    <w:rsid w:val="00E4207F"/>
    <w:rsid w:val="00E44BA5"/>
    <w:rsid w:val="00E56F38"/>
    <w:rsid w:val="00E63D46"/>
    <w:rsid w:val="00E6643B"/>
    <w:rsid w:val="00E74AC5"/>
    <w:rsid w:val="00E8324F"/>
    <w:rsid w:val="00E83A7F"/>
    <w:rsid w:val="00E84766"/>
    <w:rsid w:val="00E853A8"/>
    <w:rsid w:val="00E8766E"/>
    <w:rsid w:val="00E914A5"/>
    <w:rsid w:val="00E934C5"/>
    <w:rsid w:val="00E94357"/>
    <w:rsid w:val="00EA34A3"/>
    <w:rsid w:val="00EB2697"/>
    <w:rsid w:val="00EC084B"/>
    <w:rsid w:val="00ED3FD7"/>
    <w:rsid w:val="00ED7262"/>
    <w:rsid w:val="00EE0FF5"/>
    <w:rsid w:val="00EE4E6B"/>
    <w:rsid w:val="00EF3880"/>
    <w:rsid w:val="00F02716"/>
    <w:rsid w:val="00F028D1"/>
    <w:rsid w:val="00F04142"/>
    <w:rsid w:val="00F13581"/>
    <w:rsid w:val="00F17EDB"/>
    <w:rsid w:val="00F220F3"/>
    <w:rsid w:val="00F26D0A"/>
    <w:rsid w:val="00F33B2A"/>
    <w:rsid w:val="00F36AED"/>
    <w:rsid w:val="00F4056A"/>
    <w:rsid w:val="00F55423"/>
    <w:rsid w:val="00F5714A"/>
    <w:rsid w:val="00F57C4D"/>
    <w:rsid w:val="00F61A01"/>
    <w:rsid w:val="00F6658F"/>
    <w:rsid w:val="00F774AF"/>
    <w:rsid w:val="00F81AE4"/>
    <w:rsid w:val="00F81BE8"/>
    <w:rsid w:val="00F85AE8"/>
    <w:rsid w:val="00F86A07"/>
    <w:rsid w:val="00F923CF"/>
    <w:rsid w:val="00F92456"/>
    <w:rsid w:val="00F93584"/>
    <w:rsid w:val="00F961D2"/>
    <w:rsid w:val="00F97E3A"/>
    <w:rsid w:val="00FA0EAF"/>
    <w:rsid w:val="00FA1232"/>
    <w:rsid w:val="00FA1728"/>
    <w:rsid w:val="00FA6B54"/>
    <w:rsid w:val="00FB032C"/>
    <w:rsid w:val="00FB4071"/>
    <w:rsid w:val="00FC3A27"/>
    <w:rsid w:val="00FC5E8A"/>
    <w:rsid w:val="00FC6DF6"/>
    <w:rsid w:val="00FD2D64"/>
    <w:rsid w:val="00FD68D5"/>
    <w:rsid w:val="00FE1301"/>
    <w:rsid w:val="00FE5581"/>
    <w:rsid w:val="00FF01EB"/>
    <w:rsid w:val="00FF6673"/>
    <w:rsid w:val="00FF78EF"/>
    <w:rsid w:val="00FF79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B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 w:type="character" w:styleId="CommentReference">
    <w:name w:val="annotation reference"/>
    <w:basedOn w:val="DefaultParagraphFont"/>
    <w:uiPriority w:val="99"/>
    <w:semiHidden/>
    <w:unhideWhenUsed/>
    <w:rsid w:val="00E4207F"/>
    <w:rPr>
      <w:sz w:val="16"/>
      <w:szCs w:val="16"/>
    </w:rPr>
  </w:style>
  <w:style w:type="paragraph" w:styleId="CommentText">
    <w:name w:val="annotation text"/>
    <w:basedOn w:val="Normal"/>
    <w:link w:val="CommentTextChar"/>
    <w:uiPriority w:val="99"/>
    <w:semiHidden/>
    <w:unhideWhenUsed/>
    <w:rsid w:val="00E4207F"/>
    <w:rPr>
      <w:sz w:val="20"/>
    </w:rPr>
  </w:style>
  <w:style w:type="character" w:customStyle="1" w:styleId="CommentTextChar">
    <w:name w:val="Comment Text Char"/>
    <w:basedOn w:val="DefaultParagraphFont"/>
    <w:link w:val="CommentText"/>
    <w:uiPriority w:val="99"/>
    <w:semiHidden/>
    <w:rsid w:val="00E4207F"/>
    <w:rPr>
      <w:rFonts w:ascii="Georgia" w:hAnsi="Georgia"/>
    </w:rPr>
  </w:style>
  <w:style w:type="paragraph" w:styleId="CommentSubject">
    <w:name w:val="annotation subject"/>
    <w:basedOn w:val="CommentText"/>
    <w:next w:val="CommentText"/>
    <w:link w:val="CommentSubjectChar"/>
    <w:uiPriority w:val="99"/>
    <w:semiHidden/>
    <w:unhideWhenUsed/>
    <w:rsid w:val="00E4207F"/>
    <w:rPr>
      <w:b/>
      <w:bCs/>
    </w:rPr>
  </w:style>
  <w:style w:type="character" w:customStyle="1" w:styleId="CommentSubjectChar">
    <w:name w:val="Comment Subject Char"/>
    <w:basedOn w:val="CommentTextChar"/>
    <w:link w:val="CommentSubject"/>
    <w:uiPriority w:val="99"/>
    <w:semiHidden/>
    <w:rsid w:val="00E4207F"/>
    <w:rPr>
      <w:rFonts w:ascii="Georgia" w:hAnsi="Georgia"/>
      <w:b/>
      <w:bCs/>
    </w:rPr>
  </w:style>
  <w:style w:type="paragraph" w:styleId="PlainText">
    <w:name w:val="Plain Text"/>
    <w:basedOn w:val="Normal"/>
    <w:link w:val="PlainTextChar"/>
    <w:uiPriority w:val="99"/>
    <w:semiHidden/>
    <w:unhideWhenUsed/>
    <w:rsid w:val="00040D5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40D5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unhideWhenUsed="0" w:qFormat="1"/>
  </w:latentStyles>
  <w:style w:type="paragraph" w:default="1" w:styleId="Normal">
    <w:name w:val="Normal"/>
    <w:semiHidden/>
    <w:qFormat/>
    <w:rsid w:val="00FA0EAF"/>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amp;B Body Text"/>
    <w:basedOn w:val="Normal"/>
    <w:link w:val="BodyTextChar"/>
    <w:rsid w:val="00FA0EAF"/>
    <w:pPr>
      <w:jc w:val="both"/>
    </w:pPr>
    <w:rPr>
      <w:rFonts w:cs="Times New Roman"/>
    </w:rPr>
  </w:style>
  <w:style w:type="character" w:customStyle="1" w:styleId="BodyTextChar">
    <w:name w:val="Body Text Char"/>
    <w:aliases w:val="B&amp;B Body Text Char"/>
    <w:basedOn w:val="DefaultParagraphFont"/>
    <w:link w:val="BodyText"/>
    <w:rsid w:val="00FA0EAF"/>
    <w:rPr>
      <w:rFonts w:ascii="Georgia" w:hAnsi="Georgia" w:cs="Times New Roman"/>
      <w:sz w:val="22"/>
    </w:rPr>
  </w:style>
  <w:style w:type="paragraph" w:customStyle="1" w:styleId="MemoHeading">
    <w:name w:val="Memo Heading"/>
    <w:basedOn w:val="BodyText"/>
    <w:next w:val="BodyText"/>
    <w:semiHidden/>
    <w:qFormat/>
    <w:rsid w:val="00B45553"/>
    <w:pPr>
      <w:spacing w:after="480"/>
      <w:jc w:val="center"/>
    </w:pPr>
    <w:rPr>
      <w:b/>
      <w:spacing w:val="50"/>
      <w:sz w:val="28"/>
    </w:rPr>
  </w:style>
  <w:style w:type="table" w:styleId="TableGrid">
    <w:name w:val="Table Grid"/>
    <w:basedOn w:val="TableNormal"/>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Header">
    <w:name w:val="header"/>
    <w:aliases w:val="B&amp;B Header"/>
    <w:basedOn w:val="Normal"/>
    <w:link w:val="HeaderChar"/>
    <w:uiPriority w:val="99"/>
    <w:semiHidden/>
    <w:rsid w:val="00F13581"/>
    <w:pPr>
      <w:tabs>
        <w:tab w:val="center" w:pos="4513"/>
        <w:tab w:val="right" w:pos="9026"/>
      </w:tabs>
      <w:spacing w:after="0"/>
    </w:pPr>
  </w:style>
  <w:style w:type="character" w:customStyle="1" w:styleId="HeaderChar">
    <w:name w:val="Header Char"/>
    <w:aliases w:val="B&amp;B Header Char"/>
    <w:basedOn w:val="DefaultParagraphFont"/>
    <w:link w:val="Header"/>
    <w:uiPriority w:val="99"/>
    <w:semiHidden/>
    <w:rsid w:val="00C7686B"/>
    <w:rPr>
      <w:rFonts w:ascii="Georgia" w:hAnsi="Georgia"/>
      <w:sz w:val="22"/>
    </w:rPr>
  </w:style>
  <w:style w:type="paragraph" w:styleId="Footer">
    <w:name w:val="footer"/>
    <w:basedOn w:val="Normal"/>
    <w:link w:val="FooterChar"/>
    <w:uiPriority w:val="99"/>
    <w:semiHidden/>
    <w:rsid w:val="001451E7"/>
    <w:pPr>
      <w:tabs>
        <w:tab w:val="center" w:pos="4513"/>
        <w:tab w:val="right" w:pos="9026"/>
      </w:tabs>
      <w:spacing w:after="0"/>
      <w:jc w:val="center"/>
    </w:pPr>
    <w:rPr>
      <w:sz w:val="20"/>
    </w:rPr>
  </w:style>
  <w:style w:type="character" w:customStyle="1" w:styleId="FooterChar">
    <w:name w:val="Footer Char"/>
    <w:basedOn w:val="DefaultParagraphFont"/>
    <w:link w:val="Footer"/>
    <w:uiPriority w:val="99"/>
    <w:semiHidden/>
    <w:rsid w:val="001451E7"/>
    <w:rPr>
      <w:rFonts w:ascii="Georgia" w:hAnsi="Georgia"/>
    </w:rPr>
  </w:style>
  <w:style w:type="paragraph" w:styleId="BalloonText">
    <w:name w:val="Balloon Text"/>
    <w:basedOn w:val="Normal"/>
    <w:link w:val="BalloonTextChar"/>
    <w:uiPriority w:val="99"/>
    <w:semiHidden/>
    <w:rsid w:val="004607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86B"/>
    <w:rPr>
      <w:rFonts w:ascii="Tahoma" w:hAnsi="Tahoma" w:cs="Tahoma"/>
      <w:sz w:val="16"/>
      <w:szCs w:val="16"/>
    </w:rPr>
  </w:style>
  <w:style w:type="paragraph" w:customStyle="1" w:styleId="BBBodyTextIndent1">
    <w:name w:val="B&amp;B Body Text Indent 1"/>
    <w:basedOn w:val="Normal"/>
    <w:uiPriority w:val="19"/>
    <w:rsid w:val="003A0280"/>
    <w:pPr>
      <w:ind w:left="720"/>
      <w:jc w:val="both"/>
    </w:pPr>
    <w:rPr>
      <w:rFonts w:cs="Times New Roman"/>
    </w:rPr>
  </w:style>
  <w:style w:type="paragraph" w:customStyle="1" w:styleId="BBBodyTextIndent2">
    <w:name w:val="B&amp;B Body Text Indent 2"/>
    <w:basedOn w:val="Normal"/>
    <w:uiPriority w:val="19"/>
    <w:rsid w:val="003A0280"/>
    <w:pPr>
      <w:ind w:left="720"/>
      <w:jc w:val="both"/>
    </w:pPr>
    <w:rPr>
      <w:rFonts w:cs="Times New Roman"/>
    </w:rPr>
  </w:style>
  <w:style w:type="paragraph" w:customStyle="1" w:styleId="BBBodyTextIndent3">
    <w:name w:val="B&amp;B Body Text Indent 3"/>
    <w:basedOn w:val="Normal"/>
    <w:uiPriority w:val="19"/>
    <w:rsid w:val="003A0280"/>
    <w:pPr>
      <w:ind w:left="1622"/>
      <w:jc w:val="both"/>
    </w:pPr>
    <w:rPr>
      <w:rFonts w:eastAsia="Georgia" w:cs="Times New Roman"/>
    </w:rPr>
  </w:style>
  <w:style w:type="paragraph" w:customStyle="1" w:styleId="BBBodyTextIndent4">
    <w:name w:val="B&amp;B Body Text Indent 4"/>
    <w:basedOn w:val="Normal"/>
    <w:uiPriority w:val="19"/>
    <w:rsid w:val="003A0280"/>
    <w:pPr>
      <w:ind w:left="2699"/>
      <w:jc w:val="both"/>
    </w:pPr>
    <w:rPr>
      <w:rFonts w:cs="Times New Roman"/>
    </w:rPr>
  </w:style>
  <w:style w:type="paragraph" w:customStyle="1" w:styleId="BBBodyTextIndent5">
    <w:name w:val="B&amp;B Body Text Indent 5"/>
    <w:basedOn w:val="Normal"/>
    <w:uiPriority w:val="19"/>
    <w:rsid w:val="003A0280"/>
    <w:pPr>
      <w:ind w:left="2699"/>
      <w:jc w:val="both"/>
    </w:pPr>
    <w:rPr>
      <w:rFonts w:cs="Times New Roman"/>
    </w:rPr>
  </w:style>
  <w:style w:type="paragraph" w:customStyle="1" w:styleId="BBBodyTextIndent6">
    <w:name w:val="B&amp;B Body Text Indent 6"/>
    <w:basedOn w:val="Normal"/>
    <w:uiPriority w:val="19"/>
    <w:rsid w:val="003A0280"/>
    <w:pPr>
      <w:ind w:left="3238"/>
      <w:jc w:val="both"/>
    </w:pPr>
    <w:rPr>
      <w:rFonts w:cs="Times New Roman"/>
    </w:rPr>
  </w:style>
  <w:style w:type="paragraph" w:customStyle="1" w:styleId="BBBodyTextIndent7">
    <w:name w:val="B&amp;B Body Text Indent 7"/>
    <w:basedOn w:val="Normal"/>
    <w:uiPriority w:val="19"/>
    <w:rsid w:val="003A0280"/>
    <w:pPr>
      <w:ind w:left="3912"/>
      <w:jc w:val="both"/>
    </w:pPr>
    <w:rPr>
      <w:rFonts w:cs="Times New Roman"/>
    </w:rPr>
  </w:style>
  <w:style w:type="paragraph" w:customStyle="1" w:styleId="BBBodyTextIndent8">
    <w:name w:val="B&amp;B Body Text Indent 8"/>
    <w:basedOn w:val="Normal"/>
    <w:uiPriority w:val="19"/>
    <w:rsid w:val="003A0280"/>
    <w:pPr>
      <w:ind w:left="4587"/>
      <w:jc w:val="both"/>
    </w:pPr>
    <w:rPr>
      <w:rFonts w:cs="Times New Roman"/>
    </w:rPr>
  </w:style>
  <w:style w:type="paragraph" w:customStyle="1" w:styleId="BBBodyTextIndent9">
    <w:name w:val="B&amp;B Body Text Indent 9"/>
    <w:basedOn w:val="Normal"/>
    <w:uiPriority w:val="19"/>
    <w:rsid w:val="003A0280"/>
    <w:pPr>
      <w:ind w:left="5262"/>
      <w:jc w:val="both"/>
    </w:pPr>
    <w:rPr>
      <w:rFonts w:cs="Times New Roman"/>
    </w:rPr>
  </w:style>
  <w:style w:type="paragraph" w:customStyle="1" w:styleId="BBBodyTextNoSpacing">
    <w:name w:val="B&amp;B Body Text No Spacing"/>
    <w:basedOn w:val="BodyText"/>
    <w:uiPriority w:val="1"/>
    <w:qFormat/>
    <w:rsid w:val="004F2633"/>
    <w:pPr>
      <w:spacing w:after="0"/>
    </w:pPr>
    <w:rPr>
      <w:rFonts w:asciiTheme="minorHAnsi" w:hAnsiTheme="minorHAnsi"/>
      <w:szCs w:val="22"/>
    </w:rPr>
  </w:style>
  <w:style w:type="paragraph" w:customStyle="1" w:styleId="BBBullet1">
    <w:name w:val="B&amp;B Bullet 1"/>
    <w:basedOn w:val="BodyText"/>
    <w:uiPriority w:val="39"/>
    <w:rsid w:val="003A0280"/>
    <w:pPr>
      <w:numPr>
        <w:ilvl w:val="1"/>
        <w:numId w:val="5"/>
      </w:numPr>
    </w:pPr>
  </w:style>
  <w:style w:type="paragraph" w:customStyle="1" w:styleId="BBBullet2">
    <w:name w:val="B&amp;B Bullet 2"/>
    <w:basedOn w:val="BodyText"/>
    <w:uiPriority w:val="39"/>
    <w:rsid w:val="003A0280"/>
    <w:pPr>
      <w:numPr>
        <w:ilvl w:val="2"/>
        <w:numId w:val="5"/>
      </w:numPr>
    </w:pPr>
  </w:style>
  <w:style w:type="paragraph" w:customStyle="1" w:styleId="BBBullet3">
    <w:name w:val="B&amp;B Bullet 3"/>
    <w:basedOn w:val="BodyText"/>
    <w:uiPriority w:val="39"/>
    <w:rsid w:val="003A0280"/>
    <w:pPr>
      <w:numPr>
        <w:ilvl w:val="3"/>
        <w:numId w:val="5"/>
      </w:numPr>
    </w:pPr>
  </w:style>
  <w:style w:type="paragraph" w:customStyle="1" w:styleId="BBBullet4">
    <w:name w:val="B&amp;B Bullet 4"/>
    <w:basedOn w:val="BodyText"/>
    <w:uiPriority w:val="39"/>
    <w:rsid w:val="003A0280"/>
    <w:pPr>
      <w:numPr>
        <w:ilvl w:val="4"/>
        <w:numId w:val="5"/>
      </w:numPr>
    </w:pPr>
  </w:style>
  <w:style w:type="paragraph" w:customStyle="1" w:styleId="BBBullet5">
    <w:name w:val="B&amp;B Bullet 5"/>
    <w:basedOn w:val="BodyText"/>
    <w:uiPriority w:val="39"/>
    <w:rsid w:val="003A0280"/>
    <w:pPr>
      <w:numPr>
        <w:ilvl w:val="5"/>
        <w:numId w:val="5"/>
      </w:numPr>
    </w:pPr>
  </w:style>
  <w:style w:type="paragraph" w:customStyle="1" w:styleId="BBBullet6">
    <w:name w:val="B&amp;B Bullet 6"/>
    <w:basedOn w:val="BodyText"/>
    <w:uiPriority w:val="39"/>
    <w:rsid w:val="003A0280"/>
    <w:pPr>
      <w:numPr>
        <w:ilvl w:val="6"/>
        <w:numId w:val="5"/>
      </w:numPr>
    </w:pPr>
  </w:style>
  <w:style w:type="paragraph" w:customStyle="1" w:styleId="BBBullet7">
    <w:name w:val="B&amp;B Bullet 7"/>
    <w:basedOn w:val="BodyText"/>
    <w:uiPriority w:val="39"/>
    <w:rsid w:val="003A0280"/>
    <w:pPr>
      <w:numPr>
        <w:ilvl w:val="7"/>
        <w:numId w:val="5"/>
      </w:numPr>
    </w:pPr>
  </w:style>
  <w:style w:type="paragraph" w:customStyle="1" w:styleId="BBBullet8">
    <w:name w:val="B&amp;B Bullet 8"/>
    <w:basedOn w:val="BodyText"/>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BodyText"/>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BodyText"/>
    <w:uiPriority w:val="29"/>
    <w:qFormat/>
    <w:rsid w:val="003A0280"/>
    <w:pPr>
      <w:numPr>
        <w:ilvl w:val="1"/>
        <w:numId w:val="6"/>
      </w:numPr>
    </w:pPr>
  </w:style>
  <w:style w:type="paragraph" w:customStyle="1" w:styleId="BBClause3">
    <w:name w:val="B&amp;B Clause 3"/>
    <w:basedOn w:val="BodyText"/>
    <w:uiPriority w:val="29"/>
    <w:qFormat/>
    <w:rsid w:val="003A0280"/>
    <w:pPr>
      <w:numPr>
        <w:ilvl w:val="2"/>
        <w:numId w:val="6"/>
      </w:numPr>
    </w:pPr>
  </w:style>
  <w:style w:type="paragraph" w:customStyle="1" w:styleId="BBClause4">
    <w:name w:val="B&amp;B Clause 4"/>
    <w:basedOn w:val="BodyText"/>
    <w:uiPriority w:val="29"/>
    <w:qFormat/>
    <w:rsid w:val="003A0280"/>
    <w:pPr>
      <w:numPr>
        <w:ilvl w:val="3"/>
        <w:numId w:val="6"/>
      </w:numPr>
    </w:pPr>
  </w:style>
  <w:style w:type="paragraph" w:customStyle="1" w:styleId="BBClause5">
    <w:name w:val="B&amp;B Clause 5"/>
    <w:basedOn w:val="BodyText"/>
    <w:uiPriority w:val="29"/>
    <w:rsid w:val="003A0280"/>
    <w:pPr>
      <w:numPr>
        <w:ilvl w:val="4"/>
        <w:numId w:val="6"/>
      </w:numPr>
    </w:pPr>
  </w:style>
  <w:style w:type="paragraph" w:customStyle="1" w:styleId="BBClause6">
    <w:name w:val="B&amp;B Clause 6"/>
    <w:basedOn w:val="BodyText"/>
    <w:uiPriority w:val="29"/>
    <w:rsid w:val="003A0280"/>
    <w:pPr>
      <w:numPr>
        <w:ilvl w:val="5"/>
        <w:numId w:val="6"/>
      </w:numPr>
    </w:pPr>
  </w:style>
  <w:style w:type="paragraph" w:customStyle="1" w:styleId="BBClause7">
    <w:name w:val="B&amp;B Clause 7"/>
    <w:basedOn w:val="BodyText"/>
    <w:uiPriority w:val="29"/>
    <w:rsid w:val="003A0280"/>
    <w:pPr>
      <w:numPr>
        <w:ilvl w:val="6"/>
        <w:numId w:val="6"/>
      </w:numPr>
    </w:pPr>
  </w:style>
  <w:style w:type="paragraph" w:customStyle="1" w:styleId="BBClause8">
    <w:name w:val="B&amp;B Clause 8"/>
    <w:basedOn w:val="BodyText"/>
    <w:uiPriority w:val="29"/>
    <w:rsid w:val="003A0280"/>
    <w:pPr>
      <w:numPr>
        <w:ilvl w:val="7"/>
        <w:numId w:val="6"/>
      </w:numPr>
    </w:pPr>
  </w:style>
  <w:style w:type="paragraph" w:customStyle="1" w:styleId="BBClause9">
    <w:name w:val="B&amp;B Clause 9"/>
    <w:basedOn w:val="BodyText"/>
    <w:uiPriority w:val="29"/>
    <w:rsid w:val="003A0280"/>
    <w:pPr>
      <w:numPr>
        <w:ilvl w:val="8"/>
        <w:numId w:val="6"/>
      </w:numPr>
    </w:pPr>
  </w:style>
  <w:style w:type="paragraph" w:customStyle="1" w:styleId="BBEndnoteText">
    <w:name w:val="B&amp;B Endnote Text"/>
    <w:basedOn w:val="Normal"/>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4F2633"/>
    <w:rPr>
      <w:b/>
    </w:rPr>
  </w:style>
  <w:style w:type="paragraph" w:customStyle="1" w:styleId="BBHeading3">
    <w:name w:val="B&amp;B Heading 3"/>
    <w:basedOn w:val="BBClause3"/>
    <w:next w:val="BBBodyTextIndent3"/>
    <w:uiPriority w:val="9"/>
    <w:qFormat/>
    <w:rsid w:val="004F2633"/>
    <w:rPr>
      <w:b/>
    </w:rPr>
  </w:style>
  <w:style w:type="paragraph" w:customStyle="1" w:styleId="BBHeading4">
    <w:name w:val="B&amp;B Heading 4"/>
    <w:basedOn w:val="BBClause4"/>
    <w:next w:val="BBBodyTextIndent4"/>
    <w:uiPriority w:val="9"/>
    <w:qFormat/>
    <w:rsid w:val="004F2633"/>
    <w:rPr>
      <w:b/>
    </w:rPr>
  </w:style>
  <w:style w:type="paragraph" w:customStyle="1" w:styleId="BBHeading5">
    <w:name w:val="B&amp;B Heading 5"/>
    <w:basedOn w:val="BBClause5"/>
    <w:next w:val="BBBodyTextIndent5"/>
    <w:uiPriority w:val="9"/>
    <w:rsid w:val="004F2633"/>
    <w:rPr>
      <w:b/>
    </w:rPr>
  </w:style>
  <w:style w:type="paragraph" w:customStyle="1" w:styleId="BBHeading6">
    <w:name w:val="B&amp;B Heading 6"/>
    <w:basedOn w:val="BBClause6"/>
    <w:next w:val="BBBodyTextIndent6"/>
    <w:uiPriority w:val="9"/>
    <w:rsid w:val="004F2633"/>
    <w:rPr>
      <w:b/>
    </w:rPr>
  </w:style>
  <w:style w:type="paragraph" w:customStyle="1" w:styleId="BBHeading7">
    <w:name w:val="B&amp;B Heading 7"/>
    <w:basedOn w:val="BBClause7"/>
    <w:next w:val="BBBodyTextIndent7"/>
    <w:uiPriority w:val="9"/>
    <w:rsid w:val="004F2633"/>
    <w:rPr>
      <w:b/>
    </w:rPr>
  </w:style>
  <w:style w:type="paragraph" w:customStyle="1" w:styleId="BBHeading8">
    <w:name w:val="B&amp;B Heading 8"/>
    <w:basedOn w:val="BBClause8"/>
    <w:next w:val="BBBodyTextIndent8"/>
    <w:uiPriority w:val="9"/>
    <w:rsid w:val="004F2633"/>
    <w:rPr>
      <w:b/>
    </w:rPr>
  </w:style>
  <w:style w:type="paragraph" w:customStyle="1" w:styleId="BBHeading9">
    <w:name w:val="B&amp;B Heading 9"/>
    <w:basedOn w:val="BBClause9"/>
    <w:next w:val="BBBodyTextIndent9"/>
    <w:uiPriority w:val="9"/>
    <w:rsid w:val="004F2633"/>
    <w:rPr>
      <w:b/>
    </w:rPr>
  </w:style>
  <w:style w:type="paragraph" w:customStyle="1" w:styleId="BBScheduleHeading1">
    <w:name w:val="B&amp;B Schedule Heading 1"/>
    <w:basedOn w:val="BodyText"/>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852CC1"/>
    <w:rPr>
      <w:b w:val="0"/>
    </w:rPr>
  </w:style>
  <w:style w:type="paragraph" w:customStyle="1" w:styleId="BBSchedule2">
    <w:name w:val="B&amp;B Schedule 2"/>
    <w:basedOn w:val="BodyText"/>
    <w:uiPriority w:val="59"/>
    <w:rsid w:val="00971EE3"/>
    <w:pPr>
      <w:numPr>
        <w:ilvl w:val="1"/>
        <w:numId w:val="4"/>
      </w:numPr>
    </w:pPr>
  </w:style>
  <w:style w:type="paragraph" w:customStyle="1" w:styleId="BBSchedule3">
    <w:name w:val="B&amp;B Schedule 3"/>
    <w:basedOn w:val="BodyText"/>
    <w:uiPriority w:val="59"/>
    <w:rsid w:val="00971EE3"/>
    <w:pPr>
      <w:numPr>
        <w:ilvl w:val="2"/>
        <w:numId w:val="4"/>
      </w:numPr>
    </w:pPr>
  </w:style>
  <w:style w:type="paragraph" w:customStyle="1" w:styleId="BBSchedule4">
    <w:name w:val="B&amp;B Schedule 4"/>
    <w:basedOn w:val="BodyText"/>
    <w:uiPriority w:val="59"/>
    <w:rsid w:val="00971EE3"/>
    <w:pPr>
      <w:numPr>
        <w:ilvl w:val="3"/>
        <w:numId w:val="4"/>
      </w:numPr>
    </w:pPr>
  </w:style>
  <w:style w:type="paragraph" w:customStyle="1" w:styleId="BBSchedule5">
    <w:name w:val="B&amp;B Schedule 5"/>
    <w:basedOn w:val="BodyText"/>
    <w:uiPriority w:val="59"/>
    <w:rsid w:val="00971EE3"/>
    <w:pPr>
      <w:numPr>
        <w:ilvl w:val="4"/>
        <w:numId w:val="4"/>
      </w:numPr>
    </w:pPr>
  </w:style>
  <w:style w:type="paragraph" w:customStyle="1" w:styleId="BBSchedule6">
    <w:name w:val="B&amp;B Schedule 6"/>
    <w:basedOn w:val="BodyText"/>
    <w:uiPriority w:val="59"/>
    <w:rsid w:val="00971EE3"/>
    <w:pPr>
      <w:numPr>
        <w:ilvl w:val="5"/>
        <w:numId w:val="4"/>
      </w:numPr>
    </w:pPr>
  </w:style>
  <w:style w:type="paragraph" w:customStyle="1" w:styleId="BBSchedule7">
    <w:name w:val="B&amp;B Schedule 7"/>
    <w:basedOn w:val="BodyText"/>
    <w:uiPriority w:val="59"/>
    <w:rsid w:val="00971EE3"/>
    <w:pPr>
      <w:numPr>
        <w:ilvl w:val="6"/>
        <w:numId w:val="4"/>
      </w:numPr>
    </w:pPr>
  </w:style>
  <w:style w:type="paragraph" w:customStyle="1" w:styleId="BBSchedule8">
    <w:name w:val="B&amp;B Schedule 8"/>
    <w:basedOn w:val="BodyText"/>
    <w:uiPriority w:val="59"/>
    <w:rsid w:val="00971EE3"/>
    <w:pPr>
      <w:numPr>
        <w:ilvl w:val="7"/>
        <w:numId w:val="4"/>
      </w:numPr>
    </w:pPr>
  </w:style>
  <w:style w:type="paragraph" w:customStyle="1" w:styleId="BBSchedule9">
    <w:name w:val="B&amp;B Schedule 9"/>
    <w:basedOn w:val="BodyText"/>
    <w:uiPriority w:val="59"/>
    <w:rsid w:val="00971EE3"/>
    <w:pPr>
      <w:numPr>
        <w:ilvl w:val="8"/>
        <w:numId w:val="4"/>
      </w:numPr>
    </w:pPr>
  </w:style>
  <w:style w:type="paragraph" w:customStyle="1" w:styleId="BBScheduleHeading2">
    <w:name w:val="B&amp;B Schedule Heading 2"/>
    <w:basedOn w:val="BBSchedule2"/>
    <w:next w:val="BBBodyTextIndent2"/>
    <w:uiPriority w:val="49"/>
    <w:rsid w:val="00852CC1"/>
    <w:rPr>
      <w:b/>
    </w:rPr>
  </w:style>
  <w:style w:type="paragraph" w:customStyle="1" w:styleId="BBScheduleHeading3">
    <w:name w:val="B&amp;B Schedule Heading 3"/>
    <w:basedOn w:val="BBSchedule3"/>
    <w:next w:val="BBBodyTextIndent3"/>
    <w:uiPriority w:val="49"/>
    <w:rsid w:val="00852CC1"/>
    <w:rPr>
      <w:b/>
    </w:rPr>
  </w:style>
  <w:style w:type="paragraph" w:customStyle="1" w:styleId="BBScheduleHeading4">
    <w:name w:val="B&amp;B Schedule Heading 4"/>
    <w:basedOn w:val="BBSchedule4"/>
    <w:next w:val="BBBodyTextIndent4"/>
    <w:uiPriority w:val="49"/>
    <w:rsid w:val="00852CC1"/>
    <w:rPr>
      <w:b/>
    </w:rPr>
  </w:style>
  <w:style w:type="paragraph" w:customStyle="1" w:styleId="BBScheduleHeading5">
    <w:name w:val="B&amp;B Schedule Heading 5"/>
    <w:basedOn w:val="BBSchedule5"/>
    <w:next w:val="BBBodyTextIndent5"/>
    <w:uiPriority w:val="49"/>
    <w:rsid w:val="008B5C15"/>
    <w:pPr>
      <w:keepNext/>
    </w:pPr>
    <w:rPr>
      <w:b/>
    </w:rPr>
  </w:style>
  <w:style w:type="paragraph" w:customStyle="1" w:styleId="BBScheduleHeading6">
    <w:name w:val="B&amp;B Schedule Heading 6"/>
    <w:basedOn w:val="BBSchedule6"/>
    <w:next w:val="BBBodyTextIndent6"/>
    <w:uiPriority w:val="49"/>
    <w:rsid w:val="00852CC1"/>
    <w:rPr>
      <w:b/>
    </w:rPr>
  </w:style>
  <w:style w:type="paragraph" w:customStyle="1" w:styleId="BBScheduleHeading7">
    <w:name w:val="B&amp;B Schedule Heading 7"/>
    <w:basedOn w:val="BBSchedule7"/>
    <w:next w:val="BBBodyTextIndent7"/>
    <w:uiPriority w:val="49"/>
    <w:rsid w:val="00852CC1"/>
    <w:rPr>
      <w:b/>
    </w:rPr>
  </w:style>
  <w:style w:type="paragraph" w:customStyle="1" w:styleId="BBScheduleHeading8">
    <w:name w:val="B&amp;B Schedule Heading 8"/>
    <w:basedOn w:val="BBSchedule8"/>
    <w:next w:val="BBBodyTextIndent8"/>
    <w:uiPriority w:val="49"/>
    <w:rsid w:val="00852CC1"/>
    <w:rPr>
      <w:b/>
    </w:rPr>
  </w:style>
  <w:style w:type="paragraph" w:customStyle="1" w:styleId="BBScheduleHeading9">
    <w:name w:val="B&amp;B Schedule Heading 9"/>
    <w:basedOn w:val="BBSchedule9"/>
    <w:next w:val="BBBodyTextIndent9"/>
    <w:uiPriority w:val="49"/>
    <w:rsid w:val="00852CC1"/>
    <w:rPr>
      <w:b/>
    </w:rPr>
  </w:style>
  <w:style w:type="paragraph" w:customStyle="1" w:styleId="BBScheduleSub-title">
    <w:name w:val="B&amp;B Schedule Sub-title"/>
    <w:basedOn w:val="Normal"/>
    <w:next w:val="BodyText"/>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BodyText"/>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BodyText"/>
    <w:next w:val="BodyText"/>
    <w:uiPriority w:val="8"/>
    <w:qFormat/>
    <w:rsid w:val="002D45EF"/>
    <w:pPr>
      <w:keepNext/>
      <w:outlineLvl w:val="0"/>
    </w:pPr>
    <w:rPr>
      <w:rFonts w:asciiTheme="minorHAnsi" w:hAnsiTheme="minorHAnsi"/>
      <w:b/>
      <w:caps/>
      <w:szCs w:val="22"/>
    </w:rPr>
  </w:style>
  <w:style w:type="paragraph" w:styleId="FootnoteText">
    <w:name w:val="footnote text"/>
    <w:basedOn w:val="Normal"/>
    <w:link w:val="FootnoteTextChar"/>
    <w:uiPriority w:val="99"/>
    <w:semiHidden/>
    <w:rsid w:val="008833F3"/>
    <w:pPr>
      <w:spacing w:after="0"/>
    </w:pPr>
    <w:rPr>
      <w:rFonts w:asciiTheme="majorHAnsi" w:hAnsiTheme="majorHAnsi"/>
      <w:sz w:val="20"/>
    </w:rPr>
  </w:style>
  <w:style w:type="character" w:customStyle="1" w:styleId="FootnoteTextChar">
    <w:name w:val="Footnote Text Char"/>
    <w:basedOn w:val="DefaultParagraphFont"/>
    <w:link w:val="FootnoteText"/>
    <w:uiPriority w:val="99"/>
    <w:semiHidden/>
    <w:rsid w:val="00C7686B"/>
  </w:style>
  <w:style w:type="paragraph" w:customStyle="1" w:styleId="BBHeading0Lower">
    <w:name w:val="B&amp;B Heading 0 (Lower)"/>
    <w:basedOn w:val="BodyText"/>
    <w:next w:val="BodyText"/>
    <w:uiPriority w:val="8"/>
    <w:qFormat/>
    <w:rsid w:val="00D66878"/>
    <w:rPr>
      <w:b/>
    </w:rPr>
  </w:style>
  <w:style w:type="paragraph" w:styleId="ListParagraph">
    <w:name w:val="List Paragraph"/>
    <w:basedOn w:val="Normal"/>
    <w:uiPriority w:val="34"/>
    <w:semiHidden/>
    <w:qFormat/>
    <w:rsid w:val="007A55C9"/>
    <w:pPr>
      <w:ind w:left="720"/>
      <w:contextualSpacing/>
    </w:pPr>
  </w:style>
  <w:style w:type="character" w:styleId="FootnoteReference">
    <w:name w:val="footnote reference"/>
    <w:basedOn w:val="DefaultParagraphFont"/>
    <w:uiPriority w:val="99"/>
    <w:rsid w:val="008B0518"/>
    <w:rPr>
      <w:vertAlign w:val="superscript"/>
    </w:rPr>
  </w:style>
  <w:style w:type="character" w:styleId="Hyperlink">
    <w:name w:val="Hyperlink"/>
    <w:basedOn w:val="DefaultParagraphFont"/>
    <w:uiPriority w:val="99"/>
    <w:unhideWhenUsed/>
    <w:rsid w:val="00074B5C"/>
    <w:rPr>
      <w:color w:val="0000FF" w:themeColor="hyperlink"/>
      <w:u w:val="single"/>
    </w:rPr>
  </w:style>
  <w:style w:type="character" w:styleId="CommentReference">
    <w:name w:val="annotation reference"/>
    <w:basedOn w:val="DefaultParagraphFont"/>
    <w:uiPriority w:val="99"/>
    <w:semiHidden/>
    <w:unhideWhenUsed/>
    <w:rsid w:val="00E4207F"/>
    <w:rPr>
      <w:sz w:val="16"/>
      <w:szCs w:val="16"/>
    </w:rPr>
  </w:style>
  <w:style w:type="paragraph" w:styleId="CommentText">
    <w:name w:val="annotation text"/>
    <w:basedOn w:val="Normal"/>
    <w:link w:val="CommentTextChar"/>
    <w:uiPriority w:val="99"/>
    <w:semiHidden/>
    <w:unhideWhenUsed/>
    <w:rsid w:val="00E4207F"/>
    <w:rPr>
      <w:sz w:val="20"/>
    </w:rPr>
  </w:style>
  <w:style w:type="character" w:customStyle="1" w:styleId="CommentTextChar">
    <w:name w:val="Comment Text Char"/>
    <w:basedOn w:val="DefaultParagraphFont"/>
    <w:link w:val="CommentText"/>
    <w:uiPriority w:val="99"/>
    <w:semiHidden/>
    <w:rsid w:val="00E4207F"/>
    <w:rPr>
      <w:rFonts w:ascii="Georgia" w:hAnsi="Georgia"/>
    </w:rPr>
  </w:style>
  <w:style w:type="paragraph" w:styleId="CommentSubject">
    <w:name w:val="annotation subject"/>
    <w:basedOn w:val="CommentText"/>
    <w:next w:val="CommentText"/>
    <w:link w:val="CommentSubjectChar"/>
    <w:uiPriority w:val="99"/>
    <w:semiHidden/>
    <w:unhideWhenUsed/>
    <w:rsid w:val="00E4207F"/>
    <w:rPr>
      <w:b/>
      <w:bCs/>
    </w:rPr>
  </w:style>
  <w:style w:type="character" w:customStyle="1" w:styleId="CommentSubjectChar">
    <w:name w:val="Comment Subject Char"/>
    <w:basedOn w:val="CommentTextChar"/>
    <w:link w:val="CommentSubject"/>
    <w:uiPriority w:val="99"/>
    <w:semiHidden/>
    <w:rsid w:val="00E4207F"/>
    <w:rPr>
      <w:rFonts w:ascii="Georgia" w:hAnsi="Georgia"/>
      <w:b/>
      <w:bCs/>
    </w:rPr>
  </w:style>
  <w:style w:type="paragraph" w:styleId="PlainText">
    <w:name w:val="Plain Text"/>
    <w:basedOn w:val="Normal"/>
    <w:link w:val="PlainTextChar"/>
    <w:uiPriority w:val="99"/>
    <w:semiHidden/>
    <w:unhideWhenUsed/>
    <w:rsid w:val="00040D5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40D5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9692">
      <w:bodyDiv w:val="1"/>
      <w:marLeft w:val="0"/>
      <w:marRight w:val="0"/>
      <w:marTop w:val="0"/>
      <w:marBottom w:val="0"/>
      <w:divBdr>
        <w:top w:val="none" w:sz="0" w:space="0" w:color="auto"/>
        <w:left w:val="none" w:sz="0" w:space="0" w:color="auto"/>
        <w:bottom w:val="none" w:sz="0" w:space="0" w:color="auto"/>
        <w:right w:val="none" w:sz="0" w:space="0" w:color="auto"/>
      </w:divBdr>
    </w:div>
    <w:div w:id="221404122">
      <w:bodyDiv w:val="1"/>
      <w:marLeft w:val="0"/>
      <w:marRight w:val="0"/>
      <w:marTop w:val="0"/>
      <w:marBottom w:val="0"/>
      <w:divBdr>
        <w:top w:val="none" w:sz="0" w:space="0" w:color="auto"/>
        <w:left w:val="none" w:sz="0" w:space="0" w:color="auto"/>
        <w:bottom w:val="none" w:sz="0" w:space="0" w:color="auto"/>
        <w:right w:val="none" w:sz="0" w:space="0" w:color="auto"/>
      </w:divBdr>
    </w:div>
    <w:div w:id="300616018">
      <w:bodyDiv w:val="1"/>
      <w:marLeft w:val="0"/>
      <w:marRight w:val="0"/>
      <w:marTop w:val="0"/>
      <w:marBottom w:val="0"/>
      <w:divBdr>
        <w:top w:val="none" w:sz="0" w:space="0" w:color="auto"/>
        <w:left w:val="none" w:sz="0" w:space="0" w:color="auto"/>
        <w:bottom w:val="none" w:sz="0" w:space="0" w:color="auto"/>
        <w:right w:val="none" w:sz="0" w:space="0" w:color="auto"/>
      </w:divBdr>
    </w:div>
    <w:div w:id="388571777">
      <w:bodyDiv w:val="1"/>
      <w:marLeft w:val="0"/>
      <w:marRight w:val="0"/>
      <w:marTop w:val="0"/>
      <w:marBottom w:val="0"/>
      <w:divBdr>
        <w:top w:val="none" w:sz="0" w:space="0" w:color="auto"/>
        <w:left w:val="none" w:sz="0" w:space="0" w:color="auto"/>
        <w:bottom w:val="none" w:sz="0" w:space="0" w:color="auto"/>
        <w:right w:val="none" w:sz="0" w:space="0" w:color="auto"/>
      </w:divBdr>
    </w:div>
    <w:div w:id="522134100">
      <w:bodyDiv w:val="1"/>
      <w:marLeft w:val="0"/>
      <w:marRight w:val="0"/>
      <w:marTop w:val="0"/>
      <w:marBottom w:val="0"/>
      <w:divBdr>
        <w:top w:val="none" w:sz="0" w:space="0" w:color="auto"/>
        <w:left w:val="none" w:sz="0" w:space="0" w:color="auto"/>
        <w:bottom w:val="none" w:sz="0" w:space="0" w:color="auto"/>
        <w:right w:val="none" w:sz="0" w:space="0" w:color="auto"/>
      </w:divBdr>
    </w:div>
    <w:div w:id="560333433">
      <w:bodyDiv w:val="1"/>
      <w:marLeft w:val="0"/>
      <w:marRight w:val="0"/>
      <w:marTop w:val="0"/>
      <w:marBottom w:val="0"/>
      <w:divBdr>
        <w:top w:val="none" w:sz="0" w:space="0" w:color="auto"/>
        <w:left w:val="none" w:sz="0" w:space="0" w:color="auto"/>
        <w:bottom w:val="none" w:sz="0" w:space="0" w:color="auto"/>
        <w:right w:val="none" w:sz="0" w:space="0" w:color="auto"/>
      </w:divBdr>
    </w:div>
    <w:div w:id="666905317">
      <w:bodyDiv w:val="1"/>
      <w:marLeft w:val="0"/>
      <w:marRight w:val="0"/>
      <w:marTop w:val="0"/>
      <w:marBottom w:val="0"/>
      <w:divBdr>
        <w:top w:val="none" w:sz="0" w:space="0" w:color="auto"/>
        <w:left w:val="none" w:sz="0" w:space="0" w:color="auto"/>
        <w:bottom w:val="none" w:sz="0" w:space="0" w:color="auto"/>
        <w:right w:val="none" w:sz="0" w:space="0" w:color="auto"/>
      </w:divBdr>
    </w:div>
    <w:div w:id="750468902">
      <w:bodyDiv w:val="1"/>
      <w:marLeft w:val="0"/>
      <w:marRight w:val="0"/>
      <w:marTop w:val="0"/>
      <w:marBottom w:val="0"/>
      <w:divBdr>
        <w:top w:val="none" w:sz="0" w:space="0" w:color="auto"/>
        <w:left w:val="none" w:sz="0" w:space="0" w:color="auto"/>
        <w:bottom w:val="none" w:sz="0" w:space="0" w:color="auto"/>
        <w:right w:val="none" w:sz="0" w:space="0" w:color="auto"/>
      </w:divBdr>
    </w:div>
    <w:div w:id="916209116">
      <w:bodyDiv w:val="1"/>
      <w:marLeft w:val="0"/>
      <w:marRight w:val="0"/>
      <w:marTop w:val="0"/>
      <w:marBottom w:val="0"/>
      <w:divBdr>
        <w:top w:val="none" w:sz="0" w:space="0" w:color="auto"/>
        <w:left w:val="none" w:sz="0" w:space="0" w:color="auto"/>
        <w:bottom w:val="none" w:sz="0" w:space="0" w:color="auto"/>
        <w:right w:val="none" w:sz="0" w:space="0" w:color="auto"/>
      </w:divBdr>
    </w:div>
    <w:div w:id="1048915201">
      <w:bodyDiv w:val="1"/>
      <w:marLeft w:val="0"/>
      <w:marRight w:val="0"/>
      <w:marTop w:val="0"/>
      <w:marBottom w:val="0"/>
      <w:divBdr>
        <w:top w:val="none" w:sz="0" w:space="0" w:color="auto"/>
        <w:left w:val="none" w:sz="0" w:space="0" w:color="auto"/>
        <w:bottom w:val="none" w:sz="0" w:space="0" w:color="auto"/>
        <w:right w:val="none" w:sz="0" w:space="0" w:color="auto"/>
      </w:divBdr>
    </w:div>
    <w:div w:id="1161849238">
      <w:bodyDiv w:val="1"/>
      <w:marLeft w:val="0"/>
      <w:marRight w:val="0"/>
      <w:marTop w:val="0"/>
      <w:marBottom w:val="0"/>
      <w:divBdr>
        <w:top w:val="none" w:sz="0" w:space="0" w:color="auto"/>
        <w:left w:val="none" w:sz="0" w:space="0" w:color="auto"/>
        <w:bottom w:val="none" w:sz="0" w:space="0" w:color="auto"/>
        <w:right w:val="none" w:sz="0" w:space="0" w:color="auto"/>
      </w:divBdr>
    </w:div>
    <w:div w:id="1195582616">
      <w:bodyDiv w:val="1"/>
      <w:marLeft w:val="0"/>
      <w:marRight w:val="0"/>
      <w:marTop w:val="0"/>
      <w:marBottom w:val="0"/>
      <w:divBdr>
        <w:top w:val="none" w:sz="0" w:space="0" w:color="auto"/>
        <w:left w:val="none" w:sz="0" w:space="0" w:color="auto"/>
        <w:bottom w:val="none" w:sz="0" w:space="0" w:color="auto"/>
        <w:right w:val="none" w:sz="0" w:space="0" w:color="auto"/>
      </w:divBdr>
    </w:div>
    <w:div w:id="1287925250">
      <w:bodyDiv w:val="1"/>
      <w:marLeft w:val="0"/>
      <w:marRight w:val="0"/>
      <w:marTop w:val="0"/>
      <w:marBottom w:val="0"/>
      <w:divBdr>
        <w:top w:val="none" w:sz="0" w:space="0" w:color="auto"/>
        <w:left w:val="none" w:sz="0" w:space="0" w:color="auto"/>
        <w:bottom w:val="none" w:sz="0" w:space="0" w:color="auto"/>
        <w:right w:val="none" w:sz="0" w:space="0" w:color="auto"/>
      </w:divBdr>
    </w:div>
    <w:div w:id="1313758551">
      <w:bodyDiv w:val="1"/>
      <w:marLeft w:val="0"/>
      <w:marRight w:val="0"/>
      <w:marTop w:val="0"/>
      <w:marBottom w:val="0"/>
      <w:divBdr>
        <w:top w:val="none" w:sz="0" w:space="0" w:color="auto"/>
        <w:left w:val="none" w:sz="0" w:space="0" w:color="auto"/>
        <w:bottom w:val="none" w:sz="0" w:space="0" w:color="auto"/>
        <w:right w:val="none" w:sz="0" w:space="0" w:color="auto"/>
      </w:divBdr>
    </w:div>
    <w:div w:id="1319656397">
      <w:bodyDiv w:val="1"/>
      <w:marLeft w:val="0"/>
      <w:marRight w:val="0"/>
      <w:marTop w:val="0"/>
      <w:marBottom w:val="0"/>
      <w:divBdr>
        <w:top w:val="none" w:sz="0" w:space="0" w:color="auto"/>
        <w:left w:val="none" w:sz="0" w:space="0" w:color="auto"/>
        <w:bottom w:val="none" w:sz="0" w:space="0" w:color="auto"/>
        <w:right w:val="none" w:sz="0" w:space="0" w:color="auto"/>
      </w:divBdr>
    </w:div>
    <w:div w:id="1344280318">
      <w:bodyDiv w:val="1"/>
      <w:marLeft w:val="0"/>
      <w:marRight w:val="0"/>
      <w:marTop w:val="0"/>
      <w:marBottom w:val="0"/>
      <w:divBdr>
        <w:top w:val="none" w:sz="0" w:space="0" w:color="auto"/>
        <w:left w:val="none" w:sz="0" w:space="0" w:color="auto"/>
        <w:bottom w:val="none" w:sz="0" w:space="0" w:color="auto"/>
        <w:right w:val="none" w:sz="0" w:space="0" w:color="auto"/>
      </w:divBdr>
    </w:div>
    <w:div w:id="1348748780">
      <w:bodyDiv w:val="1"/>
      <w:marLeft w:val="0"/>
      <w:marRight w:val="0"/>
      <w:marTop w:val="0"/>
      <w:marBottom w:val="0"/>
      <w:divBdr>
        <w:top w:val="none" w:sz="0" w:space="0" w:color="auto"/>
        <w:left w:val="none" w:sz="0" w:space="0" w:color="auto"/>
        <w:bottom w:val="none" w:sz="0" w:space="0" w:color="auto"/>
        <w:right w:val="none" w:sz="0" w:space="0" w:color="auto"/>
      </w:divBdr>
    </w:div>
    <w:div w:id="1462000394">
      <w:bodyDiv w:val="1"/>
      <w:marLeft w:val="0"/>
      <w:marRight w:val="0"/>
      <w:marTop w:val="0"/>
      <w:marBottom w:val="0"/>
      <w:divBdr>
        <w:top w:val="none" w:sz="0" w:space="0" w:color="auto"/>
        <w:left w:val="none" w:sz="0" w:space="0" w:color="auto"/>
        <w:bottom w:val="none" w:sz="0" w:space="0" w:color="auto"/>
        <w:right w:val="none" w:sz="0" w:space="0" w:color="auto"/>
      </w:divBdr>
    </w:div>
    <w:div w:id="1528524001">
      <w:bodyDiv w:val="1"/>
      <w:marLeft w:val="0"/>
      <w:marRight w:val="0"/>
      <w:marTop w:val="0"/>
      <w:marBottom w:val="0"/>
      <w:divBdr>
        <w:top w:val="none" w:sz="0" w:space="0" w:color="auto"/>
        <w:left w:val="none" w:sz="0" w:space="0" w:color="auto"/>
        <w:bottom w:val="none" w:sz="0" w:space="0" w:color="auto"/>
        <w:right w:val="none" w:sz="0" w:space="0" w:color="auto"/>
      </w:divBdr>
    </w:div>
    <w:div w:id="1599681110">
      <w:bodyDiv w:val="1"/>
      <w:marLeft w:val="0"/>
      <w:marRight w:val="0"/>
      <w:marTop w:val="0"/>
      <w:marBottom w:val="0"/>
      <w:divBdr>
        <w:top w:val="none" w:sz="0" w:space="0" w:color="auto"/>
        <w:left w:val="none" w:sz="0" w:space="0" w:color="auto"/>
        <w:bottom w:val="none" w:sz="0" w:space="0" w:color="auto"/>
        <w:right w:val="none" w:sz="0" w:space="0" w:color="auto"/>
      </w:divBdr>
    </w:div>
    <w:div w:id="1614938834">
      <w:bodyDiv w:val="1"/>
      <w:marLeft w:val="0"/>
      <w:marRight w:val="0"/>
      <w:marTop w:val="0"/>
      <w:marBottom w:val="0"/>
      <w:divBdr>
        <w:top w:val="none" w:sz="0" w:space="0" w:color="auto"/>
        <w:left w:val="none" w:sz="0" w:space="0" w:color="auto"/>
        <w:bottom w:val="none" w:sz="0" w:space="0" w:color="auto"/>
        <w:right w:val="none" w:sz="0" w:space="0" w:color="auto"/>
      </w:divBdr>
    </w:div>
    <w:div w:id="1789739228">
      <w:bodyDiv w:val="1"/>
      <w:marLeft w:val="0"/>
      <w:marRight w:val="0"/>
      <w:marTop w:val="0"/>
      <w:marBottom w:val="0"/>
      <w:divBdr>
        <w:top w:val="none" w:sz="0" w:space="0" w:color="auto"/>
        <w:left w:val="none" w:sz="0" w:space="0" w:color="auto"/>
        <w:bottom w:val="none" w:sz="0" w:space="0" w:color="auto"/>
        <w:right w:val="none" w:sz="0" w:space="0" w:color="auto"/>
      </w:divBdr>
    </w:div>
    <w:div w:id="1807383131">
      <w:bodyDiv w:val="1"/>
      <w:marLeft w:val="0"/>
      <w:marRight w:val="0"/>
      <w:marTop w:val="0"/>
      <w:marBottom w:val="0"/>
      <w:divBdr>
        <w:top w:val="none" w:sz="0" w:space="0" w:color="auto"/>
        <w:left w:val="none" w:sz="0" w:space="0" w:color="auto"/>
        <w:bottom w:val="none" w:sz="0" w:space="0" w:color="auto"/>
        <w:right w:val="none" w:sz="0" w:space="0" w:color="auto"/>
      </w:divBdr>
    </w:div>
    <w:div w:id="1957253712">
      <w:bodyDiv w:val="1"/>
      <w:marLeft w:val="0"/>
      <w:marRight w:val="0"/>
      <w:marTop w:val="0"/>
      <w:marBottom w:val="0"/>
      <w:divBdr>
        <w:top w:val="none" w:sz="0" w:space="0" w:color="auto"/>
        <w:left w:val="none" w:sz="0" w:space="0" w:color="auto"/>
        <w:bottom w:val="none" w:sz="0" w:space="0" w:color="auto"/>
        <w:right w:val="none" w:sz="0" w:space="0" w:color="auto"/>
      </w:divBdr>
    </w:div>
    <w:div w:id="2059238288">
      <w:bodyDiv w:val="1"/>
      <w:marLeft w:val="0"/>
      <w:marRight w:val="0"/>
      <w:marTop w:val="0"/>
      <w:marBottom w:val="0"/>
      <w:divBdr>
        <w:top w:val="none" w:sz="0" w:space="0" w:color="auto"/>
        <w:left w:val="none" w:sz="0" w:space="0" w:color="auto"/>
        <w:bottom w:val="none" w:sz="0" w:space="0" w:color="auto"/>
        <w:right w:val="none" w:sz="0" w:space="0" w:color="auto"/>
      </w:divBdr>
    </w:div>
    <w:div w:id="2109697092">
      <w:bodyDiv w:val="1"/>
      <w:marLeft w:val="0"/>
      <w:marRight w:val="0"/>
      <w:marTop w:val="0"/>
      <w:marBottom w:val="0"/>
      <w:divBdr>
        <w:top w:val="none" w:sz="0" w:space="0" w:color="auto"/>
        <w:left w:val="none" w:sz="0" w:space="0" w:color="auto"/>
        <w:bottom w:val="none" w:sz="0" w:space="0" w:color="auto"/>
        <w:right w:val="none" w:sz="0" w:space="0" w:color="auto"/>
      </w:divBdr>
    </w:div>
    <w:div w:id="211362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19" Type="http://schemas.microsoft.com/office/2016/09/relationships/commentsIds" Target="commentsIds.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_rels/footer3.xml.rels>&#65279;<?xml version="1.0" encoding="UTF-8" standalone="yes"?>
<Relationships xmlns="http://schemas.openxmlformats.org/package/2006/relationships">
  <Relationship Id="rId1" Type="http://schemas.openxmlformats.org/officeDocument/2006/relationships/image" Target="media/image3.png" />
</Relationships>
</file>

<file path=word/_rels/header2.xml.rels>&#65279;<?xml version="1.0" encoding="UTF-8" standalone="yes"?>
<Relationships xmlns="http://schemas.openxmlformats.org/package/2006/relationships">
  <Relationship Id="rId1" Type="http://schemas.openxmlformats.org/officeDocument/2006/relationships/image" Target="media/image1.png" />
</Relationships>
</file>

<file path=word/_rels/header3.xml.rels>&#65279;<?xml version="1.0" encoding="UTF-8" standalone="yes"?>
<Relationships xmlns="http://schemas.openxmlformats.org/package/2006/relationships">
  <Relationship Id="rId3" Type="http://schemas.openxmlformats.org/officeDocument/2006/relationships/image" Target="media/image20.png" />
  <Relationship Id="rId2" Type="http://schemas.openxmlformats.org/officeDocument/2006/relationships/image" Target="media/image2.png" />
  <Relationship Id="rId1" Type="http://schemas.openxmlformats.org/officeDocument/2006/relationships/image" Target="media/image1.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ACC05-1BF1-4D00-B42F-3CFE7BEC2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3334</Words>
  <Characters>17455</Characters>
  <Application>Microsoft Office Word</Application>
  <DocSecurity>0</DocSecurity>
  <Lines>345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Matters\45601090.1</vt:lpwstr>
  </property>
</Properties>
</file>