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C1396" w:rsidRDefault="00DF3256">
      <w:pPr>
        <w:rPr>
          <w:b/>
        </w:rPr>
      </w:pPr>
      <w:r>
        <w:rPr>
          <w:b/>
          <w:u w:val="single"/>
        </w:rPr>
        <w:t>Executive Summary:</w:t>
      </w:r>
    </w:p>
    <w:p w14:paraId="00000002" w14:textId="77777777" w:rsidR="00DC1396" w:rsidRDefault="00DF3256">
      <w:pPr>
        <w:rPr>
          <w:b/>
          <w:u w:val="single"/>
        </w:rPr>
      </w:pPr>
      <w:r>
        <w:t xml:space="preserve">The EPDP Phase 2 team sent its first batch of questions to Bird &amp; Bird on 29 August 2019. Bird &amp; Bird answered this batch of questions in a series of three memos. </w:t>
      </w:r>
      <w:hyperlink r:id="rId8">
        <w:r>
          <w:rPr>
            <w:color w:val="1155CC"/>
            <w:u w:val="single"/>
          </w:rPr>
          <w:t>Memo 3</w:t>
        </w:r>
      </w:hyperlink>
      <w:r>
        <w:t xml:space="preserve"> was delivered on 9 September 2019 and analyzes questions about the legal bases under which personal data contained in gTLD registration data could be disclosed to law enforcement authorities outside the data controller’s jurisdiction.</w:t>
      </w:r>
    </w:p>
    <w:p w14:paraId="00000003" w14:textId="77777777" w:rsidR="00DC1396" w:rsidRDefault="00DF3256">
      <w:pPr>
        <w:rPr>
          <w:u w:val="single"/>
        </w:rPr>
      </w:pPr>
      <w:r>
        <w:rPr>
          <w:u w:val="single"/>
        </w:rPr>
        <w:t xml:space="preserve"> </w:t>
      </w:r>
    </w:p>
    <w:p w14:paraId="00000006" w14:textId="5D74ADA8" w:rsidR="00DC1396" w:rsidRDefault="00DF3256">
      <w:r>
        <w:t>Specifically, the memo responds to</w:t>
      </w:r>
      <w:r w:rsidR="00C26E00">
        <w:t xml:space="preserve"> </w:t>
      </w:r>
      <w:r>
        <w:t>the following questions:</w:t>
      </w:r>
    </w:p>
    <w:p w14:paraId="00000007" w14:textId="77777777" w:rsidR="00DC1396" w:rsidRDefault="00DF3256">
      <w:r>
        <w:t xml:space="preserve"> </w:t>
      </w:r>
    </w:p>
    <w:p w14:paraId="624605A4" w14:textId="77777777" w:rsidR="00BF367E" w:rsidRDefault="00DF3256" w:rsidP="002926EA">
      <w:pPr>
        <w:pStyle w:val="ListParagraph"/>
        <w:numPr>
          <w:ilvl w:val="0"/>
          <w:numId w:val="2"/>
        </w:numPr>
      </w:pPr>
      <w:r>
        <w:t xml:space="preserve">Can a data controller rely on Article 6(1)(c) of the GDPR to disclose personal data to law enforcement authorities outside the data controller’s jurisdiction? </w:t>
      </w:r>
    </w:p>
    <w:p w14:paraId="1960BF8E" w14:textId="77777777" w:rsidR="00BF367E" w:rsidRDefault="00DF3256" w:rsidP="00BF367E">
      <w:pPr>
        <w:pStyle w:val="ListParagraph"/>
        <w:numPr>
          <w:ilvl w:val="0"/>
          <w:numId w:val="2"/>
        </w:numPr>
      </w:pPr>
      <w:r>
        <w:t>If not, may the data controller rely on any other legal bases, besides Article 6(1)(f) to disclose personal data to law enforcement authorities outside the data controller’s jurisdiction?</w:t>
      </w:r>
    </w:p>
    <w:p w14:paraId="00000009" w14:textId="102E13C8" w:rsidR="00DC1396" w:rsidRDefault="00BF367E" w:rsidP="00BF367E">
      <w:pPr>
        <w:pStyle w:val="ListParagraph"/>
        <w:numPr>
          <w:ilvl w:val="0"/>
          <w:numId w:val="2"/>
        </w:numPr>
      </w:pPr>
      <w:r>
        <w:t>Is it possible for non-EU</w:t>
      </w:r>
      <w:r w:rsidRPr="00BF367E">
        <w:t xml:space="preserve">-based law enforcement authorities to rely on art 6(1)(f) </w:t>
      </w:r>
      <w:r>
        <w:t>GDPR</w:t>
      </w:r>
      <w:r w:rsidRPr="00BF367E">
        <w:t xml:space="preserve"> as a legal basis for their processing? In this context, can the data controller rely on art 6(1)(f) </w:t>
      </w:r>
      <w:r>
        <w:t>GDPR</w:t>
      </w:r>
      <w:r w:rsidRPr="00BF367E">
        <w:t xml:space="preserve"> to disclose the personal data? If</w:t>
      </w:r>
      <w:r>
        <w:t xml:space="preserve"> non-EU</w:t>
      </w:r>
      <w:r w:rsidRPr="00BF367E">
        <w:t xml:space="preserve">-based law enforcement authorities cannot rely on art 6(1)(f) </w:t>
      </w:r>
      <w:r>
        <w:t>GDPR</w:t>
      </w:r>
      <w:r w:rsidRPr="00BF367E">
        <w:t xml:space="preserve"> as a legal basis for their processing</w:t>
      </w:r>
      <w:r>
        <w:t>, on what lawful basis can non-EU</w:t>
      </w:r>
      <w:r w:rsidRPr="00BF367E">
        <w:t>-based law enforcement rely?</w:t>
      </w:r>
    </w:p>
    <w:p w14:paraId="42B79D41" w14:textId="77777777" w:rsidR="00BF367E" w:rsidRDefault="00BF367E" w:rsidP="00BF367E">
      <w:pPr>
        <w:pStyle w:val="ListParagraph"/>
      </w:pPr>
    </w:p>
    <w:p w14:paraId="0000000A" w14:textId="19188E53" w:rsidR="00DC1396" w:rsidRDefault="00DF3256">
      <w:r>
        <w:t xml:space="preserve"> </w:t>
      </w:r>
      <w:r w:rsidR="00BF367E">
        <w:t xml:space="preserve">Overall, </w:t>
      </w:r>
      <w:r>
        <w:t>Bird &amp; Bird advised that:</w:t>
      </w:r>
    </w:p>
    <w:p w14:paraId="0000000B" w14:textId="77777777" w:rsidR="00DC1396" w:rsidRDefault="00DC1396">
      <w:pPr>
        <w:rPr>
          <w:i/>
        </w:rPr>
      </w:pPr>
    </w:p>
    <w:p w14:paraId="07932D43" w14:textId="08065315" w:rsidR="00DF6D9F" w:rsidRDefault="00DF3256" w:rsidP="00DF6D9F">
      <w:pPr>
        <w:pStyle w:val="ListParagraph"/>
        <w:numPr>
          <w:ilvl w:val="0"/>
          <w:numId w:val="4"/>
        </w:numPr>
      </w:pPr>
      <w:r>
        <w:t xml:space="preserve">To apply Art 6(1)(c) there must be "Union law or Member State law to which the controller is subject" and </w:t>
      </w:r>
      <w:r w:rsidR="00BF367E">
        <w:t xml:space="preserve">this ground </w:t>
      </w:r>
      <w:r>
        <w:t xml:space="preserve">therefore </w:t>
      </w:r>
      <w:r w:rsidR="00BF367E">
        <w:t xml:space="preserve">has </w:t>
      </w:r>
      <w:r>
        <w:t>limited applica</w:t>
      </w:r>
      <w:r w:rsidR="00BF367E">
        <w:t>tion</w:t>
      </w:r>
      <w:r>
        <w:t xml:space="preserve"> where LEA is outside of the</w:t>
      </w:r>
      <w:ins w:id="0" w:author="Crossman, Matthew" w:date="2019-12-04T17:01:00Z">
        <w:r w:rsidR="006D1E3C">
          <w:t xml:space="preserve"> </w:t>
        </w:r>
        <w:commentRangeStart w:id="1"/>
        <w:r w:rsidR="006D1E3C">
          <w:t>controller’s</w:t>
        </w:r>
      </w:ins>
      <w:r>
        <w:t xml:space="preserve"> jurisdiction</w:t>
      </w:r>
      <w:commentRangeEnd w:id="1"/>
      <w:r w:rsidR="006D1E3C">
        <w:rPr>
          <w:rStyle w:val="CommentReference"/>
        </w:rPr>
        <w:commentReference w:id="1"/>
      </w:r>
      <w:ins w:id="2" w:author="Crossman, Matthew" w:date="2019-12-05T17:57:00Z">
        <w:r w:rsidR="00DF6D9F">
          <w:t>.</w:t>
        </w:r>
      </w:ins>
    </w:p>
    <w:p w14:paraId="002B60F4" w14:textId="2372FF14" w:rsidR="00DF6D9F" w:rsidRDefault="00DF3256" w:rsidP="00DF6D9F">
      <w:pPr>
        <w:pStyle w:val="ListParagraph"/>
        <w:numPr>
          <w:ilvl w:val="0"/>
          <w:numId w:val="4"/>
        </w:numPr>
      </w:pPr>
      <w:r>
        <w:t>Under the six lawful bases for processing personal data, Articles 6(1)(a) - Consent, 6(1)(b) - Contract, 6(1)(d) - Vital interests of a person, and 6(1)(e) - Public interest or official authority are not likely applicable for LEA requests</w:t>
      </w:r>
      <w:del w:id="3" w:author="Crossman, Matthew" w:date="2019-12-05T17:58:00Z">
        <w:r w:rsidDel="00DF6D9F">
          <w:delText>;</w:delText>
        </w:r>
      </w:del>
      <w:ins w:id="4" w:author="Crossman, Matthew" w:date="2019-12-05T17:58:00Z">
        <w:r w:rsidR="00DF6D9F">
          <w:t>.</w:t>
        </w:r>
      </w:ins>
    </w:p>
    <w:p w14:paraId="11A50466" w14:textId="6005BA76" w:rsidR="00DF6D9F" w:rsidRDefault="00DF3256" w:rsidP="00DF6D9F">
      <w:pPr>
        <w:pStyle w:val="ListParagraph"/>
        <w:numPr>
          <w:ilvl w:val="0"/>
          <w:numId w:val="4"/>
        </w:numPr>
      </w:pPr>
      <w:r>
        <w:t>Art 6(1)(f) - Legitimate interest, may be an applicable basis for the controller where a non-EU law enforcement authority makes a request to obtain personal data from a controller in the EU</w:t>
      </w:r>
      <w:del w:id="5" w:author="Crossman, Matthew" w:date="2019-12-05T17:58:00Z">
        <w:r w:rsidDel="00DF6D9F">
          <w:delText>; and</w:delText>
        </w:r>
      </w:del>
      <w:ins w:id="6" w:author="Crossman, Matthew" w:date="2019-12-05T17:58:00Z">
        <w:r w:rsidR="00DF6D9F">
          <w:t>.</w:t>
        </w:r>
      </w:ins>
    </w:p>
    <w:p w14:paraId="24E8D306" w14:textId="77777777" w:rsidR="00DF6D9F" w:rsidRDefault="00BF367E" w:rsidP="00DF6D9F">
      <w:pPr>
        <w:pStyle w:val="ListParagraph"/>
        <w:numPr>
          <w:ilvl w:val="0"/>
          <w:numId w:val="4"/>
        </w:numPr>
      </w:pPr>
      <w:r>
        <w:t xml:space="preserve">If a LEA is outside the EEA, their legal basis for processing under GDPR is not relevant as they are not subject to GDPR. </w:t>
      </w:r>
      <w:r w:rsidR="00DF3256">
        <w:t>Organizations disclosing</w:t>
      </w:r>
      <w:r>
        <w:t xml:space="preserve"> to LEAs outside the EEA will still need a valid basis to do so, which will usually be legitimate interest in ICANN's case.</w:t>
      </w:r>
    </w:p>
    <w:p w14:paraId="00000011" w14:textId="6D5F4012" w:rsidR="00DC1396" w:rsidRPr="00C87360" w:rsidRDefault="00C87360" w:rsidP="00DF6D9F">
      <w:pPr>
        <w:pStyle w:val="ListParagraph"/>
        <w:numPr>
          <w:ilvl w:val="0"/>
          <w:numId w:val="4"/>
        </w:numPr>
      </w:pPr>
      <w:r>
        <w:t>Where</w:t>
      </w:r>
      <w:r w:rsidR="00DF3256">
        <w:t xml:space="preserve"> the CP is subject to GDPR </w:t>
      </w:r>
      <w:r>
        <w:t xml:space="preserve">but is located outside the EEA, they will also be subject to local law. This means </w:t>
      </w:r>
      <w:r w:rsidR="00DF3256">
        <w:t>that controllers may face a conflict of laws.</w:t>
      </w:r>
    </w:p>
    <w:p w14:paraId="00000013" w14:textId="6EDFA4E3" w:rsidR="00DC1396" w:rsidRDefault="00DF3256" w:rsidP="00A912D9">
      <w:pPr>
        <w:spacing w:before="200" w:line="240" w:lineRule="auto"/>
      </w:pPr>
      <w:r>
        <w:rPr>
          <w:b/>
        </w:rPr>
        <w:t>1. Can a data controller rely on Article 6(1)(c) GDPR to disclose personal data to law enforcement authorities outside the data controller’s jurisdiction?</w:t>
      </w:r>
      <w:r>
        <w:t xml:space="preserve"> </w:t>
      </w:r>
    </w:p>
    <w:p w14:paraId="70F07869" w14:textId="77777777" w:rsidR="00DF6D9F" w:rsidRDefault="00DF3256" w:rsidP="00A912D9">
      <w:pPr>
        <w:pStyle w:val="ListParagraph"/>
        <w:numPr>
          <w:ilvl w:val="0"/>
          <w:numId w:val="6"/>
        </w:numPr>
        <w:spacing w:before="200" w:line="240" w:lineRule="auto"/>
        <w:contextualSpacing w:val="0"/>
      </w:pPr>
      <w:del w:id="7" w:author="Crossman, Matthew" w:date="2019-12-05T17:58:00Z">
        <w:r w:rsidDel="00DF6D9F">
          <w:delText>Some key takeaways from throughout this section of the m</w:delText>
        </w:r>
      </w:del>
      <w:r>
        <w:t>Processing necessary for compliance with a legal obligation to which the controller is subject is only available where the legal obligation is set out in EU or Member State law.</w:t>
      </w:r>
    </w:p>
    <w:p w14:paraId="3C511DCA" w14:textId="77777777" w:rsidR="00DF6D9F" w:rsidRDefault="00DF3256" w:rsidP="00A912D9">
      <w:pPr>
        <w:pStyle w:val="ListParagraph"/>
        <w:numPr>
          <w:ilvl w:val="0"/>
          <w:numId w:val="6"/>
        </w:numPr>
        <w:spacing w:before="200" w:line="240" w:lineRule="auto"/>
        <w:contextualSpacing w:val="0"/>
      </w:pPr>
      <w:r>
        <w:t>Where the controller is subject to disclosure obligations which arise from laws in jurisdictions outside the EU, the controller cannot rely on Art 6(1)(c).</w:t>
      </w:r>
    </w:p>
    <w:p w14:paraId="4B6AC930" w14:textId="77777777" w:rsidR="00DF6D9F" w:rsidRDefault="00DF3256" w:rsidP="00A912D9">
      <w:pPr>
        <w:pStyle w:val="ListParagraph"/>
        <w:numPr>
          <w:ilvl w:val="0"/>
          <w:numId w:val="6"/>
        </w:numPr>
        <w:spacing w:before="200" w:line="240" w:lineRule="auto"/>
        <w:contextualSpacing w:val="0"/>
      </w:pPr>
      <w:r>
        <w:lastRenderedPageBreak/>
        <w:t>Controller may be subject to a legal obligation under EU or Member State law to disclose personal data to a non-EU law enforcement authority.</w:t>
      </w:r>
    </w:p>
    <w:p w14:paraId="00000018" w14:textId="3595B5C3" w:rsidR="00DC1396" w:rsidRDefault="00DF3256" w:rsidP="00A912D9">
      <w:pPr>
        <w:pStyle w:val="ListParagraph"/>
        <w:numPr>
          <w:ilvl w:val="0"/>
          <w:numId w:val="6"/>
        </w:numPr>
        <w:spacing w:before="200" w:line="240" w:lineRule="auto"/>
        <w:contextualSpacing w:val="0"/>
      </w:pPr>
      <w:r>
        <w:t>MLATs may cover, but when a request comes in where an MLAT exists, the controller should deny the request and refer to the MLAT</w:t>
      </w:r>
      <w:r w:rsidR="00C87360">
        <w:t>.</w:t>
      </w:r>
      <w:r>
        <w:t xml:space="preserve"> </w:t>
      </w:r>
      <w:r w:rsidR="00C87360">
        <w:t>W</w:t>
      </w:r>
      <w:r>
        <w:t>here no MLAT or other agreement exists</w:t>
      </w:r>
      <w:r w:rsidR="00C87360">
        <w:t>, the controller need</w:t>
      </w:r>
      <w:r w:rsidR="00E422B0">
        <w:t>s</w:t>
      </w:r>
      <w:r w:rsidR="00C87360">
        <w:t xml:space="preserve"> to ensure that the disclosure to a third country </w:t>
      </w:r>
      <w:r>
        <w:t>would</w:t>
      </w:r>
      <w:r w:rsidR="00C87360">
        <w:t xml:space="preserve"> not be in breach of local law</w:t>
      </w:r>
      <w:r>
        <w:t>.</w:t>
      </w:r>
    </w:p>
    <w:p w14:paraId="00000019" w14:textId="77777777" w:rsidR="00DC1396" w:rsidRDefault="00DF3256" w:rsidP="00A912D9">
      <w:pPr>
        <w:spacing w:before="200" w:line="240" w:lineRule="auto"/>
        <w:rPr>
          <w:b/>
        </w:rPr>
      </w:pPr>
      <w:r>
        <w:rPr>
          <w:b/>
        </w:rPr>
        <w:t>2. May the data controller rely on any other legal bases, besides Article 6(1)(f) GDPR, to disclose personal data to law enforcement authorities outside the data controller’s jurisdiction?</w:t>
      </w:r>
    </w:p>
    <w:p w14:paraId="0000001A" w14:textId="17DAE236" w:rsidR="00DC1396" w:rsidDel="00A912D9" w:rsidRDefault="00DF3256" w:rsidP="00A912D9">
      <w:pPr>
        <w:spacing w:before="200" w:line="240" w:lineRule="auto"/>
        <w:rPr>
          <w:del w:id="8" w:author="Crossman, Matthew" w:date="2019-12-05T22:14:00Z"/>
          <w:b/>
        </w:rPr>
      </w:pPr>
      <w:del w:id="9" w:author="Crossman, Matthew" w:date="2019-12-05T22:14:00Z">
        <w:r w:rsidDel="00A912D9">
          <w:rPr>
            <w:b/>
          </w:rPr>
          <w:delText xml:space="preserve"> </w:delText>
        </w:r>
      </w:del>
    </w:p>
    <w:p w14:paraId="0000001B" w14:textId="7B1C2860" w:rsidR="00DC1396" w:rsidDel="00A912D9" w:rsidRDefault="00DF3256" w:rsidP="00A912D9">
      <w:pPr>
        <w:spacing w:before="200" w:line="240" w:lineRule="auto"/>
        <w:rPr>
          <w:del w:id="10" w:author="Crossman, Matthew" w:date="2019-12-05T22:14:00Z"/>
        </w:rPr>
      </w:pPr>
      <w:del w:id="11" w:author="Crossman, Matthew" w:date="2019-12-05T22:14:00Z">
        <w:r w:rsidDel="00A912D9">
          <w:delText>Some key takeaways from throughout this section of the memo:</w:delText>
        </w:r>
      </w:del>
    </w:p>
    <w:p w14:paraId="6C8BCABE" w14:textId="77777777" w:rsidR="00A912D9" w:rsidRDefault="00DF3256" w:rsidP="00A912D9">
      <w:pPr>
        <w:pStyle w:val="ListParagraph"/>
        <w:numPr>
          <w:ilvl w:val="0"/>
          <w:numId w:val="7"/>
        </w:numPr>
        <w:spacing w:before="200" w:line="240" w:lineRule="auto"/>
        <w:contextualSpacing w:val="0"/>
      </w:pPr>
      <w:r>
        <w:t>6(1)(f) and 6(1)(c) may apply but the other five lawful bases for processing personal data likely not.</w:t>
      </w:r>
    </w:p>
    <w:p w14:paraId="00000020" w14:textId="6B02E807" w:rsidR="00DC1396" w:rsidRDefault="00DF3256" w:rsidP="00A912D9">
      <w:pPr>
        <w:pStyle w:val="ListParagraph"/>
        <w:numPr>
          <w:ilvl w:val="0"/>
          <w:numId w:val="7"/>
        </w:numPr>
        <w:spacing w:before="200" w:line="240" w:lineRule="auto"/>
        <w:contextualSpacing w:val="0"/>
      </w:pPr>
      <w:r>
        <w:t>Where a non-EU law enforcement authority makes a request to obtain personal data from a controller in the EU, the controller may be able to show a legitimate interest (6(1)(f)) in disclosing the data. The EDPB has also suggested this approach in correspondence to ICANN (e.g. EDPB-85-2018).</w:t>
      </w:r>
    </w:p>
    <w:p w14:paraId="00000022" w14:textId="0957AA56" w:rsidR="00DC1396" w:rsidDel="00A912D9" w:rsidRDefault="00DF3256" w:rsidP="00A912D9">
      <w:pPr>
        <w:spacing w:before="200" w:line="240" w:lineRule="auto"/>
        <w:rPr>
          <w:del w:id="12" w:author="Crossman, Matthew" w:date="2019-12-05T22:14:00Z"/>
          <w:b/>
        </w:rPr>
      </w:pPr>
      <w:r>
        <w:rPr>
          <w:b/>
        </w:rPr>
        <w:t>3. Is it possible for non-EU-based law enforcement authorities to rely on Article 6(1)(f) GDPR as a legal basis for their processing? In this context, can the data controller rely on Article 6(1)(f) GDPR to disclose the personal data? If non-EU-based law enforcement authorities cannot rely on Article 6(1)(f) GDPR as a legal basis for their processing, on what lawful basis can non-EU-based law enforcement rely?</w:t>
      </w:r>
      <w:bookmarkStart w:id="13" w:name="_GoBack"/>
      <w:bookmarkEnd w:id="13"/>
      <w:del w:id="14" w:author="Crossman, Matthew" w:date="2019-12-05T22:14:00Z">
        <w:r w:rsidDel="00A912D9">
          <w:rPr>
            <w:b/>
          </w:rPr>
          <w:delText xml:space="preserve"> </w:delText>
        </w:r>
      </w:del>
    </w:p>
    <w:p w14:paraId="00000023" w14:textId="1B8F9C92" w:rsidR="00DC1396" w:rsidDel="00A912D9" w:rsidRDefault="00DF3256" w:rsidP="00A912D9">
      <w:pPr>
        <w:spacing w:before="200" w:line="240" w:lineRule="auto"/>
        <w:rPr>
          <w:del w:id="15" w:author="Crossman, Matthew" w:date="2019-12-05T22:14:00Z"/>
        </w:rPr>
      </w:pPr>
      <w:del w:id="16" w:author="Crossman, Matthew" w:date="2019-12-05T22:14:00Z">
        <w:r w:rsidDel="00A912D9">
          <w:delText>Some key takeaways from throughout this section of the memo:</w:delText>
        </w:r>
      </w:del>
    </w:p>
    <w:p w14:paraId="00000024" w14:textId="6F76551E" w:rsidR="00DC1396" w:rsidRDefault="00DF3256" w:rsidP="00A912D9">
      <w:pPr>
        <w:spacing w:before="200" w:line="240" w:lineRule="auto"/>
      </w:pPr>
      <w:del w:id="17" w:author="Crossman, Matthew" w:date="2019-12-05T22:14:00Z">
        <w:r w:rsidDel="00A912D9">
          <w:delText xml:space="preserve"> </w:delText>
        </w:r>
      </w:del>
    </w:p>
    <w:p w14:paraId="197206C8" w14:textId="77777777" w:rsidR="00A912D9" w:rsidRDefault="00DF3256" w:rsidP="00A912D9">
      <w:pPr>
        <w:pStyle w:val="ListParagraph"/>
        <w:numPr>
          <w:ilvl w:val="0"/>
          <w:numId w:val="8"/>
        </w:numPr>
        <w:spacing w:before="200" w:line="240" w:lineRule="auto"/>
        <w:contextualSpacing w:val="0"/>
      </w:pPr>
      <w:r>
        <w:t>As entities of a country, law enforcement authorities are covered by state immunity and therefore non-EU-based law enforcement authorities are not subject to the GDPR.</w:t>
      </w:r>
    </w:p>
    <w:p w14:paraId="6B484233" w14:textId="77777777" w:rsidR="00A912D9" w:rsidRDefault="00DF3256" w:rsidP="00A912D9">
      <w:pPr>
        <w:pStyle w:val="ListParagraph"/>
        <w:numPr>
          <w:ilvl w:val="0"/>
          <w:numId w:val="8"/>
        </w:numPr>
        <w:spacing w:before="200" w:line="240" w:lineRule="auto"/>
        <w:contextualSpacing w:val="0"/>
      </w:pPr>
      <w:r>
        <w:t>Even assuming the GDPR could apply to non-EU-based law enforcement authorities</w:t>
      </w:r>
      <w:r w:rsidR="00DF6D9F">
        <w:t xml:space="preserve">, </w:t>
      </w:r>
      <w:r>
        <w:t>it seems unlikely that law enforcement authorities outside the EU would consider justifying their processing under the GDPR.</w:t>
      </w:r>
    </w:p>
    <w:p w14:paraId="6BC539DB" w14:textId="77777777" w:rsidR="00A912D9" w:rsidRDefault="00DF3256" w:rsidP="00A912D9">
      <w:pPr>
        <w:pStyle w:val="ListParagraph"/>
        <w:numPr>
          <w:ilvl w:val="0"/>
          <w:numId w:val="8"/>
        </w:numPr>
        <w:spacing w:before="200" w:line="240" w:lineRule="auto"/>
        <w:contextualSpacing w:val="0"/>
      </w:pPr>
      <w:r>
        <w:t>N</w:t>
      </w:r>
      <w:r w:rsidRPr="00DF3256">
        <w:t>on-EU-based law enforcement authorities</w:t>
      </w:r>
      <w:r>
        <w:t xml:space="preserve"> therefore do not need to assess which GDPR legal basis they </w:t>
      </w:r>
      <w:r w:rsidR="00A912D9">
        <w:t>rely on for processing the data.</w:t>
      </w:r>
    </w:p>
    <w:p w14:paraId="00000027" w14:textId="7F8D5365" w:rsidR="00DC1396" w:rsidRDefault="00DF3256" w:rsidP="00A912D9">
      <w:pPr>
        <w:pStyle w:val="ListParagraph"/>
        <w:numPr>
          <w:ilvl w:val="0"/>
          <w:numId w:val="8"/>
        </w:numPr>
        <w:spacing w:before="200" w:line="240" w:lineRule="auto"/>
        <w:contextualSpacing w:val="0"/>
      </w:pPr>
      <w:r>
        <w:t>A controller who transfers data to a LEA outside the EU will nevertheless need to consider how to meet the obligations in Chapter V (transfers of personal data to third countries or international organizations).</w:t>
      </w:r>
    </w:p>
    <w:p w14:paraId="00000028" w14:textId="77777777" w:rsidR="00DC1396" w:rsidRDefault="00DC1396"/>
    <w:p w14:paraId="00000029" w14:textId="77777777" w:rsidR="00DC1396" w:rsidRDefault="00DC1396"/>
    <w:sectPr w:rsidR="00DC1396" w:rsidSect="00C26E0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Crossman, Matthew" w:date="2019-12-04T17:01:00Z" w:initials="CM">
    <w:p w14:paraId="0D490679" w14:textId="6E8AE379" w:rsidR="00DF6D9F" w:rsidRDefault="00DF6D9F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>Added for clarity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D490679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0184B" w14:textId="77777777" w:rsidR="00367101" w:rsidRDefault="00367101">
      <w:pPr>
        <w:spacing w:line="240" w:lineRule="auto"/>
      </w:pPr>
      <w:r>
        <w:separator/>
      </w:r>
    </w:p>
  </w:endnote>
  <w:endnote w:type="continuationSeparator" w:id="0">
    <w:p w14:paraId="2D5E9204" w14:textId="77777777" w:rsidR="00367101" w:rsidRDefault="003671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C" w14:textId="7EB2F37A" w:rsidR="00DF6D9F" w:rsidRDefault="00DF6D9F">
    <w:pPr>
      <w:jc w:val="right"/>
    </w:pPr>
    <w:r>
      <w:fldChar w:fldCharType="begin"/>
    </w:r>
    <w:r>
      <w:instrText>PAGE</w:instrText>
    </w:r>
    <w:r>
      <w:fldChar w:fldCharType="separate"/>
    </w:r>
    <w:r w:rsidR="00C10EF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A4922" w14:textId="77777777" w:rsidR="00367101" w:rsidRDefault="00367101">
      <w:pPr>
        <w:spacing w:line="240" w:lineRule="auto"/>
      </w:pPr>
      <w:r>
        <w:separator/>
      </w:r>
    </w:p>
  </w:footnote>
  <w:footnote w:type="continuationSeparator" w:id="0">
    <w:p w14:paraId="79F035B0" w14:textId="77777777" w:rsidR="00367101" w:rsidRDefault="003671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A" w14:textId="77777777" w:rsidR="00DF6D9F" w:rsidRDefault="00DF6D9F">
    <w:pPr>
      <w:jc w:val="center"/>
      <w:rPr>
        <w:b/>
      </w:rPr>
    </w:pPr>
    <w:r>
      <w:rPr>
        <w:b/>
      </w:rPr>
      <w:t xml:space="preserve">EPDP Phase 2 Legal Committee Summary of Bird &amp; Bird Memo 3: </w:t>
    </w:r>
  </w:p>
  <w:p w14:paraId="0000002B" w14:textId="77777777" w:rsidR="00DF6D9F" w:rsidRDefault="00DF6D9F">
    <w:pPr>
      <w:jc w:val="center"/>
    </w:pPr>
    <w:r>
      <w:rPr>
        <w:b/>
      </w:rPr>
      <w:t>Question 4: Lawful basis for disclosure to law enforcement authorities outside the controller's jurisdiction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1CAC"/>
    <w:multiLevelType w:val="hybridMultilevel"/>
    <w:tmpl w:val="3A0C3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B760A"/>
    <w:multiLevelType w:val="hybridMultilevel"/>
    <w:tmpl w:val="3E941568"/>
    <w:lvl w:ilvl="0" w:tplc="1E7278F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4F6DD7"/>
    <w:multiLevelType w:val="hybridMultilevel"/>
    <w:tmpl w:val="2C72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D6E12"/>
    <w:multiLevelType w:val="hybridMultilevel"/>
    <w:tmpl w:val="D75ED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16546"/>
    <w:multiLevelType w:val="hybridMultilevel"/>
    <w:tmpl w:val="D45EB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9506E"/>
    <w:multiLevelType w:val="hybridMultilevel"/>
    <w:tmpl w:val="9404E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131CC"/>
    <w:multiLevelType w:val="multilevel"/>
    <w:tmpl w:val="314C8D3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7A7C4552"/>
    <w:multiLevelType w:val="hybridMultilevel"/>
    <w:tmpl w:val="4E4AD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rossman, Matthew">
    <w15:presenceInfo w15:providerId="AD" w15:userId="S-1-5-21-1407069837-2091007605-538272213-280893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96"/>
    <w:rsid w:val="001878D0"/>
    <w:rsid w:val="00250992"/>
    <w:rsid w:val="002926EA"/>
    <w:rsid w:val="00367101"/>
    <w:rsid w:val="004B3A21"/>
    <w:rsid w:val="005F2462"/>
    <w:rsid w:val="006D1E3C"/>
    <w:rsid w:val="00751FD4"/>
    <w:rsid w:val="00A912D9"/>
    <w:rsid w:val="00BF367E"/>
    <w:rsid w:val="00C10EFF"/>
    <w:rsid w:val="00C26E00"/>
    <w:rsid w:val="00C87360"/>
    <w:rsid w:val="00DC1396"/>
    <w:rsid w:val="00DF3256"/>
    <w:rsid w:val="00DF6D9F"/>
    <w:rsid w:val="00E422B0"/>
    <w:rsid w:val="00F3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9C41B"/>
  <w15:docId w15:val="{6E4AA90C-1EF2-4DD2-9B1A-D7F63CC1E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E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E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6E0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E00"/>
  </w:style>
  <w:style w:type="paragraph" w:styleId="Footer">
    <w:name w:val="footer"/>
    <w:basedOn w:val="Normal"/>
    <w:link w:val="FooterChar"/>
    <w:uiPriority w:val="99"/>
    <w:unhideWhenUsed/>
    <w:rsid w:val="00C26E0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E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A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A2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F3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y.icann.org/download/attachments/117604842/ICANN-EPDP%20-%20Q4%20-%209th%20September%202019%5B1%5D.pdf?version=1&amp;modificationDate=1568143573000&amp;api=v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315B0-9BFA-449C-845E-69CDA5FAC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Bird &amp; Bird LLP</Company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Crossman, Matthew</dc:creator>
  <cp:lastModifiedBy>Crossman, Matthew</cp:lastModifiedBy>
  <cp:revision>2</cp:revision>
  <dcterms:created xsi:type="dcterms:W3CDTF">2019-12-06T06:20:00Z</dcterms:created>
  <dcterms:modified xsi:type="dcterms:W3CDTF">2019-12-06T06:20:00Z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bFooterStyle">
    <vt:lpwstr>SHORT</vt:lpwstr>
  </property>
  <property fmtid="{D5CDD505-2E9C-101B-9397-08002B2CF9AE}" pid="3" name="BBDocRef">
    <vt:lpwstr>Matters\49505475.1</vt:lpwstr>
  </property>
</Properties>
</file>