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99D5" w14:textId="77777777" w:rsidR="00993F3F" w:rsidRPr="0059233F" w:rsidRDefault="00993F3F" w:rsidP="00993F3F">
      <w:pPr>
        <w:widowControl w:val="0"/>
        <w:autoSpaceDE w:val="0"/>
        <w:autoSpaceDN w:val="0"/>
        <w:jc w:val="both"/>
        <w:rPr>
          <w:rFonts w:ascii="Georgia" w:eastAsia="Calibri" w:hAnsi="Georgia" w:cs="Calibri"/>
          <w:b/>
          <w:bCs/>
        </w:rPr>
      </w:pPr>
      <w:r w:rsidRPr="0059233F">
        <w:rPr>
          <w:rFonts w:ascii="Georgia" w:eastAsia="Calibri" w:hAnsi="Georgia" w:cs="Calibri"/>
          <w:b/>
          <w:bCs/>
        </w:rPr>
        <w:t>EXECUTIVE SUMMARY</w:t>
      </w:r>
    </w:p>
    <w:p w14:paraId="259BE232" w14:textId="77777777" w:rsidR="00993F3F" w:rsidRPr="009C1932" w:rsidRDefault="00993F3F" w:rsidP="00993F3F">
      <w:pPr>
        <w:pStyle w:val="BBBodyTextNoSpacing"/>
        <w:widowControl w:val="0"/>
        <w:rPr>
          <w:rFonts w:ascii="Georgia" w:hAnsi="Georgia"/>
        </w:rPr>
      </w:pPr>
      <w:r w:rsidRPr="009C1932">
        <w:rPr>
          <w:rFonts w:ascii="Georgia" w:hAnsi="Georgia"/>
        </w:rPr>
        <w:t>Advice on</w:t>
      </w:r>
      <w:r>
        <w:rPr>
          <w:rFonts w:ascii="Georgia" w:hAnsi="Georgia"/>
        </w:rPr>
        <w:t xml:space="preserve"> consent options for the purpose of making personal data public in RDS and requirements under </w:t>
      </w:r>
      <w:r w:rsidRPr="009C1932">
        <w:rPr>
          <w:rFonts w:ascii="Georgia" w:hAnsi="Georgia"/>
        </w:rPr>
        <w:t>the General Data Protection Regulation (Regulation (EU) 2016/679) ("</w:t>
      </w:r>
      <w:r w:rsidRPr="009C1932">
        <w:rPr>
          <w:rFonts w:ascii="Georgia" w:hAnsi="Georgia"/>
          <w:b/>
        </w:rPr>
        <w:t>GDPR</w:t>
      </w:r>
      <w:r w:rsidRPr="009C1932">
        <w:rPr>
          <w:rFonts w:ascii="Georgia" w:hAnsi="Georgia"/>
        </w:rPr>
        <w:t>")</w:t>
      </w:r>
      <w:r>
        <w:rPr>
          <w:rFonts w:ascii="Georgia" w:hAnsi="Georgia"/>
        </w:rPr>
        <w:t xml:space="preserve"> </w:t>
      </w:r>
    </w:p>
    <w:p w14:paraId="37F39A63" w14:textId="77777777" w:rsidR="00993F3F" w:rsidRDefault="00993F3F" w:rsidP="00993F3F">
      <w:pPr>
        <w:widowControl w:val="0"/>
        <w:autoSpaceDE w:val="0"/>
        <w:autoSpaceDN w:val="0"/>
        <w:jc w:val="both"/>
        <w:rPr>
          <w:rFonts w:ascii="Georgia" w:eastAsia="Calibri" w:hAnsi="Georgia" w:cs="Calibri"/>
        </w:rPr>
      </w:pPr>
    </w:p>
    <w:p w14:paraId="177697B1" w14:textId="77777777" w:rsidR="00993F3F" w:rsidRPr="00235CB7" w:rsidRDefault="00993F3F" w:rsidP="00993F3F">
      <w:pPr>
        <w:widowControl w:val="0"/>
        <w:autoSpaceDE w:val="0"/>
        <w:autoSpaceDN w:val="0"/>
        <w:jc w:val="both"/>
        <w:rPr>
          <w:rFonts w:ascii="Georgia" w:eastAsia="Calibri" w:hAnsi="Georgia" w:cs="Calibri"/>
          <w:u w:val="single"/>
        </w:rPr>
      </w:pPr>
      <w:r w:rsidRPr="00235CB7">
        <w:rPr>
          <w:rFonts w:ascii="Georgia" w:eastAsia="Calibri" w:hAnsi="Georgia" w:cs="Calibri"/>
          <w:u w:val="single"/>
        </w:rPr>
        <w:t>Consent requirements</w:t>
      </w:r>
    </w:p>
    <w:p w14:paraId="3BA61EF8" w14:textId="77777777" w:rsidR="00993F3F" w:rsidRPr="0059233F" w:rsidRDefault="00993F3F" w:rsidP="00993F3F">
      <w:pPr>
        <w:widowControl w:val="0"/>
        <w:autoSpaceDE w:val="0"/>
        <w:autoSpaceDN w:val="0"/>
        <w:spacing w:before="240"/>
        <w:jc w:val="both"/>
        <w:rPr>
          <w:rFonts w:ascii="Georgia" w:eastAsia="Calibri" w:hAnsi="Georgia" w:cs="Calibri"/>
        </w:rPr>
      </w:pPr>
      <w:r w:rsidRPr="0059233F">
        <w:rPr>
          <w:rFonts w:ascii="Georgia" w:eastAsia="Calibri" w:hAnsi="Georgia" w:cs="Calibri"/>
        </w:rPr>
        <w:t xml:space="preserve">Pursuant to the GDPR, consent must be </w:t>
      </w:r>
      <w:r w:rsidRPr="0059233F">
        <w:rPr>
          <w:rFonts w:ascii="Georgia" w:eastAsia="Calibri" w:hAnsi="Georgia" w:cs="Calibri"/>
          <w:u w:val="single"/>
        </w:rPr>
        <w:t>freely given</w:t>
      </w:r>
      <w:r w:rsidRPr="0059233F">
        <w:rPr>
          <w:rFonts w:ascii="Georgia" w:eastAsia="Calibri" w:hAnsi="Georgia" w:cs="Calibri"/>
        </w:rPr>
        <w:t xml:space="preserve">, </w:t>
      </w:r>
      <w:r w:rsidRPr="0059233F">
        <w:rPr>
          <w:rFonts w:ascii="Georgia" w:eastAsia="Calibri" w:hAnsi="Georgia" w:cs="Calibri"/>
          <w:u w:val="single"/>
        </w:rPr>
        <w:t>specific</w:t>
      </w:r>
      <w:r w:rsidRPr="0059233F">
        <w:rPr>
          <w:rFonts w:ascii="Georgia" w:eastAsia="Calibri" w:hAnsi="Georgia" w:cs="Calibri"/>
        </w:rPr>
        <w:t xml:space="preserve">, </w:t>
      </w:r>
      <w:r w:rsidRPr="0059233F">
        <w:rPr>
          <w:rFonts w:ascii="Georgia" w:eastAsia="Calibri" w:hAnsi="Georgia" w:cs="Calibri"/>
          <w:u w:val="single"/>
        </w:rPr>
        <w:t>informed</w:t>
      </w:r>
      <w:r w:rsidRPr="0059233F">
        <w:rPr>
          <w:rFonts w:ascii="Georgia" w:eastAsia="Calibri" w:hAnsi="Georgia" w:cs="Calibri"/>
        </w:rPr>
        <w:t xml:space="preserve"> and </w:t>
      </w:r>
      <w:r w:rsidRPr="0059233F">
        <w:rPr>
          <w:rFonts w:ascii="Georgia" w:eastAsia="Calibri" w:hAnsi="Georgia" w:cs="Calibri"/>
          <w:u w:val="single"/>
        </w:rPr>
        <w:t>unambiguous</w:t>
      </w:r>
      <w:r w:rsidRPr="0059233F">
        <w:rPr>
          <w:rFonts w:ascii="Georgia" w:eastAsia="Calibri" w:hAnsi="Georgia" w:cs="Calibri"/>
        </w:rPr>
        <w:t xml:space="preserve">. Also, </w:t>
      </w:r>
      <w:r>
        <w:rPr>
          <w:rFonts w:ascii="Georgia" w:eastAsia="Calibri" w:hAnsi="Georgia" w:cs="Calibri"/>
        </w:rPr>
        <w:t>it</w:t>
      </w:r>
      <w:r w:rsidRPr="0059233F">
        <w:rPr>
          <w:rFonts w:ascii="Georgia" w:eastAsia="Calibri" w:hAnsi="Georgia" w:cs="Calibri"/>
        </w:rPr>
        <w:t xml:space="preserve"> needs to be </w:t>
      </w:r>
      <w:r>
        <w:rPr>
          <w:rFonts w:ascii="Georgia" w:eastAsia="Calibri" w:hAnsi="Georgia" w:cs="Calibri"/>
        </w:rPr>
        <w:t xml:space="preserve">obtained </w:t>
      </w:r>
      <w:r w:rsidRPr="0059233F">
        <w:rPr>
          <w:rFonts w:ascii="Georgia" w:eastAsia="Calibri" w:hAnsi="Georgia" w:cs="Calibri"/>
        </w:rPr>
        <w:t>prior to the processing taking place</w:t>
      </w:r>
      <w:r>
        <w:rPr>
          <w:rFonts w:ascii="Georgia" w:eastAsia="Calibri" w:hAnsi="Georgia" w:cs="Calibri"/>
        </w:rPr>
        <w:t xml:space="preserve">. Controllers must be able to demonstrate that valid consent has been given </w:t>
      </w:r>
      <w:r w:rsidRPr="0059233F">
        <w:rPr>
          <w:rFonts w:ascii="Georgia" w:eastAsia="Calibri" w:hAnsi="Georgia" w:cs="Calibri"/>
        </w:rPr>
        <w:t xml:space="preserve">and individuals have the right to withdraw consent at any time. </w:t>
      </w:r>
    </w:p>
    <w:p w14:paraId="41730940" w14:textId="77777777" w:rsidR="00993F3F" w:rsidRPr="0059233F" w:rsidRDefault="00993F3F" w:rsidP="00993F3F">
      <w:pPr>
        <w:widowControl w:val="0"/>
        <w:autoSpaceDE w:val="0"/>
        <w:autoSpaceDN w:val="0"/>
        <w:jc w:val="both"/>
        <w:rPr>
          <w:rFonts w:ascii="Georgia" w:eastAsia="Calibri" w:hAnsi="Georgia" w:cs="Calibri"/>
        </w:rPr>
      </w:pPr>
      <w:r>
        <w:rPr>
          <w:rFonts w:ascii="Georgia" w:eastAsia="Calibri" w:hAnsi="Georgia" w:cs="Calibri"/>
        </w:rPr>
        <w:t>Under the GDPR, t</w:t>
      </w:r>
      <w:r w:rsidRPr="0059233F">
        <w:rPr>
          <w:rFonts w:ascii="Georgia" w:eastAsia="Calibri" w:hAnsi="Georgia" w:cs="Calibri"/>
        </w:rPr>
        <w:t xml:space="preserve">he obligation to obtain consent lies with the controller. The controller may </w:t>
      </w:r>
      <w:r>
        <w:rPr>
          <w:rFonts w:ascii="Georgia" w:eastAsia="Calibri" w:hAnsi="Georgia" w:cs="Calibri"/>
        </w:rPr>
        <w:t>instruct</w:t>
      </w:r>
      <w:r w:rsidRPr="0059233F">
        <w:rPr>
          <w:rFonts w:ascii="Georgia" w:eastAsia="Calibri" w:hAnsi="Georgia" w:cs="Calibri"/>
        </w:rPr>
        <w:t xml:space="preserve"> a third party to obtain consent from indi</w:t>
      </w:r>
      <w:r>
        <w:rPr>
          <w:rFonts w:ascii="Georgia" w:eastAsia="Calibri" w:hAnsi="Georgia" w:cs="Calibri"/>
        </w:rPr>
        <w:t>viduals on its behalf; however,</w:t>
      </w:r>
      <w:r w:rsidRPr="0059233F">
        <w:rPr>
          <w:rFonts w:ascii="Georgia" w:eastAsia="Calibri" w:hAnsi="Georgia" w:cs="Calibri"/>
        </w:rPr>
        <w:t xml:space="preserve"> </w:t>
      </w:r>
      <w:r>
        <w:rPr>
          <w:rFonts w:ascii="Georgia" w:eastAsia="Calibri" w:hAnsi="Georgia" w:cs="Calibri"/>
        </w:rPr>
        <w:t xml:space="preserve">doing so </w:t>
      </w:r>
      <w:r w:rsidRPr="0059233F">
        <w:rPr>
          <w:rFonts w:ascii="Georgia" w:eastAsia="Calibri" w:hAnsi="Georgia" w:cs="Calibri"/>
        </w:rPr>
        <w:t xml:space="preserve">will not relieve the </w:t>
      </w:r>
      <w:r>
        <w:rPr>
          <w:rFonts w:ascii="Georgia" w:eastAsia="Calibri" w:hAnsi="Georgia" w:cs="Calibri"/>
        </w:rPr>
        <w:t xml:space="preserve">controller </w:t>
      </w:r>
      <w:r w:rsidRPr="0059233F">
        <w:rPr>
          <w:rFonts w:ascii="Georgia" w:eastAsia="Calibri" w:hAnsi="Georgia" w:cs="Calibri"/>
        </w:rPr>
        <w:t xml:space="preserve">from </w:t>
      </w:r>
      <w:r>
        <w:rPr>
          <w:rFonts w:ascii="Georgia" w:eastAsia="Calibri" w:hAnsi="Georgia" w:cs="Calibri"/>
        </w:rPr>
        <w:t xml:space="preserve">its </w:t>
      </w:r>
      <w:r w:rsidRPr="0059233F">
        <w:rPr>
          <w:rFonts w:ascii="Georgia" w:eastAsia="Calibri" w:hAnsi="Georgia" w:cs="Calibri"/>
        </w:rPr>
        <w:t xml:space="preserve">obligations under the GDPR. </w:t>
      </w:r>
    </w:p>
    <w:p w14:paraId="4F1CA037" w14:textId="77777777" w:rsidR="00993F3F" w:rsidRPr="00235CB7" w:rsidRDefault="00993F3F" w:rsidP="00993F3F">
      <w:pPr>
        <w:widowControl w:val="0"/>
        <w:autoSpaceDE w:val="0"/>
        <w:autoSpaceDN w:val="0"/>
        <w:jc w:val="both"/>
        <w:rPr>
          <w:rFonts w:ascii="Georgia" w:eastAsia="Calibri" w:hAnsi="Georgia" w:cs="Calibri"/>
          <w:u w:val="single"/>
        </w:rPr>
      </w:pPr>
      <w:r w:rsidRPr="00235CB7">
        <w:rPr>
          <w:rFonts w:ascii="Georgia" w:eastAsia="Calibri" w:hAnsi="Georgia" w:cs="Calibri"/>
          <w:u w:val="single"/>
        </w:rPr>
        <w:t>Consent options</w:t>
      </w:r>
    </w:p>
    <w:p w14:paraId="35A224E4" w14:textId="7EEE36B7" w:rsidR="00993F3F" w:rsidRDefault="00993F3F" w:rsidP="00993F3F">
      <w:pPr>
        <w:widowControl w:val="0"/>
        <w:autoSpaceDE w:val="0"/>
        <w:autoSpaceDN w:val="0"/>
        <w:spacing w:before="240"/>
        <w:jc w:val="both"/>
        <w:rPr>
          <w:rFonts w:ascii="Georgia" w:eastAsia="Calibri" w:hAnsi="Georgia" w:cs="Calibri"/>
        </w:rPr>
      </w:pPr>
      <w:r>
        <w:rPr>
          <w:rFonts w:ascii="Georgia" w:eastAsia="Calibri" w:hAnsi="Georgia" w:cs="Calibri"/>
        </w:rPr>
        <w:t xml:space="preserve">On the basis of </w:t>
      </w:r>
      <w:r w:rsidRPr="0059233F">
        <w:rPr>
          <w:rFonts w:ascii="Georgia" w:eastAsia="Calibri" w:hAnsi="Georgia" w:cs="Calibri"/>
        </w:rPr>
        <w:t>the above</w:t>
      </w:r>
      <w:r>
        <w:rPr>
          <w:rFonts w:ascii="Georgia" w:eastAsia="Calibri" w:hAnsi="Georgia" w:cs="Calibri"/>
        </w:rPr>
        <w:t xml:space="preserve"> requirements</w:t>
      </w:r>
      <w:r w:rsidRPr="0059233F">
        <w:rPr>
          <w:rFonts w:ascii="Georgia" w:eastAsia="Calibri" w:hAnsi="Georgia" w:cs="Calibri"/>
        </w:rPr>
        <w:t xml:space="preserve">, </w:t>
      </w:r>
      <w:r w:rsidR="00FD0561">
        <w:rPr>
          <w:rFonts w:ascii="Georgia" w:eastAsia="Calibri" w:hAnsi="Georgia" w:cs="Calibri"/>
        </w:rPr>
        <w:t>the table below</w:t>
      </w:r>
      <w:r w:rsidRPr="0059233F">
        <w:rPr>
          <w:rFonts w:ascii="Georgia" w:eastAsia="Calibri" w:hAnsi="Georgia" w:cs="Calibri"/>
        </w:rPr>
        <w:t xml:space="preserve"> examines </w:t>
      </w:r>
      <w:r w:rsidR="00FD0561">
        <w:rPr>
          <w:rFonts w:ascii="Georgia" w:eastAsia="Calibri" w:hAnsi="Georgia" w:cs="Calibri"/>
        </w:rPr>
        <w:t>five</w:t>
      </w:r>
      <w:bookmarkStart w:id="0" w:name="_GoBack"/>
      <w:bookmarkEnd w:id="0"/>
      <w:r w:rsidRPr="0059233F">
        <w:rPr>
          <w:rFonts w:ascii="Georgia" w:eastAsia="Calibri" w:hAnsi="Georgia" w:cs="Calibri"/>
        </w:rPr>
        <w:t xml:space="preserve"> options </w:t>
      </w:r>
      <w:r>
        <w:rPr>
          <w:rFonts w:ascii="Georgia" w:eastAsia="Calibri" w:hAnsi="Georgia" w:cs="Calibri"/>
        </w:rPr>
        <w:t xml:space="preserve">of </w:t>
      </w:r>
      <w:r w:rsidRPr="0059233F">
        <w:rPr>
          <w:rFonts w:ascii="Georgia" w:eastAsia="Calibri" w:hAnsi="Georgia" w:cs="Calibri"/>
        </w:rPr>
        <w:t xml:space="preserve">obtaining consent for </w:t>
      </w:r>
      <w:r>
        <w:rPr>
          <w:rFonts w:ascii="Georgia" w:eastAsia="Calibri" w:hAnsi="Georgia" w:cs="Calibri"/>
        </w:rPr>
        <w:t>making</w:t>
      </w:r>
      <w:r w:rsidRPr="0059233F">
        <w:rPr>
          <w:rFonts w:ascii="Georgia" w:eastAsia="Calibri" w:hAnsi="Georgia" w:cs="Calibri"/>
        </w:rPr>
        <w:t xml:space="preserve"> </w:t>
      </w:r>
      <w:r>
        <w:rPr>
          <w:rFonts w:ascii="Georgia" w:eastAsia="Calibri" w:hAnsi="Georgia" w:cs="Calibri"/>
        </w:rPr>
        <w:t xml:space="preserve">personal </w:t>
      </w:r>
      <w:r w:rsidRPr="0059233F">
        <w:rPr>
          <w:rFonts w:ascii="Georgia" w:eastAsia="Calibri" w:hAnsi="Georgia" w:cs="Calibri"/>
        </w:rPr>
        <w:t xml:space="preserve">data </w:t>
      </w:r>
      <w:r>
        <w:rPr>
          <w:rFonts w:ascii="Georgia" w:eastAsia="Calibri" w:hAnsi="Georgia" w:cs="Calibri"/>
        </w:rPr>
        <w:t xml:space="preserve">public </w:t>
      </w:r>
      <w:r w:rsidRPr="0059233F">
        <w:rPr>
          <w:rFonts w:ascii="Georgia" w:eastAsia="Calibri" w:hAnsi="Georgia" w:cs="Calibri"/>
        </w:rPr>
        <w:t xml:space="preserve">in RDS and </w:t>
      </w:r>
      <w:r>
        <w:rPr>
          <w:rFonts w:ascii="Georgia" w:eastAsia="Calibri" w:hAnsi="Georgia" w:cs="Calibri"/>
        </w:rPr>
        <w:t xml:space="preserve">sets out </w:t>
      </w:r>
      <w:r w:rsidRPr="0059233F">
        <w:rPr>
          <w:rFonts w:ascii="Georgia" w:eastAsia="Calibri" w:hAnsi="Georgia" w:cs="Calibri"/>
        </w:rPr>
        <w:t>the compliance considerations of each option:</w:t>
      </w:r>
    </w:p>
    <w:p w14:paraId="61DEDD3C" w14:textId="77777777" w:rsidR="00CA58D0" w:rsidRDefault="00CA58D0" w:rsidP="00CA58D0">
      <w:pPr>
        <w:pStyle w:val="ListParagraph"/>
        <w:jc w:val="both"/>
        <w:rPr>
          <w:rFonts w:ascii="Georgia" w:hAnsi="Georgia"/>
          <w:u w:val="single"/>
        </w:rPr>
      </w:pPr>
    </w:p>
    <w:tbl>
      <w:tblPr>
        <w:tblStyle w:val="TableGrid"/>
        <w:tblW w:w="9560" w:type="dxa"/>
        <w:tblInd w:w="-318" w:type="dxa"/>
        <w:tblLook w:val="04A0" w:firstRow="1" w:lastRow="0" w:firstColumn="1" w:lastColumn="0" w:noHBand="0" w:noVBand="1"/>
      </w:tblPr>
      <w:tblGrid>
        <w:gridCol w:w="613"/>
        <w:gridCol w:w="4231"/>
        <w:gridCol w:w="4716"/>
      </w:tblGrid>
      <w:tr w:rsidR="00CA58D0" w:rsidRPr="00CD0BB3" w14:paraId="20B8580F" w14:textId="77777777" w:rsidTr="00EA3947">
        <w:trPr>
          <w:trHeight w:val="397"/>
        </w:trPr>
        <w:tc>
          <w:tcPr>
            <w:tcW w:w="577" w:type="dxa"/>
            <w:shd w:val="clear" w:color="auto" w:fill="D9D9D9" w:themeFill="background1" w:themeFillShade="D9"/>
            <w:vAlign w:val="center"/>
          </w:tcPr>
          <w:p w14:paraId="3DDA32D8" w14:textId="77777777" w:rsidR="00CA58D0" w:rsidRPr="00CD0BB3" w:rsidRDefault="00CA58D0" w:rsidP="00EA3947">
            <w:pPr>
              <w:pStyle w:val="ListParagraph"/>
              <w:ind w:left="0"/>
              <w:jc w:val="center"/>
              <w:rPr>
                <w:rFonts w:ascii="Georgia" w:hAnsi="Georgia"/>
                <w:b/>
              </w:rPr>
            </w:pPr>
            <w:r>
              <w:rPr>
                <w:rFonts w:ascii="Georgia" w:hAnsi="Georgia"/>
                <w:b/>
              </w:rPr>
              <w:t>No.</w:t>
            </w:r>
          </w:p>
        </w:tc>
        <w:tc>
          <w:tcPr>
            <w:tcW w:w="4248" w:type="dxa"/>
            <w:shd w:val="clear" w:color="auto" w:fill="D9D9D9" w:themeFill="background1" w:themeFillShade="D9"/>
            <w:vAlign w:val="center"/>
          </w:tcPr>
          <w:p w14:paraId="76DD5F75" w14:textId="77777777" w:rsidR="00CA58D0" w:rsidRPr="00CD0BB3" w:rsidRDefault="00CA58D0" w:rsidP="00EA3947">
            <w:pPr>
              <w:pStyle w:val="ListParagraph"/>
              <w:ind w:left="0"/>
              <w:jc w:val="center"/>
              <w:rPr>
                <w:rFonts w:ascii="Georgia" w:hAnsi="Georgia"/>
                <w:b/>
              </w:rPr>
            </w:pPr>
            <w:r w:rsidRPr="00CD0BB3">
              <w:rPr>
                <w:rFonts w:ascii="Georgia" w:hAnsi="Georgia"/>
                <w:b/>
              </w:rPr>
              <w:t>Option</w:t>
            </w:r>
          </w:p>
        </w:tc>
        <w:tc>
          <w:tcPr>
            <w:tcW w:w="4735" w:type="dxa"/>
            <w:shd w:val="clear" w:color="auto" w:fill="D9D9D9" w:themeFill="background1" w:themeFillShade="D9"/>
            <w:vAlign w:val="center"/>
          </w:tcPr>
          <w:p w14:paraId="25A4074A" w14:textId="77777777" w:rsidR="00CA58D0" w:rsidRPr="00CD0BB3" w:rsidRDefault="00CA58D0" w:rsidP="00EA3947">
            <w:pPr>
              <w:pStyle w:val="ListParagraph"/>
              <w:ind w:left="0"/>
              <w:jc w:val="center"/>
              <w:rPr>
                <w:rFonts w:ascii="Georgia" w:hAnsi="Georgia"/>
                <w:b/>
              </w:rPr>
            </w:pPr>
            <w:r>
              <w:rPr>
                <w:rFonts w:ascii="Georgia" w:hAnsi="Georgia"/>
                <w:b/>
              </w:rPr>
              <w:t>Compliance considerations</w:t>
            </w:r>
          </w:p>
        </w:tc>
      </w:tr>
      <w:tr w:rsidR="00CA58D0" w:rsidRPr="00CD0BB3" w14:paraId="44DA12A6" w14:textId="77777777" w:rsidTr="00EA3947">
        <w:tc>
          <w:tcPr>
            <w:tcW w:w="577" w:type="dxa"/>
            <w:vAlign w:val="center"/>
          </w:tcPr>
          <w:p w14:paraId="5B16F770" w14:textId="77777777" w:rsidR="00CA58D0" w:rsidRPr="00263589" w:rsidRDefault="00CA58D0" w:rsidP="00CA58D0">
            <w:pPr>
              <w:pStyle w:val="ListParagraph"/>
              <w:numPr>
                <w:ilvl w:val="0"/>
                <w:numId w:val="6"/>
              </w:numPr>
              <w:tabs>
                <w:tab w:val="left" w:pos="176"/>
              </w:tabs>
              <w:spacing w:before="240" w:after="0" w:line="240" w:lineRule="auto"/>
              <w:ind w:left="318"/>
              <w:rPr>
                <w:rFonts w:ascii="Georgia" w:hAnsi="Georgia"/>
              </w:rPr>
            </w:pPr>
          </w:p>
        </w:tc>
        <w:tc>
          <w:tcPr>
            <w:tcW w:w="4248" w:type="dxa"/>
            <w:vAlign w:val="center"/>
          </w:tcPr>
          <w:p w14:paraId="1B1F622D" w14:textId="77777777" w:rsidR="00CA58D0" w:rsidRPr="00E50D2D" w:rsidRDefault="00CA58D0" w:rsidP="00EA3947">
            <w:pPr>
              <w:spacing w:before="240"/>
              <w:jc w:val="both"/>
              <w:rPr>
                <w:rFonts w:ascii="Georgia" w:hAnsi="Georgia"/>
                <w:u w:val="single"/>
              </w:rPr>
            </w:pPr>
            <w:r>
              <w:rPr>
                <w:rFonts w:ascii="Georgia" w:hAnsi="Georgia"/>
                <w:u w:val="single"/>
              </w:rPr>
              <w:t>Controllers seek</w:t>
            </w:r>
            <w:r w:rsidRPr="00E50D2D">
              <w:rPr>
                <w:rFonts w:ascii="Georgia" w:hAnsi="Georgia"/>
                <w:u w:val="single"/>
              </w:rPr>
              <w:t xml:space="preserve"> </w:t>
            </w:r>
            <w:r>
              <w:rPr>
                <w:rFonts w:ascii="Georgia" w:hAnsi="Georgia"/>
                <w:u w:val="single"/>
              </w:rPr>
              <w:t xml:space="preserve">valid </w:t>
            </w:r>
            <w:r w:rsidRPr="00E50D2D">
              <w:rPr>
                <w:rFonts w:ascii="Georgia" w:hAnsi="Georgia"/>
                <w:u w:val="single"/>
              </w:rPr>
              <w:t>consent directly from individuals</w:t>
            </w:r>
          </w:p>
          <w:p w14:paraId="1E060DB3"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Making personal data public in RDS is optional. </w:t>
            </w:r>
          </w:p>
          <w:p w14:paraId="69484C17" w14:textId="77777777" w:rsidR="00CA58D0" w:rsidRPr="003875FA" w:rsidRDefault="00CA58D0" w:rsidP="00CA58D0">
            <w:pPr>
              <w:pStyle w:val="ListParagraph"/>
              <w:numPr>
                <w:ilvl w:val="0"/>
                <w:numId w:val="4"/>
              </w:numPr>
              <w:spacing w:before="240" w:after="0" w:line="240" w:lineRule="auto"/>
              <w:ind w:left="176" w:hanging="142"/>
              <w:jc w:val="both"/>
              <w:rPr>
                <w:rFonts w:ascii="Georgia" w:hAnsi="Georgia"/>
              </w:rPr>
            </w:pPr>
            <w:r w:rsidRPr="003875FA">
              <w:rPr>
                <w:rFonts w:ascii="Georgia" w:hAnsi="Georgia"/>
              </w:rPr>
              <w:t xml:space="preserve">Prior to making personal data public, </w:t>
            </w:r>
            <w:r>
              <w:rPr>
                <w:rFonts w:ascii="Georgia" w:hAnsi="Georgia"/>
              </w:rPr>
              <w:t xml:space="preserve">the </w:t>
            </w:r>
            <w:r w:rsidRPr="003875FA">
              <w:rPr>
                <w:rFonts w:ascii="Georgia" w:hAnsi="Georgia"/>
              </w:rPr>
              <w:t xml:space="preserve">controller contacts individuals directly to seek consent in line with the GDPR requirements examined above </w:t>
            </w:r>
            <w:r>
              <w:rPr>
                <w:rFonts w:ascii="Georgia" w:hAnsi="Georgia"/>
              </w:rPr>
              <w:t>(c</w:t>
            </w:r>
            <w:r w:rsidRPr="003875FA">
              <w:rPr>
                <w:rFonts w:ascii="Georgia" w:hAnsi="Georgia"/>
              </w:rPr>
              <w:t>onsent wording provides adequate information in line with para 1</w:t>
            </w:r>
            <w:r>
              <w:rPr>
                <w:rFonts w:ascii="Georgia" w:hAnsi="Georgia"/>
              </w:rPr>
              <w:t>7</w:t>
            </w:r>
            <w:r w:rsidRPr="003875FA">
              <w:rPr>
                <w:rFonts w:ascii="Georgia" w:hAnsi="Georgia"/>
              </w:rPr>
              <w:t xml:space="preserve"> above, is specific to the processing operation of making the data public in RDS, explains clearly that individuals are free to say no and doing so will have no impact on them (or the registration process), and informs individuals on how they can withdraw consent if they wish to</w:t>
            </w:r>
            <w:r>
              <w:rPr>
                <w:rFonts w:ascii="Georgia" w:hAnsi="Georgia"/>
              </w:rPr>
              <w:t>)</w:t>
            </w:r>
            <w:r w:rsidRPr="003875FA">
              <w:rPr>
                <w:rFonts w:ascii="Georgia" w:hAnsi="Georgia"/>
              </w:rPr>
              <w:t xml:space="preserve">. </w:t>
            </w:r>
          </w:p>
          <w:p w14:paraId="159BF3D0"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The communication makes available to individuals the controller's privacy notice (for example, via a hyperlink). </w:t>
            </w:r>
          </w:p>
          <w:p w14:paraId="1AE523CB"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lastRenderedPageBreak/>
              <w:t xml:space="preserve">Granting consent is recorded for evidential purposes. </w:t>
            </w:r>
          </w:p>
          <w:p w14:paraId="639AE32F"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In the event of refusal to consent or failure to respond, the personal data will not be made public.</w:t>
            </w:r>
          </w:p>
        </w:tc>
        <w:tc>
          <w:tcPr>
            <w:tcW w:w="4735" w:type="dxa"/>
          </w:tcPr>
          <w:p w14:paraId="480A6401" w14:textId="77777777" w:rsidR="00CA58D0" w:rsidRDefault="00CA58D0" w:rsidP="00EA3947">
            <w:pPr>
              <w:pStyle w:val="ListParagraph"/>
              <w:spacing w:before="240"/>
              <w:ind w:left="0"/>
              <w:jc w:val="both"/>
              <w:rPr>
                <w:rFonts w:ascii="Georgia" w:hAnsi="Georgia"/>
              </w:rPr>
            </w:pPr>
          </w:p>
          <w:p w14:paraId="51AB63B6" w14:textId="77777777" w:rsidR="00CA58D0" w:rsidRDefault="00CA58D0" w:rsidP="00EA3947">
            <w:pPr>
              <w:pStyle w:val="ListParagraph"/>
              <w:spacing w:before="240"/>
              <w:ind w:left="0"/>
              <w:jc w:val="both"/>
              <w:rPr>
                <w:rFonts w:ascii="Georgia" w:hAnsi="Georgia"/>
              </w:rPr>
            </w:pPr>
            <w:r>
              <w:rPr>
                <w:rFonts w:ascii="Georgia" w:hAnsi="Georgia"/>
              </w:rPr>
              <w:t xml:space="preserve">Seeking consent directly from individuals is the safest option as controllers will have control over the consent process, will be in a position to ensure that consent is obtained in accordance with GDPR standards and that they meet their transparency obligations. </w:t>
            </w:r>
          </w:p>
          <w:p w14:paraId="371D25CB" w14:textId="77777777" w:rsidR="00CA58D0" w:rsidRDefault="00CA58D0" w:rsidP="00EA3947">
            <w:pPr>
              <w:pStyle w:val="ListParagraph"/>
              <w:spacing w:before="240"/>
              <w:ind w:left="0"/>
              <w:jc w:val="both"/>
              <w:rPr>
                <w:rFonts w:ascii="Georgia" w:hAnsi="Georgia"/>
              </w:rPr>
            </w:pPr>
          </w:p>
          <w:p w14:paraId="743FAD11" w14:textId="77777777" w:rsidR="00CA58D0" w:rsidRDefault="00CA58D0" w:rsidP="00EA3947">
            <w:pPr>
              <w:pStyle w:val="ListParagraph"/>
              <w:spacing w:before="240"/>
              <w:ind w:left="0"/>
              <w:jc w:val="both"/>
              <w:rPr>
                <w:rFonts w:ascii="Georgia" w:hAnsi="Georgia"/>
              </w:rPr>
            </w:pPr>
            <w:r>
              <w:rPr>
                <w:rFonts w:ascii="Georgia" w:hAnsi="Georgia"/>
              </w:rPr>
              <w:t xml:space="preserve">Also, it allows them to manage withdrawals of consent and promptly act upon these. </w:t>
            </w:r>
          </w:p>
          <w:p w14:paraId="49DF5A97" w14:textId="77777777" w:rsidR="00CA58D0" w:rsidRDefault="00CA58D0" w:rsidP="00EA3947">
            <w:pPr>
              <w:pStyle w:val="ListParagraph"/>
              <w:spacing w:before="240"/>
              <w:ind w:left="0"/>
              <w:jc w:val="both"/>
              <w:rPr>
                <w:rFonts w:ascii="Georgia" w:hAnsi="Georgia"/>
              </w:rPr>
            </w:pPr>
          </w:p>
          <w:p w14:paraId="18A31E9C" w14:textId="77777777" w:rsidR="00CA58D0" w:rsidRDefault="00CA58D0" w:rsidP="00EA3947">
            <w:pPr>
              <w:pStyle w:val="ListParagraph"/>
              <w:spacing w:before="240"/>
              <w:ind w:left="0"/>
              <w:jc w:val="both"/>
              <w:rPr>
                <w:rFonts w:ascii="Georgia" w:hAnsi="Georgia"/>
              </w:rPr>
            </w:pPr>
            <w:r>
              <w:rPr>
                <w:rFonts w:ascii="Georgia" w:hAnsi="Georgia"/>
              </w:rPr>
              <w:t xml:space="preserve">Finally, in line with their accountability obligations, controllers will be able to demonstrate that valid consent has been obtained by keeping records of consent.  </w:t>
            </w:r>
          </w:p>
        </w:tc>
      </w:tr>
      <w:tr w:rsidR="00CA58D0" w:rsidRPr="00CD0BB3" w14:paraId="22449948" w14:textId="77777777" w:rsidTr="00EA3947">
        <w:tc>
          <w:tcPr>
            <w:tcW w:w="577" w:type="dxa"/>
            <w:vAlign w:val="center"/>
          </w:tcPr>
          <w:p w14:paraId="7D0A4B2F" w14:textId="77777777" w:rsidR="00CA58D0" w:rsidRDefault="00CA58D0" w:rsidP="00CA58D0">
            <w:pPr>
              <w:pStyle w:val="ListParagraph"/>
              <w:numPr>
                <w:ilvl w:val="0"/>
                <w:numId w:val="6"/>
              </w:numPr>
              <w:tabs>
                <w:tab w:val="left" w:pos="176"/>
              </w:tabs>
              <w:spacing w:before="240" w:after="0" w:line="240" w:lineRule="auto"/>
              <w:ind w:left="318"/>
              <w:rPr>
                <w:rFonts w:ascii="Georgia" w:hAnsi="Georgia"/>
              </w:rPr>
            </w:pPr>
          </w:p>
        </w:tc>
        <w:tc>
          <w:tcPr>
            <w:tcW w:w="4248" w:type="dxa"/>
            <w:vAlign w:val="center"/>
          </w:tcPr>
          <w:p w14:paraId="0EF344F6" w14:textId="77777777" w:rsidR="00CA58D0" w:rsidRPr="00E50D2D" w:rsidRDefault="00CA58D0" w:rsidP="00EA3947">
            <w:pPr>
              <w:spacing w:before="240"/>
              <w:jc w:val="both"/>
              <w:rPr>
                <w:rFonts w:ascii="Georgia" w:hAnsi="Georgia"/>
                <w:u w:val="single"/>
              </w:rPr>
            </w:pPr>
            <w:r w:rsidRPr="00E50D2D">
              <w:rPr>
                <w:rFonts w:ascii="Georgia" w:hAnsi="Georgia"/>
                <w:u w:val="single"/>
              </w:rPr>
              <w:t>Registrant obtain</w:t>
            </w:r>
            <w:r>
              <w:rPr>
                <w:rFonts w:ascii="Georgia" w:hAnsi="Georgia"/>
                <w:u w:val="single"/>
              </w:rPr>
              <w:t>s</w:t>
            </w:r>
            <w:r w:rsidRPr="00E50D2D">
              <w:rPr>
                <w:rFonts w:ascii="Georgia" w:hAnsi="Georgia"/>
                <w:u w:val="single"/>
              </w:rPr>
              <w:t xml:space="preserve"> </w:t>
            </w:r>
            <w:r>
              <w:rPr>
                <w:rFonts w:ascii="Georgia" w:hAnsi="Georgia"/>
                <w:u w:val="single"/>
              </w:rPr>
              <w:t>valid consent and provides</w:t>
            </w:r>
            <w:r w:rsidRPr="00E50D2D">
              <w:rPr>
                <w:rFonts w:ascii="Georgia" w:hAnsi="Georgia"/>
                <w:u w:val="single"/>
              </w:rPr>
              <w:t xml:space="preserve"> evidence to controller</w:t>
            </w:r>
          </w:p>
          <w:p w14:paraId="25A940A6"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Making personal data public in RDS is optional. </w:t>
            </w:r>
          </w:p>
          <w:p w14:paraId="6921EB61"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Prior to making personal data public, the controller requires the registrant to:</w:t>
            </w:r>
          </w:p>
          <w:p w14:paraId="554FE897" w14:textId="77777777" w:rsidR="00CA58D0" w:rsidRDefault="00CA58D0" w:rsidP="00EA3947">
            <w:pPr>
              <w:pStyle w:val="ListParagraph"/>
              <w:spacing w:before="240"/>
              <w:ind w:left="176"/>
              <w:jc w:val="both"/>
              <w:rPr>
                <w:rFonts w:ascii="Georgia" w:hAnsi="Georgia"/>
              </w:rPr>
            </w:pPr>
            <w:r>
              <w:rPr>
                <w:rFonts w:ascii="Georgia" w:hAnsi="Georgia"/>
              </w:rPr>
              <w:t xml:space="preserve">(a) obtain individuals' consent using a consent method defined by the controller (for example, consent form with specific wording and format which meets GDPR requirements); and </w:t>
            </w:r>
          </w:p>
          <w:p w14:paraId="759AC876" w14:textId="77777777" w:rsidR="00CA58D0" w:rsidRDefault="00CA58D0" w:rsidP="00EA3947">
            <w:pPr>
              <w:pStyle w:val="ListParagraph"/>
              <w:spacing w:before="240"/>
              <w:ind w:left="176"/>
              <w:jc w:val="both"/>
              <w:rPr>
                <w:rFonts w:ascii="Georgia" w:hAnsi="Georgia"/>
              </w:rPr>
            </w:pPr>
            <w:r>
              <w:rPr>
                <w:rFonts w:ascii="Georgia" w:hAnsi="Georgia"/>
              </w:rPr>
              <w:t xml:space="preserve">(b) provide to the controller evidence that consent has been obtained (for example by means of the registrant providing a signed copy of the consent form or the individual directly forwarding this to controller). </w:t>
            </w:r>
          </w:p>
          <w:p w14:paraId="4E094E61" w14:textId="77777777" w:rsidR="00CA58D0" w:rsidRDefault="00CA58D0" w:rsidP="00EA3947">
            <w:pPr>
              <w:pStyle w:val="ListParagraph"/>
              <w:spacing w:before="240"/>
              <w:ind w:left="176"/>
              <w:jc w:val="both"/>
              <w:rPr>
                <w:rFonts w:ascii="Georgia" w:hAnsi="Georgia"/>
              </w:rPr>
            </w:pPr>
          </w:p>
          <w:p w14:paraId="5610AE49"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In the event of refusal to consent or failure to receive evidence, the personal data will not be made public.</w:t>
            </w:r>
          </w:p>
          <w:p w14:paraId="58FB188F" w14:textId="77777777" w:rsidR="00CA58D0" w:rsidRDefault="00CA58D0" w:rsidP="00EA3947">
            <w:pPr>
              <w:spacing w:before="240"/>
              <w:jc w:val="both"/>
              <w:rPr>
                <w:rFonts w:ascii="Georgia" w:hAnsi="Georgia"/>
              </w:rPr>
            </w:pPr>
          </w:p>
        </w:tc>
        <w:tc>
          <w:tcPr>
            <w:tcW w:w="4735" w:type="dxa"/>
          </w:tcPr>
          <w:p w14:paraId="33EA1153" w14:textId="77777777" w:rsidR="00CA58D0" w:rsidRDefault="00CA58D0" w:rsidP="00EA3947">
            <w:pPr>
              <w:pStyle w:val="ListParagraph"/>
              <w:spacing w:before="240"/>
              <w:ind w:left="0"/>
              <w:jc w:val="both"/>
              <w:rPr>
                <w:rFonts w:ascii="Georgia" w:hAnsi="Georgia"/>
              </w:rPr>
            </w:pPr>
            <w:r>
              <w:rPr>
                <w:rFonts w:ascii="Georgia" w:hAnsi="Georgia"/>
              </w:rPr>
              <w:t>As an alternative to the above option, controllers can require the registrant to:</w:t>
            </w:r>
          </w:p>
          <w:p w14:paraId="35A75BCB" w14:textId="77777777" w:rsidR="00CA58D0" w:rsidRDefault="00CA58D0" w:rsidP="00EA3947">
            <w:pPr>
              <w:pStyle w:val="ListParagraph"/>
              <w:spacing w:before="240"/>
              <w:ind w:left="0"/>
              <w:jc w:val="both"/>
              <w:rPr>
                <w:rFonts w:ascii="Georgia" w:hAnsi="Georgia"/>
              </w:rPr>
            </w:pPr>
            <w:r>
              <w:rPr>
                <w:rFonts w:ascii="Georgia" w:hAnsi="Georgia"/>
              </w:rPr>
              <w:t>(a) obtain valid consent on their behalf –using an approved consent method and wording- and</w:t>
            </w:r>
          </w:p>
          <w:p w14:paraId="70794EE3" w14:textId="77777777" w:rsidR="00CA58D0" w:rsidRDefault="00CA58D0" w:rsidP="00EA3947">
            <w:pPr>
              <w:pStyle w:val="ListParagraph"/>
              <w:spacing w:before="240"/>
              <w:ind w:left="0"/>
              <w:jc w:val="both"/>
              <w:rPr>
                <w:rFonts w:ascii="Georgia" w:hAnsi="Georgia"/>
              </w:rPr>
            </w:pPr>
            <w:r>
              <w:rPr>
                <w:rFonts w:ascii="Georgia" w:hAnsi="Georgia"/>
              </w:rPr>
              <w:t>(b) provide proof of such consent.</w:t>
            </w:r>
          </w:p>
          <w:p w14:paraId="78D459FD" w14:textId="77777777" w:rsidR="00CA58D0" w:rsidRDefault="00CA58D0" w:rsidP="00EA3947">
            <w:pPr>
              <w:pStyle w:val="ListParagraph"/>
              <w:spacing w:before="240"/>
              <w:ind w:left="0"/>
              <w:jc w:val="both"/>
              <w:rPr>
                <w:rFonts w:ascii="Georgia" w:hAnsi="Georgia"/>
              </w:rPr>
            </w:pPr>
          </w:p>
          <w:p w14:paraId="058D451C" w14:textId="77777777" w:rsidR="00CA58D0" w:rsidRDefault="00CA58D0" w:rsidP="00EA3947">
            <w:pPr>
              <w:pStyle w:val="ListParagraph"/>
              <w:spacing w:before="240"/>
              <w:ind w:left="0"/>
              <w:jc w:val="both"/>
              <w:rPr>
                <w:rFonts w:ascii="Georgia" w:hAnsi="Georgia"/>
              </w:rPr>
            </w:pPr>
            <w:r>
              <w:rPr>
                <w:rFonts w:ascii="Georgia" w:hAnsi="Georgia"/>
              </w:rPr>
              <w:t>This way, controllers still maintain control over the consent process and are in a position to verify whether consent has been validly obtained.</w:t>
            </w:r>
          </w:p>
          <w:p w14:paraId="17A102F0" w14:textId="77777777" w:rsidR="00CA58D0" w:rsidRDefault="00CA58D0" w:rsidP="00EA3947">
            <w:pPr>
              <w:pStyle w:val="ListParagraph"/>
              <w:spacing w:before="240"/>
              <w:ind w:left="0"/>
              <w:jc w:val="both"/>
              <w:rPr>
                <w:rFonts w:ascii="Georgia" w:hAnsi="Georgia"/>
              </w:rPr>
            </w:pPr>
          </w:p>
          <w:p w14:paraId="16FA7AC5" w14:textId="77777777" w:rsidR="00CA58D0" w:rsidRDefault="00CA58D0" w:rsidP="00EA3947">
            <w:pPr>
              <w:pStyle w:val="ListParagraph"/>
              <w:spacing w:before="240"/>
              <w:ind w:left="0"/>
              <w:jc w:val="both"/>
              <w:rPr>
                <w:rFonts w:ascii="Georgia" w:hAnsi="Georgia"/>
              </w:rPr>
            </w:pPr>
            <w:r>
              <w:rPr>
                <w:rFonts w:ascii="Georgia" w:hAnsi="Georgia"/>
              </w:rPr>
              <w:t xml:space="preserve">The method is somewhat less robust than option 1, as the controller does not receive direct confirmation from </w:t>
            </w:r>
            <w:r w:rsidRPr="000F5DFF">
              <w:rPr>
                <w:rFonts w:ascii="Georgia" w:hAnsi="Georgia"/>
              </w:rPr>
              <w:t>the data subject that he or she has given consent. In the (possibly rare) situation that the registrant does not obtain consent from the admin/ tech contact, then the consent would not be valid.</w:t>
            </w:r>
          </w:p>
        </w:tc>
      </w:tr>
      <w:tr w:rsidR="00CA58D0" w:rsidRPr="00CD0BB3" w14:paraId="5DBCD4EF" w14:textId="77777777" w:rsidTr="00EA3947">
        <w:tc>
          <w:tcPr>
            <w:tcW w:w="577" w:type="dxa"/>
            <w:vAlign w:val="center"/>
          </w:tcPr>
          <w:p w14:paraId="3CB91E19" w14:textId="77777777" w:rsidR="00CA58D0" w:rsidRDefault="00CA58D0" w:rsidP="00CA58D0">
            <w:pPr>
              <w:pStyle w:val="ListParagraph"/>
              <w:numPr>
                <w:ilvl w:val="0"/>
                <w:numId w:val="6"/>
              </w:numPr>
              <w:tabs>
                <w:tab w:val="left" w:pos="176"/>
              </w:tabs>
              <w:spacing w:before="240" w:after="0" w:line="240" w:lineRule="auto"/>
              <w:ind w:left="318"/>
              <w:rPr>
                <w:rFonts w:ascii="Georgia" w:hAnsi="Georgia"/>
              </w:rPr>
            </w:pPr>
          </w:p>
        </w:tc>
        <w:tc>
          <w:tcPr>
            <w:tcW w:w="4248" w:type="dxa"/>
            <w:vAlign w:val="center"/>
          </w:tcPr>
          <w:p w14:paraId="24C46EBD" w14:textId="77777777" w:rsidR="00CA58D0" w:rsidRDefault="00CA58D0" w:rsidP="00EA3947">
            <w:pPr>
              <w:spacing w:before="240"/>
              <w:jc w:val="both"/>
              <w:rPr>
                <w:rFonts w:ascii="Georgia" w:hAnsi="Georgia"/>
                <w:u w:val="single"/>
              </w:rPr>
            </w:pPr>
            <w:r>
              <w:rPr>
                <w:rFonts w:ascii="Georgia" w:hAnsi="Georgia"/>
                <w:u w:val="single"/>
              </w:rPr>
              <w:t>Registrant obtains valid consent and controller confirms this with the individual</w:t>
            </w:r>
          </w:p>
          <w:p w14:paraId="1ED91158"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Making personal data public in RDS is optional. </w:t>
            </w:r>
          </w:p>
          <w:p w14:paraId="087B17CB"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Prior to making personal data public, the controller requires the registrant to:</w:t>
            </w:r>
          </w:p>
          <w:p w14:paraId="754C6A69" w14:textId="77777777" w:rsidR="00CA58D0" w:rsidRDefault="00CA58D0" w:rsidP="00EA3947">
            <w:pPr>
              <w:pStyle w:val="ListParagraph"/>
              <w:spacing w:before="240"/>
              <w:ind w:left="176"/>
              <w:jc w:val="both"/>
              <w:rPr>
                <w:rFonts w:ascii="Georgia" w:hAnsi="Georgia"/>
              </w:rPr>
            </w:pPr>
            <w:r>
              <w:rPr>
                <w:rFonts w:ascii="Georgia" w:hAnsi="Georgia"/>
              </w:rPr>
              <w:t>(a) obtain individuals' consent using a consent method defined by the controller (for example, consent form with specific wording and format which meets GDPR requirements);</w:t>
            </w:r>
          </w:p>
          <w:p w14:paraId="0F9B29AB" w14:textId="77777777" w:rsidR="00CA58D0" w:rsidRDefault="00CA58D0" w:rsidP="00EA3947">
            <w:pPr>
              <w:pStyle w:val="ListParagraph"/>
              <w:spacing w:before="240"/>
              <w:ind w:left="176"/>
              <w:jc w:val="both"/>
              <w:rPr>
                <w:rFonts w:ascii="Georgia" w:hAnsi="Georgia"/>
              </w:rPr>
            </w:pPr>
            <w:r>
              <w:rPr>
                <w:rFonts w:ascii="Georgia" w:hAnsi="Georgia"/>
              </w:rPr>
              <w:t xml:space="preserve"> and </w:t>
            </w:r>
          </w:p>
          <w:p w14:paraId="4E9A51C6" w14:textId="77777777" w:rsidR="00CA58D0" w:rsidRDefault="00CA58D0" w:rsidP="00EA3947">
            <w:pPr>
              <w:pStyle w:val="ListParagraph"/>
              <w:spacing w:before="240"/>
              <w:ind w:left="176"/>
              <w:jc w:val="both"/>
              <w:rPr>
                <w:rFonts w:ascii="Georgia" w:hAnsi="Georgia"/>
              </w:rPr>
            </w:pPr>
            <w:r>
              <w:rPr>
                <w:rFonts w:ascii="Georgia" w:hAnsi="Georgia"/>
              </w:rPr>
              <w:lastRenderedPageBreak/>
              <w:t xml:space="preserve">(b) provide to the controller evidence that consent has been obtained (for example by means of the registrant providing a signed copy of the consent form or the individual directly forwarding this to controller). </w:t>
            </w:r>
          </w:p>
          <w:p w14:paraId="113FEBCE" w14:textId="77777777" w:rsidR="00CA58D0" w:rsidRDefault="00CA58D0" w:rsidP="00EA3947">
            <w:pPr>
              <w:pStyle w:val="ListParagraph"/>
              <w:spacing w:before="240"/>
              <w:ind w:left="176"/>
              <w:jc w:val="both"/>
              <w:rPr>
                <w:rFonts w:ascii="Georgia" w:hAnsi="Georgia"/>
              </w:rPr>
            </w:pPr>
          </w:p>
          <w:p w14:paraId="5C45ED44"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Controller follows up with the individual directly: it informs them that the registrant has confirmed they have granted consent. The controller advises the individual to let them know if this confirmation has been provided erroneously and that in absence of a response from their side, the personal data will be made public within [x time]. The controller can also use this opportunity to provide all information to be made available to the individual, incl. in relation to their right to withdraw consent. </w:t>
            </w:r>
          </w:p>
          <w:p w14:paraId="01AC22B9" w14:textId="77777777" w:rsidR="00CA58D0" w:rsidRDefault="00CA58D0" w:rsidP="00EA3947">
            <w:pPr>
              <w:spacing w:before="240"/>
              <w:jc w:val="both"/>
              <w:rPr>
                <w:rFonts w:ascii="Georgia" w:hAnsi="Georgia"/>
                <w:u w:val="single"/>
              </w:rPr>
            </w:pPr>
          </w:p>
          <w:p w14:paraId="43BCBE97" w14:textId="77777777" w:rsidR="00CA58D0" w:rsidRPr="00E50D2D" w:rsidRDefault="00CA58D0" w:rsidP="00EA3947">
            <w:pPr>
              <w:spacing w:before="240"/>
              <w:jc w:val="both"/>
              <w:rPr>
                <w:rFonts w:ascii="Georgia" w:hAnsi="Georgia"/>
                <w:u w:val="single"/>
              </w:rPr>
            </w:pPr>
          </w:p>
        </w:tc>
        <w:tc>
          <w:tcPr>
            <w:tcW w:w="4735" w:type="dxa"/>
            <w:vAlign w:val="center"/>
          </w:tcPr>
          <w:p w14:paraId="3AE88737" w14:textId="77777777" w:rsidR="00CA58D0" w:rsidRDefault="00CA58D0" w:rsidP="00EA3947">
            <w:pPr>
              <w:pStyle w:val="ListParagraph"/>
              <w:spacing w:before="240"/>
              <w:ind w:left="0"/>
              <w:jc w:val="both"/>
              <w:rPr>
                <w:rFonts w:ascii="Georgia" w:hAnsi="Georgia"/>
              </w:rPr>
            </w:pPr>
            <w:r>
              <w:rPr>
                <w:rFonts w:ascii="Georgia" w:hAnsi="Georgia"/>
              </w:rPr>
              <w:lastRenderedPageBreak/>
              <w:t xml:space="preserve">This option is a variant of option number 2 – in addition to receiving evidence of consent, the controller contacts individuals directly to confirm consent. </w:t>
            </w:r>
          </w:p>
          <w:p w14:paraId="05982A17" w14:textId="77777777" w:rsidR="00CA58D0" w:rsidRDefault="00CA58D0" w:rsidP="00EA3947">
            <w:pPr>
              <w:pStyle w:val="ListParagraph"/>
              <w:spacing w:before="240"/>
              <w:ind w:left="0"/>
              <w:jc w:val="both"/>
              <w:rPr>
                <w:rFonts w:ascii="Georgia" w:hAnsi="Georgia"/>
              </w:rPr>
            </w:pPr>
          </w:p>
          <w:p w14:paraId="3993776B" w14:textId="77777777" w:rsidR="00CA58D0" w:rsidRDefault="00CA58D0" w:rsidP="00EA3947">
            <w:pPr>
              <w:spacing w:before="240"/>
              <w:jc w:val="both"/>
              <w:rPr>
                <w:rFonts w:ascii="Georgia" w:hAnsi="Georgia"/>
              </w:rPr>
            </w:pPr>
            <w:r>
              <w:rPr>
                <w:rFonts w:ascii="Georgia" w:hAnsi="Georgia"/>
              </w:rPr>
              <w:t xml:space="preserve">This places a higher administrative burden on the </w:t>
            </w:r>
            <w:proofErr w:type="gramStart"/>
            <w:r>
              <w:rPr>
                <w:rFonts w:ascii="Georgia" w:hAnsi="Georgia"/>
              </w:rPr>
              <w:t>controller, but</w:t>
            </w:r>
            <w:proofErr w:type="gramEnd"/>
            <w:r>
              <w:rPr>
                <w:rFonts w:ascii="Georgia" w:hAnsi="Georgia"/>
              </w:rPr>
              <w:t xml:space="preserve"> would mitigate the risk that the registrant has not actually secured consent from the relevant person. </w:t>
            </w:r>
          </w:p>
          <w:p w14:paraId="69590D26" w14:textId="77777777" w:rsidR="00CA58D0" w:rsidRDefault="00CA58D0" w:rsidP="00EA3947">
            <w:pPr>
              <w:spacing w:before="240"/>
              <w:jc w:val="both"/>
              <w:rPr>
                <w:rFonts w:ascii="Georgia" w:hAnsi="Georgia"/>
              </w:rPr>
            </w:pPr>
          </w:p>
          <w:p w14:paraId="185A5D5F" w14:textId="77777777" w:rsidR="00CA58D0" w:rsidRPr="00063B5E" w:rsidRDefault="00CA58D0" w:rsidP="00EA3947">
            <w:pPr>
              <w:spacing w:before="240"/>
              <w:jc w:val="both"/>
              <w:rPr>
                <w:rFonts w:ascii="Georgia" w:hAnsi="Georgia"/>
              </w:rPr>
            </w:pPr>
          </w:p>
        </w:tc>
      </w:tr>
      <w:tr w:rsidR="00CA58D0" w:rsidRPr="00CD0BB3" w14:paraId="48B77026" w14:textId="77777777" w:rsidTr="00EA3947">
        <w:tc>
          <w:tcPr>
            <w:tcW w:w="577" w:type="dxa"/>
            <w:vAlign w:val="center"/>
          </w:tcPr>
          <w:p w14:paraId="3041C358" w14:textId="77777777" w:rsidR="00CA58D0" w:rsidRDefault="00CA58D0" w:rsidP="00CA58D0">
            <w:pPr>
              <w:pStyle w:val="ListParagraph"/>
              <w:numPr>
                <w:ilvl w:val="0"/>
                <w:numId w:val="6"/>
              </w:numPr>
              <w:tabs>
                <w:tab w:val="left" w:pos="176"/>
              </w:tabs>
              <w:spacing w:before="240" w:after="0" w:line="240" w:lineRule="auto"/>
              <w:ind w:left="318"/>
              <w:rPr>
                <w:rFonts w:ascii="Georgia" w:hAnsi="Georgia"/>
              </w:rPr>
            </w:pPr>
          </w:p>
        </w:tc>
        <w:tc>
          <w:tcPr>
            <w:tcW w:w="4248" w:type="dxa"/>
            <w:vAlign w:val="center"/>
          </w:tcPr>
          <w:p w14:paraId="65EFDDBC" w14:textId="77777777" w:rsidR="00CA58D0" w:rsidRPr="00E50D2D" w:rsidRDefault="00CA58D0" w:rsidP="00EA3947">
            <w:pPr>
              <w:spacing w:before="240"/>
              <w:jc w:val="both"/>
              <w:rPr>
                <w:rFonts w:ascii="Georgia" w:hAnsi="Georgia"/>
                <w:u w:val="single"/>
              </w:rPr>
            </w:pPr>
            <w:r>
              <w:rPr>
                <w:rFonts w:ascii="Georgia" w:hAnsi="Georgia"/>
                <w:u w:val="single"/>
              </w:rPr>
              <w:t>Registrant confirms</w:t>
            </w:r>
            <w:r w:rsidRPr="00E50D2D">
              <w:rPr>
                <w:rFonts w:ascii="Georgia" w:hAnsi="Georgia"/>
                <w:u w:val="single"/>
              </w:rPr>
              <w:t xml:space="preserve"> they have obtained valid consent</w:t>
            </w:r>
            <w:r>
              <w:rPr>
                <w:rFonts w:ascii="Georgia" w:hAnsi="Georgia"/>
                <w:u w:val="single"/>
              </w:rPr>
              <w:t xml:space="preserve"> and undertakes the obligation to provide a copy if requested</w:t>
            </w:r>
          </w:p>
          <w:p w14:paraId="3E1A5C2D"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 Making personal data public in RDS is optional. </w:t>
            </w:r>
          </w:p>
          <w:p w14:paraId="144EECE3"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Prior to making personal data public, the controller requires the registrant to:</w:t>
            </w:r>
          </w:p>
          <w:p w14:paraId="32E27F55" w14:textId="77777777" w:rsidR="00CA58D0" w:rsidRDefault="00CA58D0" w:rsidP="00EA3947">
            <w:pPr>
              <w:pStyle w:val="ListParagraph"/>
              <w:spacing w:before="240"/>
              <w:ind w:left="176"/>
              <w:jc w:val="both"/>
              <w:rPr>
                <w:rFonts w:ascii="Georgia" w:hAnsi="Georgia"/>
              </w:rPr>
            </w:pPr>
            <w:r>
              <w:rPr>
                <w:rFonts w:ascii="Georgia" w:hAnsi="Georgia"/>
              </w:rPr>
              <w:t xml:space="preserve">(a) obtain individual's consent using a consent method defined by the controller (for example, consent form with specific wording and format which meets GDPR requirements); and </w:t>
            </w:r>
          </w:p>
          <w:p w14:paraId="363BA291" w14:textId="77777777" w:rsidR="00CA58D0" w:rsidRDefault="00CA58D0" w:rsidP="00EA3947">
            <w:pPr>
              <w:pStyle w:val="ListParagraph"/>
              <w:spacing w:before="240"/>
              <w:ind w:left="176"/>
              <w:jc w:val="both"/>
              <w:rPr>
                <w:rFonts w:ascii="Georgia" w:hAnsi="Georgia"/>
              </w:rPr>
            </w:pPr>
            <w:r>
              <w:rPr>
                <w:rFonts w:ascii="Georgia" w:hAnsi="Georgia"/>
              </w:rPr>
              <w:t>(b) confirm that they have done so.</w:t>
            </w:r>
          </w:p>
          <w:p w14:paraId="28D8617B" w14:textId="77777777" w:rsidR="00CA58D0" w:rsidRDefault="00CA58D0" w:rsidP="00EA3947">
            <w:pPr>
              <w:pStyle w:val="ListParagraph"/>
              <w:spacing w:before="240"/>
              <w:ind w:left="176"/>
              <w:jc w:val="both"/>
              <w:rPr>
                <w:rFonts w:ascii="Georgia" w:hAnsi="Georgia"/>
              </w:rPr>
            </w:pPr>
            <w:r>
              <w:rPr>
                <w:rFonts w:ascii="Georgia" w:hAnsi="Georgia"/>
              </w:rPr>
              <w:t xml:space="preserve"> </w:t>
            </w:r>
          </w:p>
          <w:p w14:paraId="10206622" w14:textId="77777777" w:rsidR="00CA58D0" w:rsidRDefault="00CA58D0" w:rsidP="00CA58D0">
            <w:pPr>
              <w:pStyle w:val="ListParagraph"/>
              <w:numPr>
                <w:ilvl w:val="0"/>
                <w:numId w:val="4"/>
              </w:numPr>
              <w:spacing w:before="240" w:after="0" w:line="240" w:lineRule="auto"/>
              <w:ind w:left="176" w:hanging="142"/>
              <w:jc w:val="both"/>
              <w:rPr>
                <w:rFonts w:ascii="Georgia" w:hAnsi="Georgia"/>
              </w:rPr>
            </w:pPr>
            <w:r>
              <w:rPr>
                <w:rFonts w:ascii="Georgia" w:hAnsi="Georgia"/>
              </w:rPr>
              <w:t xml:space="preserve">In addition, controller undertakes the obligation to keep copies of consent and provide to controller if requested. </w:t>
            </w:r>
          </w:p>
          <w:p w14:paraId="45FACD8A" w14:textId="77777777" w:rsidR="00CA58D0" w:rsidRDefault="00CA58D0" w:rsidP="00EA3947">
            <w:pPr>
              <w:spacing w:before="240"/>
              <w:jc w:val="both"/>
              <w:rPr>
                <w:rFonts w:ascii="Georgia" w:hAnsi="Georgia"/>
              </w:rPr>
            </w:pPr>
          </w:p>
        </w:tc>
        <w:tc>
          <w:tcPr>
            <w:tcW w:w="4735" w:type="dxa"/>
            <w:vAlign w:val="center"/>
          </w:tcPr>
          <w:p w14:paraId="41AC00E6" w14:textId="77777777" w:rsidR="00CA58D0" w:rsidRDefault="00CA58D0" w:rsidP="00EA3947">
            <w:pPr>
              <w:pStyle w:val="ListParagraph"/>
              <w:spacing w:before="240"/>
              <w:ind w:left="0"/>
              <w:jc w:val="both"/>
              <w:rPr>
                <w:rFonts w:ascii="Georgia" w:hAnsi="Georgia"/>
              </w:rPr>
            </w:pPr>
            <w:r>
              <w:rPr>
                <w:rFonts w:ascii="Georgia" w:hAnsi="Georgia"/>
              </w:rPr>
              <w:t xml:space="preserve">Under this option, there is less control over the consent process compared to the above options and more reliance on the registrant to comply with their –contractual- obligations. </w:t>
            </w:r>
          </w:p>
          <w:p w14:paraId="7EAB4241" w14:textId="77777777" w:rsidR="00CA58D0" w:rsidRDefault="00CA58D0" w:rsidP="00EA3947">
            <w:pPr>
              <w:pStyle w:val="ListParagraph"/>
              <w:spacing w:before="240"/>
              <w:ind w:left="0"/>
              <w:jc w:val="both"/>
              <w:rPr>
                <w:rFonts w:ascii="Georgia" w:hAnsi="Georgia"/>
              </w:rPr>
            </w:pPr>
          </w:p>
          <w:p w14:paraId="0B19BB7E" w14:textId="77777777" w:rsidR="00CA58D0" w:rsidRDefault="00CA58D0" w:rsidP="00EA3947">
            <w:pPr>
              <w:pStyle w:val="ListParagraph"/>
              <w:spacing w:before="240"/>
              <w:ind w:left="0"/>
              <w:jc w:val="both"/>
              <w:rPr>
                <w:rFonts w:ascii="Georgia" w:hAnsi="Georgia"/>
              </w:rPr>
            </w:pPr>
            <w:r>
              <w:rPr>
                <w:rFonts w:ascii="Georgia" w:hAnsi="Georgia"/>
              </w:rPr>
              <w:t xml:space="preserve">The obligations undertaken by the registrant may provide the controller with a contractual recourse against the registrant. However, the controller will not be discharged from its obligations under the GDPR and – if the registrant has not met its obligations and/or does not provide a copy of the consent on request – then the controller will not be able to demonstrate that consent requirements are met, so this will impact on controller's compliance with GDPR. </w:t>
            </w:r>
          </w:p>
          <w:p w14:paraId="753A7842" w14:textId="77777777" w:rsidR="00CA58D0" w:rsidRDefault="00CA58D0" w:rsidP="00EA3947">
            <w:pPr>
              <w:pStyle w:val="ListParagraph"/>
              <w:spacing w:before="240"/>
              <w:ind w:left="0"/>
              <w:jc w:val="both"/>
              <w:rPr>
                <w:rFonts w:ascii="Georgia" w:hAnsi="Georgia"/>
              </w:rPr>
            </w:pPr>
          </w:p>
          <w:p w14:paraId="5F24719D" w14:textId="77777777" w:rsidR="00CA58D0" w:rsidRDefault="00CA58D0" w:rsidP="00EA3947">
            <w:pPr>
              <w:pStyle w:val="ListParagraph"/>
              <w:spacing w:before="240"/>
              <w:ind w:left="0"/>
              <w:jc w:val="both"/>
              <w:rPr>
                <w:rFonts w:ascii="Georgia" w:hAnsi="Georgia"/>
              </w:rPr>
            </w:pPr>
          </w:p>
          <w:p w14:paraId="142774C5" w14:textId="77777777" w:rsidR="00CA58D0" w:rsidRDefault="00CA58D0" w:rsidP="00EA3947">
            <w:pPr>
              <w:pStyle w:val="ListParagraph"/>
              <w:spacing w:before="240"/>
              <w:ind w:left="0"/>
              <w:jc w:val="both"/>
              <w:rPr>
                <w:rFonts w:ascii="Georgia" w:hAnsi="Georgia"/>
              </w:rPr>
            </w:pPr>
          </w:p>
        </w:tc>
      </w:tr>
      <w:tr w:rsidR="00CA58D0" w:rsidRPr="00CD0BB3" w14:paraId="49AA9F3B" w14:textId="77777777" w:rsidTr="00EA3947">
        <w:tc>
          <w:tcPr>
            <w:tcW w:w="577" w:type="dxa"/>
            <w:vAlign w:val="center"/>
          </w:tcPr>
          <w:p w14:paraId="40563FB1" w14:textId="77777777" w:rsidR="00CA58D0" w:rsidRDefault="00CA58D0" w:rsidP="00CA58D0">
            <w:pPr>
              <w:pStyle w:val="ListParagraph"/>
              <w:numPr>
                <w:ilvl w:val="0"/>
                <w:numId w:val="6"/>
              </w:numPr>
              <w:tabs>
                <w:tab w:val="left" w:pos="176"/>
              </w:tabs>
              <w:spacing w:before="240" w:after="0" w:line="240" w:lineRule="auto"/>
              <w:ind w:left="318"/>
              <w:rPr>
                <w:rFonts w:ascii="Georgia" w:hAnsi="Georgia"/>
              </w:rPr>
            </w:pPr>
            <w:r>
              <w:rPr>
                <w:rFonts w:ascii="Georgia" w:hAnsi="Georgia"/>
              </w:rPr>
              <w:lastRenderedPageBreak/>
              <w:t xml:space="preserve"> </w:t>
            </w:r>
          </w:p>
        </w:tc>
        <w:tc>
          <w:tcPr>
            <w:tcW w:w="4248" w:type="dxa"/>
          </w:tcPr>
          <w:p w14:paraId="47D633A1" w14:textId="77777777" w:rsidR="00CA58D0" w:rsidRPr="00E50D2D" w:rsidRDefault="00CA58D0" w:rsidP="00EA3947">
            <w:pPr>
              <w:spacing w:before="240"/>
              <w:jc w:val="both"/>
              <w:rPr>
                <w:rFonts w:ascii="Georgia" w:hAnsi="Georgia"/>
                <w:u w:val="single"/>
              </w:rPr>
            </w:pPr>
            <w:r w:rsidRPr="00E50D2D">
              <w:rPr>
                <w:rFonts w:ascii="Georgia" w:hAnsi="Georgia"/>
                <w:u w:val="single"/>
              </w:rPr>
              <w:t>Regi</w:t>
            </w:r>
            <w:r>
              <w:rPr>
                <w:rFonts w:ascii="Georgia" w:hAnsi="Georgia"/>
                <w:u w:val="single"/>
              </w:rPr>
              <w:t>strant undertakes</w:t>
            </w:r>
            <w:r w:rsidRPr="00E50D2D">
              <w:rPr>
                <w:rFonts w:ascii="Georgia" w:hAnsi="Georgia"/>
                <w:u w:val="single"/>
              </w:rPr>
              <w:t xml:space="preserve"> the obligation to obtain consent</w:t>
            </w:r>
          </w:p>
          <w:p w14:paraId="7F878884" w14:textId="77777777" w:rsidR="00CA58D0" w:rsidRDefault="00CA58D0" w:rsidP="00CA58D0">
            <w:pPr>
              <w:pStyle w:val="ListParagraph"/>
              <w:numPr>
                <w:ilvl w:val="0"/>
                <w:numId w:val="4"/>
              </w:numPr>
              <w:spacing w:before="240" w:after="0" w:line="240" w:lineRule="auto"/>
              <w:ind w:left="318" w:hanging="218"/>
              <w:jc w:val="both"/>
              <w:rPr>
                <w:rFonts w:ascii="Georgia" w:hAnsi="Georgia"/>
              </w:rPr>
            </w:pPr>
            <w:r>
              <w:rPr>
                <w:rFonts w:ascii="Georgia" w:hAnsi="Georgia"/>
              </w:rPr>
              <w:t>Registrants are allowed to provide non-personal contact details; however, registration data is made public by default (irrespective of whether or not personal data is included).</w:t>
            </w:r>
          </w:p>
          <w:p w14:paraId="0D8D38C7" w14:textId="77777777" w:rsidR="00CA58D0" w:rsidRPr="001F427F" w:rsidRDefault="00CA58D0" w:rsidP="00CA58D0">
            <w:pPr>
              <w:pStyle w:val="ListParagraph"/>
              <w:numPr>
                <w:ilvl w:val="0"/>
                <w:numId w:val="4"/>
              </w:numPr>
              <w:spacing w:before="240" w:after="0" w:line="240" w:lineRule="auto"/>
              <w:ind w:left="318" w:hanging="218"/>
              <w:jc w:val="both"/>
              <w:rPr>
                <w:rFonts w:ascii="Georgia" w:hAnsi="Georgia"/>
              </w:rPr>
            </w:pPr>
            <w:r>
              <w:rPr>
                <w:rFonts w:ascii="Georgia" w:hAnsi="Georgia"/>
              </w:rPr>
              <w:t>By means of a statement, registrants undertake to ensure they have obtained individuals' consent if they choose to provide personal data.</w:t>
            </w:r>
          </w:p>
        </w:tc>
        <w:tc>
          <w:tcPr>
            <w:tcW w:w="4735" w:type="dxa"/>
          </w:tcPr>
          <w:p w14:paraId="7DC7D17A" w14:textId="77777777" w:rsidR="00CA58D0" w:rsidRDefault="00CA58D0" w:rsidP="00EA3947">
            <w:pPr>
              <w:pStyle w:val="ListParagraph"/>
              <w:spacing w:before="240"/>
              <w:ind w:left="0"/>
              <w:jc w:val="both"/>
              <w:rPr>
                <w:rFonts w:ascii="Georgia" w:hAnsi="Georgia"/>
              </w:rPr>
            </w:pPr>
          </w:p>
          <w:p w14:paraId="75BC3572" w14:textId="77777777" w:rsidR="00CA58D0" w:rsidRDefault="00CA58D0" w:rsidP="00EA3947">
            <w:pPr>
              <w:pStyle w:val="ListParagraph"/>
              <w:spacing w:before="240"/>
              <w:ind w:left="0"/>
              <w:jc w:val="both"/>
              <w:rPr>
                <w:rFonts w:ascii="Georgia" w:hAnsi="Georgia"/>
              </w:rPr>
            </w:pPr>
            <w:r>
              <w:rPr>
                <w:rFonts w:ascii="Georgia" w:hAnsi="Georgia"/>
              </w:rPr>
              <w:t>This option is unlikely to be GDPR-compliant for a number of reasons:</w:t>
            </w:r>
          </w:p>
          <w:p w14:paraId="505B47A1" w14:textId="77777777" w:rsidR="00CA58D0" w:rsidRDefault="00CA58D0" w:rsidP="00CA58D0">
            <w:pPr>
              <w:pStyle w:val="ListParagraph"/>
              <w:numPr>
                <w:ilvl w:val="0"/>
                <w:numId w:val="5"/>
              </w:numPr>
              <w:spacing w:before="240" w:after="0" w:line="240" w:lineRule="auto"/>
              <w:ind w:left="459"/>
              <w:jc w:val="both"/>
              <w:rPr>
                <w:rFonts w:ascii="Georgia" w:hAnsi="Georgia"/>
              </w:rPr>
            </w:pPr>
            <w:r>
              <w:rPr>
                <w:rFonts w:ascii="Georgia" w:hAnsi="Georgia"/>
              </w:rPr>
              <w:t xml:space="preserve">The controller has taken no action to ensure that consent has been obtained, although the obligation to obtain consent continues to </w:t>
            </w:r>
            <w:proofErr w:type="gramStart"/>
            <w:r>
              <w:rPr>
                <w:rFonts w:ascii="Georgia" w:hAnsi="Georgia"/>
              </w:rPr>
              <w:t>rests</w:t>
            </w:r>
            <w:proofErr w:type="gramEnd"/>
            <w:r>
              <w:rPr>
                <w:rFonts w:ascii="Georgia" w:hAnsi="Georgia"/>
              </w:rPr>
              <w:t xml:space="preserve"> with the controller; </w:t>
            </w:r>
          </w:p>
          <w:p w14:paraId="58D7D702" w14:textId="77777777" w:rsidR="00CA58D0" w:rsidRDefault="00CA58D0" w:rsidP="00CA58D0">
            <w:pPr>
              <w:pStyle w:val="ListParagraph"/>
              <w:numPr>
                <w:ilvl w:val="0"/>
                <w:numId w:val="5"/>
              </w:numPr>
              <w:spacing w:before="240" w:after="0" w:line="240" w:lineRule="auto"/>
              <w:ind w:left="459"/>
              <w:jc w:val="both"/>
              <w:rPr>
                <w:rFonts w:ascii="Georgia" w:hAnsi="Georgia"/>
              </w:rPr>
            </w:pPr>
            <w:r>
              <w:rPr>
                <w:rFonts w:ascii="Georgia" w:hAnsi="Georgia"/>
              </w:rPr>
              <w:t xml:space="preserve">Also, the controller is not in a position to demonstrate compliance with Article 4(11) and Article 7 GDPR requirements or with its transparency obligation. </w:t>
            </w:r>
          </w:p>
          <w:p w14:paraId="6B605AAA" w14:textId="77777777" w:rsidR="00CA58D0" w:rsidRDefault="00CA58D0" w:rsidP="00CA58D0">
            <w:pPr>
              <w:pStyle w:val="ListParagraph"/>
              <w:numPr>
                <w:ilvl w:val="0"/>
                <w:numId w:val="5"/>
              </w:numPr>
              <w:spacing w:before="240" w:after="0" w:line="240" w:lineRule="auto"/>
              <w:ind w:left="459"/>
              <w:jc w:val="both"/>
              <w:rPr>
                <w:rFonts w:ascii="Georgia" w:hAnsi="Georgia"/>
              </w:rPr>
            </w:pPr>
            <w:r>
              <w:rPr>
                <w:rFonts w:ascii="Georgia" w:hAnsi="Georgia"/>
              </w:rPr>
              <w:t xml:space="preserve">The controller does not hold any record of consent. </w:t>
            </w:r>
          </w:p>
          <w:p w14:paraId="6A831E05" w14:textId="77777777" w:rsidR="00CA58D0" w:rsidRDefault="00CA58D0" w:rsidP="00CA58D0">
            <w:pPr>
              <w:pStyle w:val="ListParagraph"/>
              <w:numPr>
                <w:ilvl w:val="0"/>
                <w:numId w:val="5"/>
              </w:numPr>
              <w:spacing w:before="240" w:after="0" w:line="240" w:lineRule="auto"/>
              <w:ind w:left="459"/>
              <w:jc w:val="both"/>
              <w:rPr>
                <w:rFonts w:ascii="Georgia" w:hAnsi="Georgia"/>
              </w:rPr>
            </w:pPr>
            <w:r>
              <w:rPr>
                <w:rFonts w:ascii="Georgia" w:hAnsi="Georgia"/>
              </w:rPr>
              <w:t xml:space="preserve">Consent will not be freely given as individuals are not in a position to effectively exercise their –unconditional- right to withdraw consent: since the publication of contact details is mandatory, withdrawing consent will be subject to the registrant providing alternative contact details. </w:t>
            </w:r>
          </w:p>
          <w:p w14:paraId="4323A62B" w14:textId="77777777" w:rsidR="00CA58D0" w:rsidRPr="00CD0BB3" w:rsidRDefault="00CA58D0" w:rsidP="00EA3947">
            <w:pPr>
              <w:pStyle w:val="ListParagraph"/>
              <w:spacing w:before="240"/>
              <w:ind w:left="459"/>
              <w:jc w:val="both"/>
              <w:rPr>
                <w:rFonts w:ascii="Georgia" w:hAnsi="Georgia"/>
              </w:rPr>
            </w:pPr>
          </w:p>
        </w:tc>
      </w:tr>
    </w:tbl>
    <w:p w14:paraId="31AB6B95" w14:textId="77777777" w:rsidR="00CA58D0" w:rsidRPr="009C1932" w:rsidRDefault="00CA58D0" w:rsidP="00CA58D0">
      <w:pPr>
        <w:jc w:val="both"/>
        <w:rPr>
          <w:rFonts w:ascii="Georgia" w:hAnsi="Georgia"/>
        </w:rPr>
      </w:pPr>
    </w:p>
    <w:p w14:paraId="0068A0A2" w14:textId="77777777" w:rsidR="00CA58D0" w:rsidRDefault="00CA58D0"/>
    <w:sectPr w:rsidR="00CA58D0"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83"/>
    <w:multiLevelType w:val="hybridMultilevel"/>
    <w:tmpl w:val="B844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A20B1"/>
    <w:multiLevelType w:val="hybridMultilevel"/>
    <w:tmpl w:val="E120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D1BC7"/>
    <w:multiLevelType w:val="hybridMultilevel"/>
    <w:tmpl w:val="B8E2622C"/>
    <w:lvl w:ilvl="0" w:tplc="B114EDF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160E6"/>
    <w:multiLevelType w:val="hybridMultilevel"/>
    <w:tmpl w:val="E01E6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04E87"/>
    <w:multiLevelType w:val="hybridMultilevel"/>
    <w:tmpl w:val="9FAC1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A5640"/>
    <w:multiLevelType w:val="hybridMultilevel"/>
    <w:tmpl w:val="1DAED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3F"/>
    <w:rsid w:val="00237BC0"/>
    <w:rsid w:val="00404709"/>
    <w:rsid w:val="004076B0"/>
    <w:rsid w:val="00440B65"/>
    <w:rsid w:val="004414C3"/>
    <w:rsid w:val="005D47E7"/>
    <w:rsid w:val="00993F3F"/>
    <w:rsid w:val="009A6F95"/>
    <w:rsid w:val="00CA58D0"/>
    <w:rsid w:val="00DC58CE"/>
    <w:rsid w:val="00F94C3E"/>
    <w:rsid w:val="00F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863F"/>
  <w15:chartTrackingRefBased/>
  <w15:docId w15:val="{06410ECD-7300-E64A-A3D2-AEFB6083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F3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3F"/>
    <w:pPr>
      <w:ind w:left="720"/>
      <w:contextualSpacing/>
    </w:pPr>
  </w:style>
  <w:style w:type="table" w:styleId="TableGrid">
    <w:name w:val="Table Grid"/>
    <w:basedOn w:val="TableNormal"/>
    <w:uiPriority w:val="59"/>
    <w:rsid w:val="00993F3F"/>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NoSpacing">
    <w:name w:val="B&amp;B Body Text No Spacing"/>
    <w:basedOn w:val="BodyText"/>
    <w:uiPriority w:val="1"/>
    <w:qFormat/>
    <w:rsid w:val="00993F3F"/>
    <w:pPr>
      <w:spacing w:after="0" w:line="240" w:lineRule="auto"/>
      <w:jc w:val="both"/>
    </w:pPr>
    <w:rPr>
      <w:rFonts w:cs="Times New Roman"/>
    </w:rPr>
  </w:style>
  <w:style w:type="paragraph" w:styleId="BodyText">
    <w:name w:val="Body Text"/>
    <w:basedOn w:val="Normal"/>
    <w:link w:val="BodyTextChar"/>
    <w:uiPriority w:val="99"/>
    <w:semiHidden/>
    <w:unhideWhenUsed/>
    <w:rsid w:val="00993F3F"/>
    <w:pPr>
      <w:spacing w:after="120"/>
    </w:pPr>
  </w:style>
  <w:style w:type="character" w:customStyle="1" w:styleId="BodyTextChar">
    <w:name w:val="Body Text Char"/>
    <w:basedOn w:val="DefaultParagraphFont"/>
    <w:link w:val="BodyText"/>
    <w:uiPriority w:val="99"/>
    <w:semiHidden/>
    <w:rsid w:val="00993F3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2020-03-24T19:31:00Z</dcterms:created>
  <dcterms:modified xsi:type="dcterms:W3CDTF">2020-03-24T20:14:00Z</dcterms:modified>
</cp:coreProperties>
</file>