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10361" w14:textId="138FB8F9" w:rsidR="000E7792" w:rsidRPr="006E44D3" w:rsidRDefault="005E2480">
      <w:pPr>
        <w:rPr>
          <w:b/>
          <w:sz w:val="22"/>
          <w:szCs w:val="22"/>
        </w:rPr>
      </w:pPr>
      <w:r w:rsidRPr="006E44D3">
        <w:rPr>
          <w:b/>
          <w:sz w:val="22"/>
          <w:szCs w:val="22"/>
        </w:rPr>
        <w:t xml:space="preserve">EPDP Team – </w:t>
      </w:r>
      <w:r w:rsidR="005A447D" w:rsidRPr="006E44D3">
        <w:rPr>
          <w:b/>
          <w:sz w:val="22"/>
          <w:szCs w:val="22"/>
        </w:rPr>
        <w:t xml:space="preserve">Temporary Specification </w:t>
      </w:r>
      <w:r w:rsidRPr="006E44D3">
        <w:rPr>
          <w:b/>
          <w:sz w:val="22"/>
          <w:szCs w:val="22"/>
        </w:rPr>
        <w:t>Scorecard</w:t>
      </w:r>
      <w:r w:rsidR="005A447D" w:rsidRPr="006E44D3">
        <w:rPr>
          <w:b/>
          <w:sz w:val="22"/>
          <w:szCs w:val="22"/>
        </w:rPr>
        <w:t xml:space="preserve"> Template</w:t>
      </w:r>
    </w:p>
    <w:p w14:paraId="2AED65C2" w14:textId="581D3827" w:rsidR="005E2480" w:rsidRPr="006E44D3" w:rsidRDefault="005E2480">
      <w:pPr>
        <w:rPr>
          <w:b/>
          <w:sz w:val="22"/>
          <w:szCs w:val="22"/>
        </w:rPr>
      </w:pPr>
    </w:p>
    <w:tbl>
      <w:tblPr>
        <w:tblStyle w:val="TableGrid"/>
        <w:tblW w:w="13186" w:type="dxa"/>
        <w:tblLook w:val="04A0" w:firstRow="1" w:lastRow="0" w:firstColumn="1" w:lastColumn="0" w:noHBand="0" w:noVBand="1"/>
      </w:tblPr>
      <w:tblGrid>
        <w:gridCol w:w="3594"/>
        <w:gridCol w:w="1970"/>
        <w:gridCol w:w="1440"/>
        <w:gridCol w:w="810"/>
        <w:gridCol w:w="2219"/>
        <w:gridCol w:w="1921"/>
        <w:gridCol w:w="1232"/>
      </w:tblGrid>
      <w:tr w:rsidR="00956783" w:rsidRPr="006E44D3" w14:paraId="0B84DF9D" w14:textId="4C73C34D" w:rsidTr="00956783">
        <w:trPr>
          <w:trHeight w:val="293"/>
        </w:trPr>
        <w:tc>
          <w:tcPr>
            <w:tcW w:w="3594" w:type="dxa"/>
            <w:tcBorders>
              <w:bottom w:val="single" w:sz="4" w:space="0" w:color="auto"/>
            </w:tcBorders>
            <w:shd w:val="clear" w:color="auto" w:fill="E7E6E6" w:themeFill="background2"/>
          </w:tcPr>
          <w:p w14:paraId="3DB55438" w14:textId="54AF07D9" w:rsidR="00956783" w:rsidRPr="006E44D3" w:rsidRDefault="00956783">
            <w:pPr>
              <w:rPr>
                <w:b/>
                <w:sz w:val="22"/>
                <w:szCs w:val="22"/>
              </w:rPr>
            </w:pPr>
            <w:r w:rsidRPr="006E44D3">
              <w:rPr>
                <w:b/>
                <w:sz w:val="22"/>
                <w:szCs w:val="22"/>
              </w:rPr>
              <w:t>Temp Spec Section</w:t>
            </w:r>
          </w:p>
        </w:tc>
        <w:tc>
          <w:tcPr>
            <w:tcW w:w="1970" w:type="dxa"/>
          </w:tcPr>
          <w:p w14:paraId="706CB811" w14:textId="3AA89B24" w:rsidR="00956783" w:rsidRPr="006E44D3" w:rsidRDefault="00956783" w:rsidP="00956783">
            <w:pPr>
              <w:rPr>
                <w:sz w:val="22"/>
                <w:szCs w:val="22"/>
              </w:rPr>
            </w:pPr>
            <w:r w:rsidRPr="006E44D3">
              <w:rPr>
                <w:sz w:val="22"/>
                <w:szCs w:val="22"/>
              </w:rPr>
              <w:t>Appendix G</w:t>
            </w:r>
            <w:r>
              <w:rPr>
                <w:sz w:val="22"/>
                <w:szCs w:val="22"/>
              </w:rPr>
              <w:t>-P1</w:t>
            </w:r>
          </w:p>
        </w:tc>
        <w:tc>
          <w:tcPr>
            <w:tcW w:w="2250" w:type="dxa"/>
            <w:gridSpan w:val="2"/>
            <w:shd w:val="clear" w:color="auto" w:fill="E7E6E6" w:themeFill="background2"/>
          </w:tcPr>
          <w:p w14:paraId="15DE4835" w14:textId="715486B9" w:rsidR="00956783" w:rsidRPr="006E44D3" w:rsidRDefault="00956783">
            <w:pPr>
              <w:rPr>
                <w:b/>
                <w:sz w:val="22"/>
                <w:szCs w:val="22"/>
              </w:rPr>
            </w:pPr>
            <w:r w:rsidRPr="006E44D3">
              <w:rPr>
                <w:b/>
                <w:sz w:val="22"/>
                <w:szCs w:val="22"/>
              </w:rPr>
              <w:t>Date</w:t>
            </w:r>
            <w:r>
              <w:rPr>
                <w:b/>
                <w:sz w:val="22"/>
                <w:szCs w:val="22"/>
              </w:rPr>
              <w:t xml:space="preserve"> (last update)</w:t>
            </w:r>
          </w:p>
        </w:tc>
        <w:tc>
          <w:tcPr>
            <w:tcW w:w="2219" w:type="dxa"/>
          </w:tcPr>
          <w:p w14:paraId="438E7976" w14:textId="425DFE9B" w:rsidR="00956783" w:rsidRPr="006E44D3" w:rsidRDefault="00956783" w:rsidP="00BF24A1">
            <w:pPr>
              <w:rPr>
                <w:sz w:val="22"/>
                <w:szCs w:val="22"/>
              </w:rPr>
            </w:pPr>
            <w:r w:rsidRPr="006E44D3">
              <w:rPr>
                <w:sz w:val="22"/>
                <w:szCs w:val="22"/>
              </w:rPr>
              <w:t>2</w:t>
            </w:r>
            <w:r w:rsidR="00BF24A1">
              <w:rPr>
                <w:sz w:val="22"/>
                <w:szCs w:val="22"/>
              </w:rPr>
              <w:t>2</w:t>
            </w:r>
            <w:bookmarkStart w:id="0" w:name="_GoBack"/>
            <w:bookmarkEnd w:id="0"/>
            <w:r w:rsidRPr="006E44D3">
              <w:rPr>
                <w:sz w:val="22"/>
                <w:szCs w:val="22"/>
              </w:rPr>
              <w:t xml:space="preserve"> August 2018</w:t>
            </w:r>
          </w:p>
        </w:tc>
        <w:tc>
          <w:tcPr>
            <w:tcW w:w="1921" w:type="dxa"/>
            <w:shd w:val="clear" w:color="auto" w:fill="D9D9D9" w:themeFill="background1" w:themeFillShade="D9"/>
          </w:tcPr>
          <w:p w14:paraId="4BD68845" w14:textId="6BDD88AB" w:rsidR="00956783" w:rsidRPr="00956783" w:rsidRDefault="00956783">
            <w:pPr>
              <w:rPr>
                <w:b/>
                <w:sz w:val="22"/>
                <w:szCs w:val="22"/>
              </w:rPr>
            </w:pPr>
            <w:r w:rsidRPr="00956783">
              <w:rPr>
                <w:b/>
                <w:sz w:val="22"/>
                <w:szCs w:val="22"/>
              </w:rPr>
              <w:t>Category</w:t>
            </w:r>
          </w:p>
        </w:tc>
        <w:tc>
          <w:tcPr>
            <w:tcW w:w="1232" w:type="dxa"/>
          </w:tcPr>
          <w:p w14:paraId="101836D8" w14:textId="2CD0F059" w:rsidR="00956783" w:rsidRPr="006E44D3" w:rsidRDefault="00956783" w:rsidP="00956783">
            <w:pPr>
              <w:jc w:val="center"/>
              <w:rPr>
                <w:sz w:val="22"/>
                <w:szCs w:val="22"/>
              </w:rPr>
            </w:pPr>
            <w:r>
              <w:rPr>
                <w:sz w:val="22"/>
                <w:szCs w:val="22"/>
              </w:rPr>
              <w:t>3</w:t>
            </w:r>
          </w:p>
        </w:tc>
      </w:tr>
      <w:tr w:rsidR="003075B7" w:rsidRPr="006E44D3" w14:paraId="7952B159" w14:textId="0BFCB618" w:rsidTr="00956783">
        <w:trPr>
          <w:trHeight w:val="293"/>
        </w:trPr>
        <w:tc>
          <w:tcPr>
            <w:tcW w:w="3594" w:type="dxa"/>
            <w:shd w:val="clear" w:color="auto" w:fill="E7E6E6" w:themeFill="background2"/>
          </w:tcPr>
          <w:p w14:paraId="03835305" w14:textId="053D8C26" w:rsidR="003075B7" w:rsidRPr="006E44D3" w:rsidRDefault="003075B7">
            <w:pPr>
              <w:rPr>
                <w:b/>
                <w:sz w:val="22"/>
                <w:szCs w:val="22"/>
              </w:rPr>
            </w:pPr>
            <w:r w:rsidRPr="006E44D3">
              <w:rPr>
                <w:b/>
                <w:sz w:val="22"/>
                <w:szCs w:val="22"/>
              </w:rPr>
              <w:t>Current text</w:t>
            </w:r>
          </w:p>
        </w:tc>
        <w:tc>
          <w:tcPr>
            <w:tcW w:w="9592" w:type="dxa"/>
            <w:gridSpan w:val="6"/>
            <w:tcBorders>
              <w:bottom w:val="single" w:sz="4" w:space="0" w:color="auto"/>
            </w:tcBorders>
          </w:tcPr>
          <w:p w14:paraId="5E73050B" w14:textId="77777777" w:rsidR="00397D5F" w:rsidRPr="006E44D3" w:rsidRDefault="00397D5F">
            <w:pPr>
              <w:rPr>
                <w:sz w:val="22"/>
                <w:szCs w:val="22"/>
              </w:rPr>
            </w:pPr>
            <w:r w:rsidRPr="006E44D3">
              <w:rPr>
                <w:sz w:val="22"/>
                <w:szCs w:val="22"/>
              </w:rPr>
              <w:t>This Appendix provides supplemental procedures for the Transfer Policy applicable to all ICANN-accredited Registrars.</w:t>
            </w:r>
          </w:p>
          <w:p w14:paraId="6405F684" w14:textId="77777777" w:rsidR="00397D5F" w:rsidRPr="006E44D3" w:rsidRDefault="00397D5F">
            <w:pPr>
              <w:rPr>
                <w:sz w:val="22"/>
                <w:szCs w:val="22"/>
              </w:rPr>
            </w:pPr>
            <w:r w:rsidRPr="006E44D3">
              <w:rPr>
                <w:sz w:val="22"/>
                <w:szCs w:val="22"/>
              </w:rPr>
              <w:t>1. Until such time when the RDAP service (or other secure methods for transferring data) is required by ICANN to be offered, if the Gaining Registrar is unable to gain access to then-current Registration Data for a domain name subject of a transfer, the related requirements in the Transfer Policy will be superseded by the below provisions:</w:t>
            </w:r>
          </w:p>
          <w:p w14:paraId="4A797AEA" w14:textId="77777777" w:rsidR="00397D5F" w:rsidRPr="006E44D3" w:rsidRDefault="00397D5F" w:rsidP="00397D5F">
            <w:pPr>
              <w:ind w:left="720"/>
              <w:rPr>
                <w:sz w:val="22"/>
                <w:szCs w:val="22"/>
              </w:rPr>
            </w:pPr>
            <w:r w:rsidRPr="006E44D3">
              <w:rPr>
                <w:sz w:val="22"/>
                <w:szCs w:val="22"/>
              </w:rPr>
              <w:t>1.1. The Gaining Registrar is not REQUIRED to obtain a Form of Authorization from the Transfer Contact.</w:t>
            </w:r>
          </w:p>
          <w:p w14:paraId="78E25DFA" w14:textId="1F883A7A" w:rsidR="00397D5F" w:rsidRPr="006E44D3" w:rsidRDefault="00397D5F" w:rsidP="00153F30">
            <w:pPr>
              <w:ind w:left="720"/>
              <w:rPr>
                <w:sz w:val="22"/>
                <w:szCs w:val="22"/>
              </w:rPr>
            </w:pPr>
            <w:r w:rsidRPr="006E44D3">
              <w:rPr>
                <w:sz w:val="22"/>
                <w:szCs w:val="22"/>
              </w:rPr>
              <w:t xml:space="preserve">1.2. The Registrant MUST independently re-enter Registration Data with the Gaining Registrar. In such instance, the Gaining Registrar is not REQUIRED to follow the Change of Registrant Process as provided in Section II.C. </w:t>
            </w:r>
            <w:proofErr w:type="gramStart"/>
            <w:r w:rsidRPr="006E44D3">
              <w:rPr>
                <w:sz w:val="22"/>
                <w:szCs w:val="22"/>
              </w:rPr>
              <w:t>of</w:t>
            </w:r>
            <w:proofErr w:type="gramEnd"/>
            <w:r w:rsidRPr="006E44D3">
              <w:rPr>
                <w:sz w:val="22"/>
                <w:szCs w:val="22"/>
              </w:rPr>
              <w:t xml:space="preserve"> the Transfer Policy.</w:t>
            </w:r>
          </w:p>
        </w:tc>
      </w:tr>
      <w:tr w:rsidR="009C18F9" w:rsidRPr="006E44D3" w14:paraId="635236BC" w14:textId="1F3C46EB" w:rsidTr="00956783">
        <w:trPr>
          <w:trHeight w:val="293"/>
        </w:trPr>
        <w:tc>
          <w:tcPr>
            <w:tcW w:w="3594" w:type="dxa"/>
          </w:tcPr>
          <w:p w14:paraId="746AAE8C" w14:textId="77777777" w:rsidR="009C18F9" w:rsidRPr="006E44D3" w:rsidRDefault="009C18F9">
            <w:pPr>
              <w:rPr>
                <w:b/>
                <w:sz w:val="22"/>
                <w:szCs w:val="22"/>
              </w:rPr>
            </w:pPr>
          </w:p>
        </w:tc>
        <w:tc>
          <w:tcPr>
            <w:tcW w:w="3410" w:type="dxa"/>
            <w:gridSpan w:val="2"/>
            <w:shd w:val="clear" w:color="auto" w:fill="E7E6E6" w:themeFill="background2"/>
          </w:tcPr>
          <w:p w14:paraId="3BB71D95" w14:textId="2D802C1D" w:rsidR="009C18F9" w:rsidRPr="006E44D3" w:rsidRDefault="00201C9C">
            <w:pPr>
              <w:rPr>
                <w:b/>
                <w:sz w:val="22"/>
                <w:szCs w:val="22"/>
              </w:rPr>
            </w:pPr>
            <w:r w:rsidRPr="006E44D3">
              <w:rPr>
                <w:b/>
                <w:sz w:val="22"/>
                <w:szCs w:val="22"/>
              </w:rPr>
              <w:t>Support as is</w:t>
            </w:r>
          </w:p>
        </w:tc>
        <w:tc>
          <w:tcPr>
            <w:tcW w:w="3029" w:type="dxa"/>
            <w:gridSpan w:val="2"/>
            <w:shd w:val="clear" w:color="auto" w:fill="E7E6E6" w:themeFill="background2"/>
          </w:tcPr>
          <w:p w14:paraId="7AF6A62E" w14:textId="358D90CB" w:rsidR="009C18F9" w:rsidRPr="006E44D3" w:rsidRDefault="00201C9C">
            <w:pPr>
              <w:rPr>
                <w:b/>
                <w:sz w:val="22"/>
                <w:szCs w:val="22"/>
              </w:rPr>
            </w:pPr>
            <w:r w:rsidRPr="006E44D3">
              <w:rPr>
                <w:b/>
                <w:sz w:val="22"/>
                <w:szCs w:val="22"/>
              </w:rPr>
              <w:t>No strong Opinion</w:t>
            </w:r>
          </w:p>
        </w:tc>
        <w:tc>
          <w:tcPr>
            <w:tcW w:w="3153" w:type="dxa"/>
            <w:gridSpan w:val="2"/>
            <w:shd w:val="clear" w:color="auto" w:fill="E7E6E6" w:themeFill="background2"/>
          </w:tcPr>
          <w:p w14:paraId="66796C07" w14:textId="30D270F4" w:rsidR="009C18F9" w:rsidRPr="006E44D3" w:rsidRDefault="00201C9C">
            <w:pPr>
              <w:rPr>
                <w:b/>
                <w:sz w:val="22"/>
                <w:szCs w:val="22"/>
              </w:rPr>
            </w:pPr>
            <w:r w:rsidRPr="006E44D3">
              <w:rPr>
                <w:b/>
                <w:sz w:val="22"/>
                <w:szCs w:val="22"/>
              </w:rPr>
              <w:t>Does not support as is</w:t>
            </w:r>
          </w:p>
        </w:tc>
      </w:tr>
      <w:tr w:rsidR="00201C9C" w:rsidRPr="006E44D3" w14:paraId="1306BEFA" w14:textId="77777777" w:rsidTr="00956783">
        <w:trPr>
          <w:trHeight w:val="293"/>
        </w:trPr>
        <w:tc>
          <w:tcPr>
            <w:tcW w:w="3594" w:type="dxa"/>
            <w:tcBorders>
              <w:bottom w:val="single" w:sz="4" w:space="0" w:color="auto"/>
            </w:tcBorders>
          </w:tcPr>
          <w:p w14:paraId="15697E0B" w14:textId="77777777" w:rsidR="00201C9C" w:rsidRPr="006E44D3" w:rsidRDefault="00201C9C">
            <w:pPr>
              <w:rPr>
                <w:b/>
                <w:sz w:val="22"/>
                <w:szCs w:val="22"/>
              </w:rPr>
            </w:pPr>
          </w:p>
        </w:tc>
        <w:tc>
          <w:tcPr>
            <w:tcW w:w="3410" w:type="dxa"/>
            <w:gridSpan w:val="2"/>
          </w:tcPr>
          <w:p w14:paraId="0B152A91" w14:textId="573EACFE" w:rsidR="00201C9C" w:rsidRPr="006E44D3" w:rsidRDefault="006E44D3" w:rsidP="00153F30">
            <w:pPr>
              <w:rPr>
                <w:sz w:val="22"/>
                <w:szCs w:val="22"/>
              </w:rPr>
            </w:pPr>
            <w:r>
              <w:rPr>
                <w:sz w:val="22"/>
                <w:szCs w:val="22"/>
              </w:rPr>
              <w:t>IPC, GAC</w:t>
            </w:r>
            <w:r w:rsidR="00153F30">
              <w:rPr>
                <w:sz w:val="22"/>
                <w:szCs w:val="22"/>
              </w:rPr>
              <w:t>, ISPCP</w:t>
            </w:r>
          </w:p>
        </w:tc>
        <w:tc>
          <w:tcPr>
            <w:tcW w:w="3029" w:type="dxa"/>
            <w:gridSpan w:val="2"/>
          </w:tcPr>
          <w:p w14:paraId="460EA37D" w14:textId="01F874E1" w:rsidR="00201C9C" w:rsidRPr="006E44D3" w:rsidRDefault="006E44D3">
            <w:pPr>
              <w:rPr>
                <w:b/>
                <w:sz w:val="22"/>
                <w:szCs w:val="22"/>
              </w:rPr>
            </w:pPr>
            <w:r>
              <w:rPr>
                <w:sz w:val="22"/>
                <w:szCs w:val="22"/>
              </w:rPr>
              <w:t>NCSG</w:t>
            </w:r>
          </w:p>
        </w:tc>
        <w:tc>
          <w:tcPr>
            <w:tcW w:w="3153" w:type="dxa"/>
            <w:gridSpan w:val="2"/>
          </w:tcPr>
          <w:p w14:paraId="3AA2CFB2" w14:textId="137AE2CE" w:rsidR="00201C9C" w:rsidRPr="006E44D3" w:rsidRDefault="006E44D3">
            <w:pPr>
              <w:rPr>
                <w:b/>
                <w:sz w:val="22"/>
                <w:szCs w:val="22"/>
              </w:rPr>
            </w:pPr>
            <w:proofErr w:type="spellStart"/>
            <w:r>
              <w:rPr>
                <w:sz w:val="22"/>
                <w:szCs w:val="22"/>
              </w:rPr>
              <w:t>RrSG</w:t>
            </w:r>
            <w:proofErr w:type="spellEnd"/>
            <w:r>
              <w:rPr>
                <w:sz w:val="22"/>
                <w:szCs w:val="22"/>
              </w:rPr>
              <w:t xml:space="preserve">, BC, ALAC, </w:t>
            </w:r>
            <w:proofErr w:type="spellStart"/>
            <w:r>
              <w:rPr>
                <w:sz w:val="22"/>
                <w:szCs w:val="22"/>
              </w:rPr>
              <w:t>RySG</w:t>
            </w:r>
            <w:proofErr w:type="spellEnd"/>
            <w:r>
              <w:rPr>
                <w:sz w:val="22"/>
                <w:szCs w:val="22"/>
              </w:rPr>
              <w:t>, SSAC</w:t>
            </w:r>
          </w:p>
        </w:tc>
      </w:tr>
      <w:tr w:rsidR="003E7D44" w:rsidRPr="006E44D3" w14:paraId="3DECAC8A" w14:textId="77777777" w:rsidTr="00956783">
        <w:trPr>
          <w:trHeight w:val="293"/>
        </w:trPr>
        <w:tc>
          <w:tcPr>
            <w:tcW w:w="3594" w:type="dxa"/>
            <w:shd w:val="clear" w:color="auto" w:fill="E7E6E6" w:themeFill="background2"/>
          </w:tcPr>
          <w:p w14:paraId="5A4D5E21" w14:textId="3A1CE364" w:rsidR="003E7D44" w:rsidRPr="006E44D3" w:rsidRDefault="003E7D44">
            <w:pPr>
              <w:rPr>
                <w:b/>
                <w:sz w:val="22"/>
                <w:szCs w:val="22"/>
              </w:rPr>
            </w:pPr>
            <w:r w:rsidRPr="006E44D3">
              <w:rPr>
                <w:b/>
                <w:sz w:val="22"/>
                <w:szCs w:val="22"/>
              </w:rPr>
              <w:t>Dependency on other sections of the Temp Spec</w:t>
            </w:r>
          </w:p>
        </w:tc>
        <w:tc>
          <w:tcPr>
            <w:tcW w:w="9592" w:type="dxa"/>
            <w:gridSpan w:val="6"/>
          </w:tcPr>
          <w:p w14:paraId="6520FF3D" w14:textId="2DFB75BB" w:rsidR="003E7D44" w:rsidRPr="006E44D3" w:rsidRDefault="00690704">
            <w:pPr>
              <w:rPr>
                <w:sz w:val="22"/>
                <w:szCs w:val="22"/>
              </w:rPr>
            </w:pPr>
            <w:r>
              <w:rPr>
                <w:sz w:val="22"/>
                <w:szCs w:val="22"/>
              </w:rPr>
              <w:t>7.4</w:t>
            </w:r>
          </w:p>
        </w:tc>
      </w:tr>
      <w:tr w:rsidR="003075B7" w:rsidRPr="006E44D3" w14:paraId="514D5D64" w14:textId="77777777" w:rsidTr="00956783">
        <w:trPr>
          <w:trHeight w:val="293"/>
        </w:trPr>
        <w:tc>
          <w:tcPr>
            <w:tcW w:w="3594" w:type="dxa"/>
            <w:shd w:val="clear" w:color="auto" w:fill="E7E6E6" w:themeFill="background2"/>
          </w:tcPr>
          <w:p w14:paraId="518437B6" w14:textId="3BEBDE00" w:rsidR="003075B7" w:rsidRPr="006E44D3" w:rsidRDefault="003075B7">
            <w:pPr>
              <w:rPr>
                <w:b/>
                <w:sz w:val="22"/>
                <w:szCs w:val="22"/>
              </w:rPr>
            </w:pPr>
            <w:r w:rsidRPr="006E44D3">
              <w:rPr>
                <w:b/>
                <w:sz w:val="22"/>
                <w:szCs w:val="22"/>
              </w:rPr>
              <w:t>Related Charter Questions</w:t>
            </w:r>
          </w:p>
        </w:tc>
        <w:tc>
          <w:tcPr>
            <w:tcW w:w="9592" w:type="dxa"/>
            <w:gridSpan w:val="6"/>
          </w:tcPr>
          <w:p w14:paraId="1085F309" w14:textId="77777777" w:rsidR="00397D5F" w:rsidRPr="006E44D3" w:rsidRDefault="00397D5F" w:rsidP="00397D5F">
            <w:pPr>
              <w:rPr>
                <w:sz w:val="22"/>
                <w:szCs w:val="22"/>
              </w:rPr>
            </w:pPr>
            <w:r w:rsidRPr="006E44D3">
              <w:rPr>
                <w:sz w:val="22"/>
                <w:szCs w:val="22"/>
              </w:rPr>
              <w:t>Transfer Policy</w:t>
            </w:r>
          </w:p>
          <w:p w14:paraId="7DC94FFF" w14:textId="77777777" w:rsidR="00397D5F" w:rsidRPr="006E44D3" w:rsidRDefault="00397D5F" w:rsidP="00397D5F">
            <w:pPr>
              <w:rPr>
                <w:sz w:val="22"/>
                <w:szCs w:val="22"/>
              </w:rPr>
            </w:pPr>
            <w:r w:rsidRPr="006E44D3">
              <w:rPr>
                <w:sz w:val="22"/>
                <w:szCs w:val="22"/>
              </w:rPr>
              <w:t>p1) Should Temporary Specification language be confirmed or modified until a dedicated PDP can revisit the current transfer policy?</w:t>
            </w:r>
          </w:p>
          <w:p w14:paraId="06F071E0" w14:textId="2F0EDE87" w:rsidR="003075B7" w:rsidRPr="006E44D3" w:rsidRDefault="00397D5F" w:rsidP="00397D5F">
            <w:pPr>
              <w:rPr>
                <w:sz w:val="22"/>
                <w:szCs w:val="22"/>
              </w:rPr>
            </w:pPr>
            <w:r w:rsidRPr="006E44D3">
              <w:rPr>
                <w:sz w:val="22"/>
                <w:szCs w:val="22"/>
              </w:rPr>
              <w:t>p2) If so, which language should be confirmed, the one based on RDAP or the one based in current WHOIS?</w:t>
            </w:r>
          </w:p>
        </w:tc>
      </w:tr>
      <w:tr w:rsidR="00956783" w:rsidRPr="006E44D3" w14:paraId="5B3CD48B" w14:textId="77777777" w:rsidTr="00956783">
        <w:trPr>
          <w:trHeight w:val="293"/>
        </w:trPr>
        <w:tc>
          <w:tcPr>
            <w:tcW w:w="3594" w:type="dxa"/>
            <w:shd w:val="clear" w:color="auto" w:fill="E7E6E6" w:themeFill="background2"/>
          </w:tcPr>
          <w:p w14:paraId="5BC685B9" w14:textId="34D320A0" w:rsidR="00956783" w:rsidRPr="006E44D3" w:rsidRDefault="00956783">
            <w:pPr>
              <w:rPr>
                <w:b/>
                <w:sz w:val="22"/>
                <w:szCs w:val="22"/>
              </w:rPr>
            </w:pPr>
            <w:r>
              <w:rPr>
                <w:rFonts w:cstheme="minorHAnsi"/>
                <w:b/>
                <w:sz w:val="22"/>
                <w:szCs w:val="22"/>
              </w:rPr>
              <w:t>Proposed Response to Charter Question(s)</w:t>
            </w:r>
          </w:p>
        </w:tc>
        <w:tc>
          <w:tcPr>
            <w:tcW w:w="9592" w:type="dxa"/>
            <w:gridSpan w:val="6"/>
          </w:tcPr>
          <w:p w14:paraId="6A04F521" w14:textId="77777777" w:rsidR="00956783" w:rsidRPr="006E44D3" w:rsidRDefault="00956783" w:rsidP="00397D5F">
            <w:pPr>
              <w:rPr>
                <w:sz w:val="22"/>
                <w:szCs w:val="22"/>
              </w:rPr>
            </w:pPr>
          </w:p>
        </w:tc>
      </w:tr>
      <w:tr w:rsidR="003075B7" w:rsidRPr="006E44D3" w14:paraId="6F444DBA" w14:textId="77777777" w:rsidTr="00956783">
        <w:trPr>
          <w:trHeight w:val="293"/>
        </w:trPr>
        <w:tc>
          <w:tcPr>
            <w:tcW w:w="3594" w:type="dxa"/>
            <w:shd w:val="clear" w:color="auto" w:fill="E7E6E6" w:themeFill="background2"/>
          </w:tcPr>
          <w:p w14:paraId="3E58F8A4" w14:textId="28363A12" w:rsidR="003075B7" w:rsidRPr="006E44D3" w:rsidRDefault="003075B7">
            <w:pPr>
              <w:rPr>
                <w:b/>
                <w:sz w:val="22"/>
                <w:szCs w:val="22"/>
              </w:rPr>
            </w:pPr>
            <w:r w:rsidRPr="006E44D3">
              <w:rPr>
                <w:b/>
                <w:sz w:val="22"/>
                <w:szCs w:val="22"/>
              </w:rPr>
              <w:t>DPA</w:t>
            </w:r>
            <w:r w:rsidR="00E15AFC" w:rsidRPr="006E44D3">
              <w:rPr>
                <w:b/>
                <w:sz w:val="22"/>
                <w:szCs w:val="22"/>
              </w:rPr>
              <w:t xml:space="preserve"> / EDPB</w:t>
            </w:r>
            <w:r w:rsidRPr="006E44D3">
              <w:rPr>
                <w:b/>
                <w:sz w:val="22"/>
                <w:szCs w:val="22"/>
              </w:rPr>
              <w:t xml:space="preserve"> Guidance</w:t>
            </w:r>
          </w:p>
        </w:tc>
        <w:tc>
          <w:tcPr>
            <w:tcW w:w="9592" w:type="dxa"/>
            <w:gridSpan w:val="6"/>
          </w:tcPr>
          <w:p w14:paraId="627CF809" w14:textId="2D4B73AB" w:rsidR="003075B7" w:rsidRPr="006E44D3" w:rsidRDefault="00397D5F">
            <w:pPr>
              <w:rPr>
                <w:sz w:val="22"/>
                <w:szCs w:val="22"/>
              </w:rPr>
            </w:pPr>
            <w:r w:rsidRPr="006E44D3">
              <w:rPr>
                <w:sz w:val="22"/>
                <w:szCs w:val="22"/>
              </w:rPr>
              <w:t>None</w:t>
            </w:r>
          </w:p>
        </w:tc>
      </w:tr>
      <w:tr w:rsidR="003075B7" w:rsidRPr="006E44D3" w14:paraId="7BF3BB41" w14:textId="77777777" w:rsidTr="00956783">
        <w:trPr>
          <w:trHeight w:val="293"/>
        </w:trPr>
        <w:tc>
          <w:tcPr>
            <w:tcW w:w="13186" w:type="dxa"/>
            <w:gridSpan w:val="7"/>
            <w:shd w:val="clear" w:color="auto" w:fill="E7E6E6" w:themeFill="background2"/>
          </w:tcPr>
          <w:p w14:paraId="595A6579" w14:textId="4C69488E" w:rsidR="003075B7" w:rsidRPr="006E44D3" w:rsidRDefault="003075B7">
            <w:pPr>
              <w:rPr>
                <w:b/>
                <w:sz w:val="22"/>
                <w:szCs w:val="22"/>
              </w:rPr>
            </w:pPr>
            <w:r w:rsidRPr="006E44D3">
              <w:rPr>
                <w:b/>
                <w:sz w:val="22"/>
                <w:szCs w:val="22"/>
              </w:rPr>
              <w:t>Proposed Changes / Rationale for Change</w:t>
            </w:r>
          </w:p>
        </w:tc>
      </w:tr>
      <w:tr w:rsidR="00025F7C" w:rsidRPr="006E44D3" w14:paraId="7A983D93" w14:textId="77777777" w:rsidTr="00956783">
        <w:trPr>
          <w:trHeight w:val="293"/>
        </w:trPr>
        <w:tc>
          <w:tcPr>
            <w:tcW w:w="3594" w:type="dxa"/>
            <w:shd w:val="clear" w:color="auto" w:fill="E7E6E6" w:themeFill="background2"/>
          </w:tcPr>
          <w:p w14:paraId="5825AB0A" w14:textId="5BE96969" w:rsidR="00025F7C" w:rsidRPr="006E44D3" w:rsidRDefault="00025F7C">
            <w:pPr>
              <w:rPr>
                <w:b/>
                <w:sz w:val="22"/>
                <w:szCs w:val="22"/>
              </w:rPr>
            </w:pPr>
            <w:proofErr w:type="spellStart"/>
            <w:r w:rsidRPr="006E44D3">
              <w:rPr>
                <w:b/>
                <w:sz w:val="22"/>
                <w:szCs w:val="22"/>
              </w:rPr>
              <w:t>RySG</w:t>
            </w:r>
            <w:proofErr w:type="spellEnd"/>
          </w:p>
        </w:tc>
        <w:tc>
          <w:tcPr>
            <w:tcW w:w="9592" w:type="dxa"/>
            <w:gridSpan w:val="6"/>
          </w:tcPr>
          <w:p w14:paraId="0CF05276" w14:textId="13D82CB7" w:rsidR="00397D5F" w:rsidRPr="006E44D3" w:rsidRDefault="00397D5F" w:rsidP="00153F30">
            <w:pPr>
              <w:rPr>
                <w:sz w:val="22"/>
                <w:szCs w:val="22"/>
              </w:rPr>
            </w:pPr>
            <w:r w:rsidRPr="006E44D3">
              <w:rPr>
                <w:sz w:val="22"/>
                <w:szCs w:val="22"/>
              </w:rPr>
              <w:t>Sections 1.1 – 1.2 are intended as temporary, stop–gap measures. In addition, the community is already engaged in efforts to replace/modify the transfer policy and therefore these sections would not likely be considered an appropriate inclusion for the Consensus Policy</w:t>
            </w:r>
          </w:p>
        </w:tc>
      </w:tr>
      <w:tr w:rsidR="00025F7C" w:rsidRPr="006E44D3" w14:paraId="07B99033" w14:textId="77777777" w:rsidTr="00956783">
        <w:trPr>
          <w:trHeight w:val="293"/>
        </w:trPr>
        <w:tc>
          <w:tcPr>
            <w:tcW w:w="3594" w:type="dxa"/>
            <w:shd w:val="clear" w:color="auto" w:fill="E7E6E6" w:themeFill="background2"/>
          </w:tcPr>
          <w:p w14:paraId="5E01F0FD" w14:textId="5EA39D34" w:rsidR="00025F7C" w:rsidRPr="006E44D3" w:rsidRDefault="00025F7C">
            <w:pPr>
              <w:rPr>
                <w:b/>
                <w:sz w:val="22"/>
                <w:szCs w:val="22"/>
              </w:rPr>
            </w:pPr>
            <w:proofErr w:type="spellStart"/>
            <w:r w:rsidRPr="006E44D3">
              <w:rPr>
                <w:b/>
                <w:sz w:val="22"/>
                <w:szCs w:val="22"/>
              </w:rPr>
              <w:t>RrSG</w:t>
            </w:r>
            <w:proofErr w:type="spellEnd"/>
          </w:p>
        </w:tc>
        <w:tc>
          <w:tcPr>
            <w:tcW w:w="9592" w:type="dxa"/>
            <w:gridSpan w:val="6"/>
          </w:tcPr>
          <w:p w14:paraId="09331501" w14:textId="6DC660FC" w:rsidR="00397D5F" w:rsidRPr="006E44D3" w:rsidRDefault="00397D5F">
            <w:pPr>
              <w:rPr>
                <w:sz w:val="22"/>
                <w:szCs w:val="22"/>
              </w:rPr>
            </w:pPr>
            <w:r w:rsidRPr="006E44D3">
              <w:rPr>
                <w:sz w:val="22"/>
                <w:szCs w:val="22"/>
              </w:rPr>
              <w:t>The Revised Transfer Process is working, but creates new vulnerabilities for domain theft/hijack, and leaves little recourse for disputes.      The Temporary Specification has exacerbated the ineffectiveness of transfer disputes; transfer dispute have never worked well, at this point the process is basically non-</w:t>
            </w:r>
            <w:proofErr w:type="spellStart"/>
            <w:r w:rsidRPr="006E44D3">
              <w:rPr>
                <w:sz w:val="22"/>
                <w:szCs w:val="22"/>
              </w:rPr>
              <w:lastRenderedPageBreak/>
              <w:t>existant</w:t>
            </w:r>
            <w:proofErr w:type="spellEnd"/>
            <w:r w:rsidRPr="006E44D3">
              <w:rPr>
                <w:sz w:val="22"/>
                <w:szCs w:val="22"/>
              </w:rPr>
              <w:t xml:space="preserve">.     The </w:t>
            </w:r>
            <w:proofErr w:type="spellStart"/>
            <w:r w:rsidRPr="006E44D3">
              <w:rPr>
                <w:sz w:val="22"/>
                <w:szCs w:val="22"/>
              </w:rPr>
              <w:t>RrSG</w:t>
            </w:r>
            <w:proofErr w:type="spellEnd"/>
            <w:r w:rsidRPr="006E44D3">
              <w:rPr>
                <w:sz w:val="22"/>
                <w:szCs w:val="22"/>
              </w:rPr>
              <w:t xml:space="preserve"> recommends that after the </w:t>
            </w:r>
            <w:proofErr w:type="spellStart"/>
            <w:r w:rsidRPr="006E44D3">
              <w:rPr>
                <w:sz w:val="22"/>
                <w:szCs w:val="22"/>
              </w:rPr>
              <w:t>ePDP</w:t>
            </w:r>
            <w:proofErr w:type="spellEnd"/>
            <w:r w:rsidRPr="006E44D3">
              <w:rPr>
                <w:sz w:val="22"/>
                <w:szCs w:val="22"/>
              </w:rPr>
              <w:t xml:space="preserve"> is completed, work should be done to revise &amp; streamline the Transfer Policy, including some provisions to support transfer disputes.</w:t>
            </w:r>
          </w:p>
        </w:tc>
      </w:tr>
      <w:tr w:rsidR="00025F7C" w:rsidRPr="006E44D3" w14:paraId="6F7A123D" w14:textId="77777777" w:rsidTr="00956783">
        <w:trPr>
          <w:trHeight w:val="293"/>
        </w:trPr>
        <w:tc>
          <w:tcPr>
            <w:tcW w:w="3594" w:type="dxa"/>
            <w:shd w:val="clear" w:color="auto" w:fill="E7E6E6" w:themeFill="background2"/>
          </w:tcPr>
          <w:p w14:paraId="065E5E5E" w14:textId="2B8CD53B" w:rsidR="00025F7C" w:rsidRPr="006E44D3" w:rsidRDefault="00025F7C">
            <w:pPr>
              <w:rPr>
                <w:b/>
                <w:sz w:val="22"/>
                <w:szCs w:val="22"/>
              </w:rPr>
            </w:pPr>
            <w:r w:rsidRPr="006E44D3">
              <w:rPr>
                <w:b/>
                <w:sz w:val="22"/>
                <w:szCs w:val="22"/>
              </w:rPr>
              <w:lastRenderedPageBreak/>
              <w:t>IPC</w:t>
            </w:r>
          </w:p>
        </w:tc>
        <w:tc>
          <w:tcPr>
            <w:tcW w:w="9592" w:type="dxa"/>
            <w:gridSpan w:val="6"/>
          </w:tcPr>
          <w:p w14:paraId="5DED30E8" w14:textId="67E23B51" w:rsidR="00397D5F" w:rsidRPr="006E44D3" w:rsidRDefault="00397D5F" w:rsidP="00153F30">
            <w:pPr>
              <w:rPr>
                <w:sz w:val="22"/>
                <w:szCs w:val="22"/>
              </w:rPr>
            </w:pPr>
            <w:r w:rsidRPr="006E44D3">
              <w:rPr>
                <w:sz w:val="22"/>
                <w:szCs w:val="22"/>
              </w:rPr>
              <w:t>The IPC is supportive of this section, subject to the following clarifications.    1 - We note that RDAP will be in effect and implemented by the time Consensus Policy is adopted.  We believe the phrase “to be offered” in Section 1 above should be removed for clarity.</w:t>
            </w:r>
          </w:p>
        </w:tc>
      </w:tr>
      <w:tr w:rsidR="00025F7C" w:rsidRPr="006E44D3" w14:paraId="2793C0A2" w14:textId="77777777" w:rsidTr="00956783">
        <w:trPr>
          <w:trHeight w:val="293"/>
        </w:trPr>
        <w:tc>
          <w:tcPr>
            <w:tcW w:w="3594" w:type="dxa"/>
            <w:shd w:val="clear" w:color="auto" w:fill="E7E6E6" w:themeFill="background2"/>
          </w:tcPr>
          <w:p w14:paraId="6688ECF4" w14:textId="5F2EDA1D" w:rsidR="00025F7C" w:rsidRPr="006E44D3" w:rsidRDefault="00025F7C">
            <w:pPr>
              <w:rPr>
                <w:b/>
                <w:sz w:val="22"/>
                <w:szCs w:val="22"/>
              </w:rPr>
            </w:pPr>
            <w:r w:rsidRPr="006E44D3">
              <w:rPr>
                <w:b/>
                <w:sz w:val="22"/>
                <w:szCs w:val="22"/>
              </w:rPr>
              <w:t>BC</w:t>
            </w:r>
          </w:p>
        </w:tc>
        <w:tc>
          <w:tcPr>
            <w:tcW w:w="9592" w:type="dxa"/>
            <w:gridSpan w:val="6"/>
          </w:tcPr>
          <w:p w14:paraId="4D4D3FC1" w14:textId="47665CAC" w:rsidR="00025F7C" w:rsidRPr="006E44D3" w:rsidRDefault="00397D5F">
            <w:pPr>
              <w:rPr>
                <w:b/>
                <w:sz w:val="22"/>
                <w:szCs w:val="22"/>
              </w:rPr>
            </w:pPr>
            <w:r w:rsidRPr="006E44D3">
              <w:rPr>
                <w:sz w:val="22"/>
                <w:szCs w:val="22"/>
              </w:rPr>
              <w:t>Executing a transfer request at the request of the registrant is consistent with GDPR because it is processing for the performance of the contract.  We are concerned about changes which might result in the transfer process becoming less secure.  1.2 also seems to impose redundant process on the Registrant, which is a weaker user experience.</w:t>
            </w:r>
          </w:p>
        </w:tc>
      </w:tr>
      <w:tr w:rsidR="00025F7C" w:rsidRPr="006E44D3" w14:paraId="70E9FA03" w14:textId="77777777" w:rsidTr="00956783">
        <w:trPr>
          <w:trHeight w:val="293"/>
        </w:trPr>
        <w:tc>
          <w:tcPr>
            <w:tcW w:w="3594" w:type="dxa"/>
            <w:shd w:val="clear" w:color="auto" w:fill="E7E6E6" w:themeFill="background2"/>
          </w:tcPr>
          <w:p w14:paraId="6EF3809F" w14:textId="4BD056F7" w:rsidR="00025F7C" w:rsidRPr="006E44D3" w:rsidRDefault="00025F7C">
            <w:pPr>
              <w:rPr>
                <w:b/>
                <w:sz w:val="22"/>
                <w:szCs w:val="22"/>
              </w:rPr>
            </w:pPr>
            <w:r w:rsidRPr="006E44D3">
              <w:rPr>
                <w:b/>
                <w:sz w:val="22"/>
                <w:szCs w:val="22"/>
              </w:rPr>
              <w:t>ISPCP</w:t>
            </w:r>
          </w:p>
        </w:tc>
        <w:tc>
          <w:tcPr>
            <w:tcW w:w="9592" w:type="dxa"/>
            <w:gridSpan w:val="6"/>
          </w:tcPr>
          <w:p w14:paraId="3362D09E" w14:textId="1437F167" w:rsidR="00025F7C" w:rsidRPr="006E44D3" w:rsidRDefault="00397D5F">
            <w:pPr>
              <w:rPr>
                <w:b/>
                <w:sz w:val="22"/>
                <w:szCs w:val="22"/>
              </w:rPr>
            </w:pPr>
            <w:r w:rsidRPr="006E44D3">
              <w:rPr>
                <w:sz w:val="22"/>
                <w:szCs w:val="22"/>
              </w:rPr>
              <w:t>No comment</w:t>
            </w:r>
          </w:p>
        </w:tc>
      </w:tr>
      <w:tr w:rsidR="00025F7C" w:rsidRPr="006E44D3" w14:paraId="1506ECB1" w14:textId="77777777" w:rsidTr="00956783">
        <w:trPr>
          <w:trHeight w:val="293"/>
        </w:trPr>
        <w:tc>
          <w:tcPr>
            <w:tcW w:w="3594" w:type="dxa"/>
            <w:shd w:val="clear" w:color="auto" w:fill="E7E6E6" w:themeFill="background2"/>
          </w:tcPr>
          <w:p w14:paraId="0FB42177" w14:textId="30378490" w:rsidR="00025F7C" w:rsidRPr="006E44D3" w:rsidRDefault="00025F7C">
            <w:pPr>
              <w:rPr>
                <w:b/>
                <w:sz w:val="22"/>
                <w:szCs w:val="22"/>
              </w:rPr>
            </w:pPr>
            <w:r w:rsidRPr="006E44D3">
              <w:rPr>
                <w:b/>
                <w:sz w:val="22"/>
                <w:szCs w:val="22"/>
              </w:rPr>
              <w:t>NCSG</w:t>
            </w:r>
          </w:p>
        </w:tc>
        <w:tc>
          <w:tcPr>
            <w:tcW w:w="9592" w:type="dxa"/>
            <w:gridSpan w:val="6"/>
          </w:tcPr>
          <w:p w14:paraId="1C6620D9" w14:textId="4B0DF423" w:rsidR="00397D5F" w:rsidRPr="006E44D3" w:rsidRDefault="00397D5F" w:rsidP="00153F30">
            <w:pPr>
              <w:rPr>
                <w:sz w:val="22"/>
                <w:szCs w:val="22"/>
              </w:rPr>
            </w:pPr>
            <w:r w:rsidRPr="006E44D3">
              <w:rPr>
                <w:sz w:val="22"/>
                <w:szCs w:val="22"/>
              </w:rPr>
              <w:t>NCSG defers on answering this question for the time being and might develop opinions about this section that will be relayed to the group.</w:t>
            </w:r>
          </w:p>
        </w:tc>
      </w:tr>
      <w:tr w:rsidR="00025F7C" w:rsidRPr="006E44D3" w14:paraId="11204010" w14:textId="77777777" w:rsidTr="00956783">
        <w:trPr>
          <w:trHeight w:val="293"/>
        </w:trPr>
        <w:tc>
          <w:tcPr>
            <w:tcW w:w="3594" w:type="dxa"/>
            <w:shd w:val="clear" w:color="auto" w:fill="E7E6E6" w:themeFill="background2"/>
          </w:tcPr>
          <w:p w14:paraId="3A131C90" w14:textId="27298E11" w:rsidR="00025F7C" w:rsidRPr="006E44D3" w:rsidRDefault="00025F7C">
            <w:pPr>
              <w:rPr>
                <w:b/>
                <w:sz w:val="22"/>
                <w:szCs w:val="22"/>
              </w:rPr>
            </w:pPr>
            <w:r w:rsidRPr="006E44D3">
              <w:rPr>
                <w:b/>
                <w:sz w:val="22"/>
                <w:szCs w:val="22"/>
              </w:rPr>
              <w:t>ALAC</w:t>
            </w:r>
          </w:p>
        </w:tc>
        <w:tc>
          <w:tcPr>
            <w:tcW w:w="9592" w:type="dxa"/>
            <w:gridSpan w:val="6"/>
          </w:tcPr>
          <w:p w14:paraId="4346E086" w14:textId="2A132476" w:rsidR="00025F7C" w:rsidRPr="006E44D3" w:rsidRDefault="00397D5F">
            <w:pPr>
              <w:rPr>
                <w:b/>
                <w:sz w:val="22"/>
                <w:szCs w:val="22"/>
              </w:rPr>
            </w:pPr>
            <w:r w:rsidRPr="006E44D3">
              <w:rPr>
                <w:sz w:val="22"/>
                <w:szCs w:val="22"/>
              </w:rPr>
              <w:t>1. In section 1, it is not obvious that the simple existence of RDAP will also imply that the Gaining Registrar will have full access to the necessary data.    2. In the absence of RDAP, there does not appear to be adequate protection from domain hijacking (</w:t>
            </w:r>
            <w:proofErr w:type="spellStart"/>
            <w:r w:rsidRPr="006E44D3">
              <w:rPr>
                <w:sz w:val="22"/>
                <w:szCs w:val="22"/>
              </w:rPr>
              <w:t>ie</w:t>
            </w:r>
            <w:proofErr w:type="spellEnd"/>
            <w:r w:rsidRPr="006E44D3">
              <w:rPr>
                <w:sz w:val="22"/>
                <w:szCs w:val="22"/>
              </w:rPr>
              <w:t xml:space="preserve"> the transfer without the approval of the current registrant).</w:t>
            </w:r>
          </w:p>
        </w:tc>
      </w:tr>
      <w:tr w:rsidR="00025F7C" w:rsidRPr="006E44D3" w14:paraId="7ABBBADF" w14:textId="77777777" w:rsidTr="00956783">
        <w:trPr>
          <w:trHeight w:val="293"/>
        </w:trPr>
        <w:tc>
          <w:tcPr>
            <w:tcW w:w="3594" w:type="dxa"/>
            <w:shd w:val="clear" w:color="auto" w:fill="E7E6E6" w:themeFill="background2"/>
          </w:tcPr>
          <w:p w14:paraId="136CAB16" w14:textId="198E7F7E" w:rsidR="00025F7C" w:rsidRPr="006E44D3" w:rsidRDefault="00025F7C">
            <w:pPr>
              <w:rPr>
                <w:b/>
                <w:sz w:val="22"/>
                <w:szCs w:val="22"/>
              </w:rPr>
            </w:pPr>
            <w:r w:rsidRPr="006E44D3">
              <w:rPr>
                <w:b/>
                <w:sz w:val="22"/>
                <w:szCs w:val="22"/>
              </w:rPr>
              <w:t>GAC</w:t>
            </w:r>
          </w:p>
        </w:tc>
        <w:tc>
          <w:tcPr>
            <w:tcW w:w="9592" w:type="dxa"/>
            <w:gridSpan w:val="6"/>
          </w:tcPr>
          <w:p w14:paraId="440E7C1A" w14:textId="2FB13EBA" w:rsidR="00025F7C" w:rsidRPr="006E44D3" w:rsidRDefault="00397D5F">
            <w:pPr>
              <w:rPr>
                <w:b/>
                <w:sz w:val="22"/>
                <w:szCs w:val="22"/>
              </w:rPr>
            </w:pPr>
            <w:r w:rsidRPr="006E44D3">
              <w:rPr>
                <w:sz w:val="22"/>
                <w:szCs w:val="22"/>
              </w:rPr>
              <w:t>No comment</w:t>
            </w:r>
          </w:p>
        </w:tc>
      </w:tr>
      <w:tr w:rsidR="00025F7C" w:rsidRPr="006E44D3" w14:paraId="35EAAF93" w14:textId="77777777" w:rsidTr="00956783">
        <w:trPr>
          <w:trHeight w:val="293"/>
        </w:trPr>
        <w:tc>
          <w:tcPr>
            <w:tcW w:w="3594" w:type="dxa"/>
            <w:shd w:val="clear" w:color="auto" w:fill="E7E6E6" w:themeFill="background2"/>
          </w:tcPr>
          <w:p w14:paraId="38A85FC4" w14:textId="7ED09888" w:rsidR="00025F7C" w:rsidRPr="006E44D3" w:rsidRDefault="00025F7C">
            <w:pPr>
              <w:rPr>
                <w:b/>
                <w:sz w:val="22"/>
                <w:szCs w:val="22"/>
              </w:rPr>
            </w:pPr>
            <w:r w:rsidRPr="006E44D3">
              <w:rPr>
                <w:b/>
                <w:sz w:val="22"/>
                <w:szCs w:val="22"/>
              </w:rPr>
              <w:t>SSAC</w:t>
            </w:r>
          </w:p>
        </w:tc>
        <w:tc>
          <w:tcPr>
            <w:tcW w:w="9592" w:type="dxa"/>
            <w:gridSpan w:val="6"/>
          </w:tcPr>
          <w:p w14:paraId="11138BE6" w14:textId="27154888" w:rsidR="00397D5F" w:rsidRPr="006E44D3" w:rsidRDefault="00397D5F" w:rsidP="00153F30">
            <w:pPr>
              <w:rPr>
                <w:sz w:val="22"/>
                <w:szCs w:val="22"/>
              </w:rPr>
            </w:pPr>
            <w:r w:rsidRPr="006E44D3">
              <w:rPr>
                <w:sz w:val="22"/>
                <w:szCs w:val="22"/>
              </w:rPr>
              <w:t xml:space="preserve">The security of the Transfer Policy is weakened by Appendix G. Specifically, the Gaining Registrar is excused the obligation to obtain </w:t>
            </w:r>
            <w:proofErr w:type="spellStart"/>
            <w:r w:rsidRPr="006E44D3">
              <w:rPr>
                <w:sz w:val="22"/>
                <w:szCs w:val="22"/>
              </w:rPr>
              <w:t>authorisation</w:t>
            </w:r>
            <w:proofErr w:type="spellEnd"/>
            <w:r w:rsidRPr="006E44D3">
              <w:rPr>
                <w:sz w:val="22"/>
                <w:szCs w:val="22"/>
              </w:rPr>
              <w:t xml:space="preserve"> from the registrant. This seems reasonable in light of GDPR redaction. But without this step, </w:t>
            </w:r>
            <w:proofErr w:type="spellStart"/>
            <w:r w:rsidRPr="006E44D3">
              <w:rPr>
                <w:sz w:val="22"/>
                <w:szCs w:val="22"/>
              </w:rPr>
              <w:t>authorisation</w:t>
            </w:r>
            <w:proofErr w:type="spellEnd"/>
            <w:r w:rsidRPr="006E44D3">
              <w:rPr>
                <w:sz w:val="22"/>
                <w:szCs w:val="22"/>
              </w:rPr>
              <w:t xml:space="preserve"> depends purely on the </w:t>
            </w:r>
            <w:proofErr w:type="spellStart"/>
            <w:r w:rsidRPr="006E44D3">
              <w:rPr>
                <w:sz w:val="22"/>
                <w:szCs w:val="22"/>
              </w:rPr>
              <w:t>AuthInfo</w:t>
            </w:r>
            <w:proofErr w:type="spellEnd"/>
            <w:r w:rsidRPr="006E44D3">
              <w:rPr>
                <w:sz w:val="22"/>
                <w:szCs w:val="22"/>
              </w:rPr>
              <w:t xml:space="preserve"> code, which is not its purpose and is explicitly prohibited in section A.5 of the Transfer Policy. We understand that some registries have unilaterally implemented an optional section of RFC5731, permitting a domain &lt;info&gt; command to be authenticated using the </w:t>
            </w:r>
            <w:proofErr w:type="spellStart"/>
            <w:r w:rsidRPr="006E44D3">
              <w:rPr>
                <w:sz w:val="22"/>
                <w:szCs w:val="22"/>
              </w:rPr>
              <w:t>AuthInfo</w:t>
            </w:r>
            <w:proofErr w:type="spellEnd"/>
            <w:r w:rsidRPr="006E44D3">
              <w:rPr>
                <w:sz w:val="22"/>
                <w:szCs w:val="22"/>
              </w:rPr>
              <w:t xml:space="preserve"> code. This may be a mechanism by which contact info could be provided to the Gaining Registrar, in order to obtain FOA.</w:t>
            </w:r>
          </w:p>
        </w:tc>
      </w:tr>
      <w:tr w:rsidR="00FD3888" w:rsidRPr="006E44D3" w14:paraId="5B30BCFA" w14:textId="77777777" w:rsidTr="00956783">
        <w:trPr>
          <w:trHeight w:val="293"/>
        </w:trPr>
        <w:tc>
          <w:tcPr>
            <w:tcW w:w="3594" w:type="dxa"/>
            <w:tcBorders>
              <w:bottom w:val="single" w:sz="4" w:space="0" w:color="auto"/>
            </w:tcBorders>
            <w:shd w:val="clear" w:color="auto" w:fill="E7E6E6" w:themeFill="background2"/>
          </w:tcPr>
          <w:p w14:paraId="3138DAA7" w14:textId="64F3D098" w:rsidR="00FD3888" w:rsidRPr="006E44D3" w:rsidRDefault="00956783">
            <w:pPr>
              <w:rPr>
                <w:b/>
                <w:sz w:val="22"/>
                <w:szCs w:val="22"/>
              </w:rPr>
            </w:pPr>
            <w:r w:rsidRPr="00EE622D">
              <w:rPr>
                <w:rFonts w:cstheme="minorHAnsi"/>
                <w:b/>
                <w:sz w:val="22"/>
                <w:szCs w:val="22"/>
              </w:rPr>
              <w:t>High level summary of the deliberations</w:t>
            </w:r>
            <w:r>
              <w:rPr>
                <w:rFonts w:cstheme="minorHAnsi"/>
                <w:b/>
                <w:sz w:val="22"/>
                <w:szCs w:val="22"/>
              </w:rPr>
              <w:t xml:space="preserve"> and/or recommendation(s)</w:t>
            </w:r>
          </w:p>
        </w:tc>
        <w:tc>
          <w:tcPr>
            <w:tcW w:w="9592" w:type="dxa"/>
            <w:gridSpan w:val="6"/>
            <w:tcBorders>
              <w:bottom w:val="single" w:sz="4" w:space="0" w:color="auto"/>
            </w:tcBorders>
          </w:tcPr>
          <w:p w14:paraId="6D290EFC" w14:textId="76E751B1" w:rsidR="00397D5F" w:rsidRPr="006E44D3" w:rsidRDefault="00397D5F" w:rsidP="00153F30">
            <w:pPr>
              <w:rPr>
                <w:sz w:val="22"/>
                <w:szCs w:val="22"/>
              </w:rPr>
            </w:pPr>
          </w:p>
        </w:tc>
      </w:tr>
    </w:tbl>
    <w:p w14:paraId="270DB727" w14:textId="77777777" w:rsidR="00825447" w:rsidRPr="006E44D3" w:rsidRDefault="00825447" w:rsidP="00D42124">
      <w:pPr>
        <w:rPr>
          <w:b/>
          <w:sz w:val="22"/>
          <w:szCs w:val="22"/>
        </w:rPr>
        <w:sectPr w:rsidR="00825447" w:rsidRPr="006E44D3" w:rsidSect="005E2480">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2950"/>
      </w:tblGrid>
      <w:tr w:rsidR="00BD7330" w:rsidRPr="006E44D3" w14:paraId="2CA9C142" w14:textId="77777777" w:rsidTr="00BD7330">
        <w:trPr>
          <w:trHeight w:val="293"/>
        </w:trPr>
        <w:tc>
          <w:tcPr>
            <w:tcW w:w="12950" w:type="dxa"/>
            <w:tcBorders>
              <w:bottom w:val="single" w:sz="4" w:space="0" w:color="auto"/>
            </w:tcBorders>
            <w:shd w:val="clear" w:color="auto" w:fill="E7E6E6" w:themeFill="background2"/>
          </w:tcPr>
          <w:p w14:paraId="70314179" w14:textId="676BA109" w:rsidR="00BD7330" w:rsidRPr="006E44D3" w:rsidRDefault="00BD7330" w:rsidP="00D42124">
            <w:pPr>
              <w:rPr>
                <w:b/>
                <w:sz w:val="22"/>
                <w:szCs w:val="22"/>
              </w:rPr>
            </w:pPr>
            <w:r w:rsidRPr="006E44D3">
              <w:rPr>
                <w:b/>
                <w:sz w:val="22"/>
                <w:szCs w:val="22"/>
              </w:rPr>
              <w:lastRenderedPageBreak/>
              <w:t>Proposed modification of text (if appropriate)</w:t>
            </w:r>
          </w:p>
        </w:tc>
      </w:tr>
      <w:tr w:rsidR="00BD7330" w:rsidRPr="006E44D3" w14:paraId="25EFD97D" w14:textId="77777777" w:rsidTr="00825447">
        <w:trPr>
          <w:trHeight w:val="293"/>
        </w:trPr>
        <w:tc>
          <w:tcPr>
            <w:tcW w:w="12950" w:type="dxa"/>
            <w:tcBorders>
              <w:bottom w:val="single" w:sz="4" w:space="0" w:color="auto"/>
            </w:tcBorders>
            <w:shd w:val="clear" w:color="auto" w:fill="auto"/>
          </w:tcPr>
          <w:p w14:paraId="7FB0350B" w14:textId="53B3663C" w:rsidR="00BD7330" w:rsidRPr="006E44D3" w:rsidRDefault="00BD7330">
            <w:pPr>
              <w:rPr>
                <w:sz w:val="22"/>
                <w:szCs w:val="22"/>
              </w:rPr>
            </w:pPr>
          </w:p>
        </w:tc>
      </w:tr>
      <w:tr w:rsidR="00BD7330" w:rsidRPr="006E44D3" w14:paraId="215A573B" w14:textId="77777777" w:rsidTr="00825447">
        <w:trPr>
          <w:trHeight w:val="293"/>
        </w:trPr>
        <w:tc>
          <w:tcPr>
            <w:tcW w:w="12950" w:type="dxa"/>
            <w:shd w:val="clear" w:color="auto" w:fill="E7E6E6" w:themeFill="background2"/>
          </w:tcPr>
          <w:p w14:paraId="032E46AF" w14:textId="7E2BC661" w:rsidR="00BD7330" w:rsidRPr="006E44D3" w:rsidRDefault="00BD7330">
            <w:pPr>
              <w:rPr>
                <w:b/>
                <w:sz w:val="22"/>
                <w:szCs w:val="22"/>
              </w:rPr>
            </w:pPr>
            <w:r w:rsidRPr="006E44D3">
              <w:rPr>
                <w:b/>
                <w:sz w:val="22"/>
                <w:szCs w:val="22"/>
              </w:rPr>
              <w:t>Level of Support</w:t>
            </w:r>
          </w:p>
        </w:tc>
      </w:tr>
      <w:tr w:rsidR="00BD7330" w:rsidRPr="006E44D3" w14:paraId="6194C6CA" w14:textId="77777777" w:rsidTr="00BD7330">
        <w:trPr>
          <w:trHeight w:val="293"/>
        </w:trPr>
        <w:tc>
          <w:tcPr>
            <w:tcW w:w="12950" w:type="dxa"/>
            <w:shd w:val="clear" w:color="auto" w:fill="auto"/>
          </w:tcPr>
          <w:p w14:paraId="25770202" w14:textId="55B2F0B1" w:rsidR="00BD7330" w:rsidRPr="006E44D3" w:rsidRDefault="00BD7330">
            <w:pPr>
              <w:rPr>
                <w:sz w:val="22"/>
                <w:szCs w:val="22"/>
              </w:rPr>
            </w:pPr>
          </w:p>
        </w:tc>
      </w:tr>
    </w:tbl>
    <w:p w14:paraId="74001F5C" w14:textId="77777777" w:rsidR="005E2480" w:rsidRPr="006E44D3" w:rsidRDefault="005E2480">
      <w:pPr>
        <w:rPr>
          <w:b/>
          <w:sz w:val="22"/>
          <w:szCs w:val="22"/>
        </w:rPr>
      </w:pPr>
    </w:p>
    <w:sectPr w:rsidR="005E2480" w:rsidRPr="006E44D3" w:rsidSect="00825447">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480"/>
    <w:rsid w:val="00025F7C"/>
    <w:rsid w:val="000E174C"/>
    <w:rsid w:val="00153F30"/>
    <w:rsid w:val="00201C9C"/>
    <w:rsid w:val="003075B7"/>
    <w:rsid w:val="00397D5F"/>
    <w:rsid w:val="003E7D44"/>
    <w:rsid w:val="005A447D"/>
    <w:rsid w:val="005C4CF4"/>
    <w:rsid w:val="005E2480"/>
    <w:rsid w:val="00672634"/>
    <w:rsid w:val="00690704"/>
    <w:rsid w:val="006E44D3"/>
    <w:rsid w:val="00785782"/>
    <w:rsid w:val="00825447"/>
    <w:rsid w:val="008E3A71"/>
    <w:rsid w:val="00956783"/>
    <w:rsid w:val="009B3A16"/>
    <w:rsid w:val="009C18F9"/>
    <w:rsid w:val="00A16EA4"/>
    <w:rsid w:val="00B06800"/>
    <w:rsid w:val="00BD7330"/>
    <w:rsid w:val="00BF24A1"/>
    <w:rsid w:val="00C7576E"/>
    <w:rsid w:val="00D9672E"/>
    <w:rsid w:val="00E15AFC"/>
    <w:rsid w:val="00E3676D"/>
    <w:rsid w:val="00F00329"/>
    <w:rsid w:val="00FD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B05F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1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1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Berry Cobb</cp:lastModifiedBy>
  <cp:revision>3</cp:revision>
  <dcterms:created xsi:type="dcterms:W3CDTF">2018-08-22T13:39:00Z</dcterms:created>
  <dcterms:modified xsi:type="dcterms:W3CDTF">2018-08-22T13:39:00Z</dcterms:modified>
</cp:coreProperties>
</file>