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CCFF" w14:textId="0F69DF8B" w:rsidR="001E6287" w:rsidRPr="008A3DE6" w:rsidRDefault="008A3DE6">
      <w:pPr>
        <w:rPr>
          <w:b/>
        </w:rPr>
      </w:pPr>
      <w:r w:rsidRPr="008A3DE6">
        <w:rPr>
          <w:b/>
        </w:rPr>
        <w:t>Natural vs. Legal</w:t>
      </w:r>
      <w:r>
        <w:rPr>
          <w:b/>
        </w:rPr>
        <w:t xml:space="preserve"> – Input received to date (1 November 2018)</w:t>
      </w:r>
    </w:p>
    <w:p w14:paraId="638CA137" w14:textId="23E278CF" w:rsidR="008A3DE6" w:rsidRDefault="008A3DE6"/>
    <w:p w14:paraId="34DC119A" w14:textId="7DE00000" w:rsidR="001D0CBA" w:rsidRDefault="001D0CBA">
      <w:r>
        <w:t xml:space="preserve">Proposed </w:t>
      </w:r>
      <w:ins w:id="0" w:author="Marika Konings" w:date="2018-11-07T20:27:00Z">
        <w:r w:rsidR="00A30FB9">
          <w:t xml:space="preserve">updated </w:t>
        </w:r>
      </w:ins>
      <w:r>
        <w:t>language for inclusion in the Initial Report (</w:t>
      </w:r>
      <w:del w:id="1" w:author="Marika Konings" w:date="2018-11-07T20:27:00Z">
        <w:r w:rsidR="00A06A53" w:rsidDel="00A30FB9">
          <w:delText>5</w:delText>
        </w:r>
        <w:r w:rsidDel="00A30FB9">
          <w:delText xml:space="preserve"> </w:delText>
        </w:r>
      </w:del>
      <w:ins w:id="2" w:author="Marika Konings" w:date="2018-11-07T20:27:00Z">
        <w:r w:rsidR="00A30FB9">
          <w:t>7</w:t>
        </w:r>
        <w:bookmarkStart w:id="3" w:name="_GoBack"/>
        <w:bookmarkEnd w:id="3"/>
        <w:r w:rsidR="00A30FB9">
          <w:t xml:space="preserve"> </w:t>
        </w:r>
      </w:ins>
      <w:r>
        <w:t>November 2018)</w:t>
      </w:r>
    </w:p>
    <w:p w14:paraId="3FAB23A1" w14:textId="2382AC76" w:rsidR="005C4300" w:rsidRDefault="005C4300"/>
    <w:p w14:paraId="3909314B"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71EDD97" w14:textId="2409CF69" w:rsidR="005C4300" w:rsidRDefault="005C4300"/>
    <w:p w14:paraId="5505DFCA"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766BD4C" w14:textId="4C1450E5" w:rsidR="005C4300" w:rsidRDefault="005C4300"/>
    <w:p w14:paraId="69D70E12"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427050C3" w14:textId="14877D90" w:rsidR="005C4300" w:rsidRDefault="005C4300"/>
    <w:p w14:paraId="6C8BD4DE" w14:textId="2E1D5C54" w:rsidR="002236E4" w:rsidRPr="002236E4" w:rsidRDefault="005C4300" w:rsidP="002236E4">
      <w:pPr>
        <w:textAlignment w:val="baseline"/>
        <w:rPr>
          <w:ins w:id="4" w:author="Marika Konings" w:date="2018-11-07T18:00:00Z"/>
          <w:rFonts w:ascii="Calibri" w:eastAsia="Times New Roman" w:hAnsi="Calibri" w:cs="Calibri"/>
          <w:color w:val="000000"/>
          <w:sz w:val="22"/>
          <w:szCs w:val="22"/>
        </w:rPr>
      </w:pPr>
      <w:r>
        <w:t>The EPDP Team discussed these questions extensively (see [include link to this document</w:t>
      </w:r>
      <w:r w:rsidR="00E3072D">
        <w:t xml:space="preserve"> which includes the different proposals</w:t>
      </w:r>
      <w:r>
        <w:t xml:space="preserve">]) and although the EPDP Team agrees that Contracted Parties should be allowed to treat legal and natural persons differently, the EPDP Team did not agree on whether this should be required and/or what further steps could or should be undertaken to determine what mechanism is needed to ensure reliable determination of status. </w:t>
      </w:r>
      <w:ins w:id="5" w:author="Marika Konings" w:date="2018-11-07T17:59:00Z">
        <w:r w:rsidR="002236E4">
          <w:t>Specificall</w:t>
        </w:r>
      </w:ins>
      <w:ins w:id="6" w:author="Marika Konings" w:date="2018-11-07T18:00:00Z">
        <w:r w:rsidR="002236E4">
          <w:t>y, Contracted Parties, supported by the NCSG, stated that they “</w:t>
        </w:r>
        <w:r w:rsidR="002236E4" w:rsidRPr="002236E4">
          <w:t xml:space="preserve">oppose/reject any recommendations for new contractual requirements in the </w:t>
        </w:r>
      </w:ins>
      <w:ins w:id="7" w:author="Marika Konings" w:date="2018-11-07T18:01:00Z">
        <w:r w:rsidR="002236E4">
          <w:t>E</w:t>
        </w:r>
      </w:ins>
      <w:ins w:id="8" w:author="Marika Konings" w:date="2018-11-07T18:00:00Z">
        <w:r w:rsidR="002236E4" w:rsidRPr="002236E4">
          <w:t>PDP Draft Initial Report, and will remain opposed to these recommendations as we move towards final recommendations</w:t>
        </w:r>
      </w:ins>
      <w:ins w:id="9" w:author="Marika Konings" w:date="2018-11-07T18:01:00Z">
        <w:r w:rsidR="002236E4">
          <w:t>”</w:t>
        </w:r>
      </w:ins>
      <w:ins w:id="10" w:author="Marika Konings" w:date="2018-11-07T18:00:00Z">
        <w:r w:rsidR="002236E4" w:rsidRPr="002236E4">
          <w:t>.</w:t>
        </w:r>
      </w:ins>
    </w:p>
    <w:p w14:paraId="18EB15BD" w14:textId="0DADAA70" w:rsidR="002236E4" w:rsidRDefault="002236E4">
      <w:pPr>
        <w:rPr>
          <w:ins w:id="11" w:author="Marika Konings" w:date="2018-11-07T17:57:00Z"/>
        </w:rPr>
      </w:pPr>
    </w:p>
    <w:p w14:paraId="5A7035B2" w14:textId="52314360" w:rsidR="002236E4" w:rsidDel="002236E4" w:rsidRDefault="002236E4">
      <w:pPr>
        <w:rPr>
          <w:del w:id="12" w:author="Marika Konings" w:date="2018-11-07T17:58:00Z"/>
        </w:rPr>
      </w:pPr>
    </w:p>
    <w:p w14:paraId="73279D94" w14:textId="46F293DD" w:rsidR="005C4300" w:rsidDel="002236E4" w:rsidRDefault="005C4300">
      <w:pPr>
        <w:rPr>
          <w:del w:id="13" w:author="Marika Konings" w:date="2018-11-07T17:58:00Z"/>
        </w:rPr>
      </w:pPr>
    </w:p>
    <w:p w14:paraId="6B573A11" w14:textId="16941F13" w:rsidR="000B1681" w:rsidRDefault="005C4300">
      <w:r>
        <w:t xml:space="preserve">The EPDP Team further agrees under GDPR there is a legal basis to treat legal and natural persons </w:t>
      </w:r>
      <w:proofErr w:type="gramStart"/>
      <w:r>
        <w:t>differently, but</w:t>
      </w:r>
      <w:proofErr w:type="gramEnd"/>
      <w:r>
        <w:t xml:space="preserve"> does not agree on whether that means Contracted Parties should be required to do so, or whether the </w:t>
      </w:r>
      <w:r w:rsidR="000B1681">
        <w:t xml:space="preserve">challenges and legal risks involved in doing so result in leaving this optional. Similarly, the EPDP Team discussed the implication of other data protection regimes which could have different requirements that impact both natural and/or legal persons that would need to be factored in. </w:t>
      </w:r>
    </w:p>
    <w:p w14:paraId="2D937221" w14:textId="77777777" w:rsidR="000B1681" w:rsidRDefault="000B1681"/>
    <w:p w14:paraId="6E5CDE0A" w14:textId="77777777" w:rsidR="00E3072D" w:rsidRPr="00E3072D" w:rsidRDefault="000B1681">
      <w:r w:rsidRPr="00E3072D">
        <w:t>The EPDP Team identified a number of risks, including:</w:t>
      </w:r>
    </w:p>
    <w:p w14:paraId="1C5FE409" w14:textId="449F5102" w:rsidR="00E3072D" w:rsidRPr="00E3072D" w:rsidRDefault="00E3072D" w:rsidP="00E3072D">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2EE669B0" w14:textId="631F64E4" w:rsidR="00E3072D" w:rsidRDefault="00E3072D" w:rsidP="00E3072D">
      <w:pPr>
        <w:pStyle w:val="ListParagraph"/>
        <w:numPr>
          <w:ilvl w:val="0"/>
          <w:numId w:val="27"/>
        </w:numPr>
        <w:rPr>
          <w:ins w:id="14" w:author="Marika Konings" w:date="2018-11-07T17:58:00Z"/>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466E7657" w14:textId="61DDD8B1" w:rsidR="002236E4" w:rsidRPr="00E3072D" w:rsidRDefault="002236E4" w:rsidP="002236E4">
      <w:pPr>
        <w:pStyle w:val="ListParagraph"/>
        <w:numPr>
          <w:ilvl w:val="0"/>
          <w:numId w:val="27"/>
        </w:numPr>
      </w:pPr>
      <w:ins w:id="15" w:author="Marika Konings" w:date="2018-11-07T17:58:00Z">
        <w:r w:rsidRPr="002236E4">
          <w:t xml:space="preserve">The </w:t>
        </w:r>
        <w:r w:rsidRPr="002236E4">
          <w:t>difficulty of distinguishing between the two at the point of registration could lead to the unintended publication of the private data of many natural persons.</w:t>
        </w:r>
      </w:ins>
    </w:p>
    <w:p w14:paraId="776A5037" w14:textId="77777777" w:rsidR="00E3072D" w:rsidRDefault="00E3072D" w:rsidP="00E3072D">
      <w:pPr>
        <w:ind w:left="360"/>
      </w:pPr>
    </w:p>
    <w:p w14:paraId="457B1C12" w14:textId="7EDD5C8D" w:rsidR="000B1681" w:rsidRDefault="00E3072D" w:rsidP="00E3072D">
      <w:pPr>
        <w:ind w:left="360"/>
      </w:pPr>
      <w:r w:rsidRPr="00E3072D">
        <w:lastRenderedPageBreak/>
        <w:t>The EPDP has discussed whether t</w:t>
      </w:r>
      <w:r w:rsidRPr="00E3072D">
        <w:rPr>
          <w:color w:val="000000"/>
        </w:rPr>
        <w:t>his risk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1A5D56B3" w14:textId="77777777" w:rsidR="002236E4" w:rsidRDefault="002236E4">
      <w:pPr>
        <w:rPr>
          <w:ins w:id="16" w:author="Marika Konings" w:date="2018-11-07T17:59:00Z"/>
        </w:rPr>
      </w:pPr>
    </w:p>
    <w:p w14:paraId="064CD90A" w14:textId="38F93428" w:rsidR="00A06A53" w:rsidRDefault="002236E4">
      <w:ins w:id="17" w:author="Marika Konings" w:date="2018-11-07T18:02:00Z">
        <w:r>
          <w:t xml:space="preserve">Some members of the EPDP Team suggested that </w:t>
        </w:r>
      </w:ins>
      <w:del w:id="18" w:author="Marika Konings" w:date="2018-11-07T18:02:00Z">
        <w:r w:rsidR="000B1681" w:rsidDel="002236E4">
          <w:delText>T</w:delText>
        </w:r>
      </w:del>
      <w:ins w:id="19" w:author="Marika Konings" w:date="2018-11-07T18:02:00Z">
        <w:r>
          <w:t>t</w:t>
        </w:r>
      </w:ins>
      <w:r w:rsidR="000B1681">
        <w:t xml:space="preserve">o help further inform the EPDP Team’s deliberations on this topic </w:t>
      </w:r>
      <w:ins w:id="20" w:author="Marika Konings" w:date="2018-11-07T18:02:00Z">
        <w:r>
          <w:t xml:space="preserve">it might be helpful if </w:t>
        </w:r>
      </w:ins>
      <w:del w:id="21" w:author="Marika Konings" w:date="2018-11-07T18:02:00Z">
        <w:r w:rsidR="000B1681" w:rsidDel="002236E4">
          <w:delText>as the team works towards a Final Report,</w:delText>
        </w:r>
        <w:r w:rsidR="00A06A53" w:rsidDel="002236E4">
          <w:delText xml:space="preserve"> the EPDP Team </w:delText>
        </w:r>
        <w:r w:rsidR="00A06A53" w:rsidRPr="00A06A53" w:rsidDel="002236E4">
          <w:delText>would like to request that GDD staff</w:delText>
        </w:r>
        <w:r w:rsidR="00A06A53" w:rsidDel="002236E4">
          <w:delText>,</w:delText>
        </w:r>
        <w:r w:rsidR="00A06A53" w:rsidRPr="00A06A53" w:rsidDel="002236E4">
          <w:delText xml:space="preserve"> who will design the implementation of these policy recommendations</w:delText>
        </w:r>
        <w:r w:rsidR="00A06A53" w:rsidDel="002236E4">
          <w:delText>,</w:delText>
        </w:r>
        <w:r w:rsidR="00A06A53" w:rsidRPr="00A06A53" w:rsidDel="002236E4">
          <w:delText xml:space="preserve"> commences </w:delText>
        </w:r>
      </w:del>
      <w:r w:rsidR="00A06A53" w:rsidRPr="00A06A53">
        <w:t>research</w:t>
      </w:r>
      <w:ins w:id="22" w:author="Marika Konings" w:date="2018-11-07T18:02:00Z">
        <w:r>
          <w:t xml:space="preserve"> would be commenced</w:t>
        </w:r>
      </w:ins>
      <w:ins w:id="23" w:author="Marika Konings" w:date="2018-11-07T18:04:00Z">
        <w:r w:rsidR="00DA3C1E">
          <w:t xml:space="preserve"> immediately</w:t>
        </w:r>
      </w:ins>
      <w:r w:rsidR="00A06A53" w:rsidRPr="00A06A53">
        <w:t xml:space="preserve"> by investigating how ccTLDs and contracted parties currently distinguish between natural and legal persons to inform the EPDP Team</w:t>
      </w:r>
      <w:ins w:id="24" w:author="Marika Konings" w:date="2018-11-07T18:02:00Z">
        <w:r>
          <w:t xml:space="preserve">, but this was not supported by </w:t>
        </w:r>
      </w:ins>
      <w:ins w:id="25" w:author="Marika Konings" w:date="2018-11-07T18:07:00Z">
        <w:r w:rsidR="00DA3C1E">
          <w:t>Contracted Parties</w:t>
        </w:r>
      </w:ins>
      <w:ins w:id="26" w:author="Marika Konings" w:date="2018-11-07T20:01:00Z">
        <w:r w:rsidR="00D33B1C">
          <w:t xml:space="preserve"> and </w:t>
        </w:r>
      </w:ins>
      <w:ins w:id="27" w:author="Marika Konings" w:date="2018-11-07T20:02:00Z">
        <w:r w:rsidR="00D33B1C">
          <w:t>NCSG</w:t>
        </w:r>
      </w:ins>
      <w:ins w:id="28" w:author="Marika Konings" w:date="2018-11-07T18:07:00Z">
        <w:r w:rsidR="00DA3C1E">
          <w:t xml:space="preserve"> </w:t>
        </w:r>
      </w:ins>
      <w:ins w:id="29" w:author="Marika Konings" w:date="2018-11-07T18:04:00Z">
        <w:r w:rsidR="00DA3C1E">
          <w:t xml:space="preserve">at this point </w:t>
        </w:r>
      </w:ins>
      <w:ins w:id="30" w:author="Marika Konings" w:date="2018-11-07T18:05:00Z">
        <w:r w:rsidR="00DA3C1E">
          <w:t xml:space="preserve">in time </w:t>
        </w:r>
      </w:ins>
      <w:ins w:id="31" w:author="Marika Konings" w:date="2018-11-07T18:07:00Z">
        <w:r w:rsidR="00DA3C1E">
          <w:t xml:space="preserve">who consider a potential change in how natural and legal persons are treated </w:t>
        </w:r>
      </w:ins>
      <w:ins w:id="32" w:author="Marika Konings" w:date="2018-11-07T18:06:00Z">
        <w:r w:rsidR="00DA3C1E" w:rsidRPr="00DA3C1E">
          <w:t xml:space="preserve"> outside the scope of the </w:t>
        </w:r>
      </w:ins>
      <w:ins w:id="33" w:author="Marika Konings" w:date="2018-11-07T18:08:00Z">
        <w:r w:rsidR="0089134A">
          <w:t>E</w:t>
        </w:r>
      </w:ins>
      <w:ins w:id="34" w:author="Marika Konings" w:date="2018-11-07T18:06:00Z">
        <w:r w:rsidR="00DA3C1E" w:rsidRPr="00DA3C1E">
          <w:t>PDP, and possibly the “picket fence” of Registrar and Registry contracts</w:t>
        </w:r>
      </w:ins>
      <w:r w:rsidR="00A06A53" w:rsidRPr="00A06A53">
        <w:t>.</w:t>
      </w:r>
      <w:r w:rsidR="00A06A53">
        <w:rPr>
          <w:color w:val="000000"/>
          <w:sz w:val="22"/>
          <w:szCs w:val="22"/>
        </w:rPr>
        <w:t xml:space="preserve"> </w:t>
      </w:r>
    </w:p>
    <w:p w14:paraId="71660A94" w14:textId="77777777" w:rsidR="00A06A53" w:rsidRDefault="00A06A53"/>
    <w:p w14:paraId="3C6FDE40" w14:textId="2435A7D6" w:rsidR="000B1681" w:rsidRDefault="00A06A53">
      <w:del w:id="35" w:author="Marika Konings" w:date="2018-11-07T18:03:00Z">
        <w:r w:rsidDel="002236E4">
          <w:delText>In addition,</w:delText>
        </w:r>
        <w:r w:rsidR="000B1681" w:rsidDel="002236E4">
          <w:delText xml:space="preserve"> t</w:delText>
        </w:r>
      </w:del>
      <w:ins w:id="36" w:author="Marika Konings" w:date="2018-11-07T18:03:00Z">
        <w:r w:rsidR="002236E4">
          <w:t>T</w:t>
        </w:r>
      </w:ins>
      <w:r w:rsidR="000B1681">
        <w:t>he EPDP Team would like to request input on the following questions in relation to this topic</w:t>
      </w:r>
      <w:ins w:id="37" w:author="Marika Konings" w:date="2018-11-07T18:03:00Z">
        <w:r w:rsidR="002236E4">
          <w:t xml:space="preserve"> to help inform any further deliberations on this topic</w:t>
        </w:r>
      </w:ins>
      <w:r w:rsidR="000B1681">
        <w:t>:</w:t>
      </w:r>
    </w:p>
    <w:p w14:paraId="74201A5E" w14:textId="77777777" w:rsidR="000B1681" w:rsidRDefault="000B1681"/>
    <w:p w14:paraId="7854E052" w14:textId="5721A240" w:rsidR="005C4300" w:rsidRDefault="00796F19" w:rsidP="000B1681">
      <w:pPr>
        <w:pStyle w:val="ListParagraph"/>
        <w:numPr>
          <w:ilvl w:val="0"/>
          <w:numId w:val="26"/>
        </w:numPr>
      </w:pPr>
      <w:r>
        <w:t xml:space="preserve">Are there examples from other industries or areas, e.g. ccTLDs, where a mechanism has been successfully developed and implemented to distinguish between natural and legal person, factoring in some of the challenges identified above? </w:t>
      </w:r>
    </w:p>
    <w:p w14:paraId="405A5787" w14:textId="51E805EC" w:rsidR="00796F19" w:rsidRDefault="00796F19" w:rsidP="000B1681">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4D382113" w14:textId="389DC575" w:rsidR="007325B2" w:rsidRDefault="007325B2" w:rsidP="000B1681">
      <w:pPr>
        <w:pStyle w:val="ListParagraph"/>
        <w:numPr>
          <w:ilvl w:val="0"/>
          <w:numId w:val="26"/>
        </w:numPr>
      </w:pPr>
      <w:r>
        <w:t>Should the EPDP Team decide to recommend that further research is undertaken,</w:t>
      </w:r>
      <w:del w:id="38" w:author="Marika Konings" w:date="2018-11-07T18:03:00Z">
        <w:r w:rsidR="00A06A53" w:rsidDel="002236E4">
          <w:delText xml:space="preserve"> beyond the information that GDD staff may encounter,</w:delText>
        </w:r>
      </w:del>
      <w:r>
        <w:t xml:space="preserve"> what and how should this research be carried out?</w:t>
      </w:r>
    </w:p>
    <w:p w14:paraId="745904DA" w14:textId="02B141C8" w:rsidR="00796F19" w:rsidRPr="00796F19" w:rsidRDefault="00796F19" w:rsidP="00796F19">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are there any other ways in which risk of liability could be mitigated by registrars? </w:t>
      </w:r>
    </w:p>
    <w:p w14:paraId="374405BC" w14:textId="604B76DA" w:rsidR="00796F19" w:rsidRDefault="00796F19" w:rsidP="00A06A53"/>
    <w:p w14:paraId="4A1B80A1" w14:textId="17ACFCF0" w:rsidR="00A06A53" w:rsidRDefault="00A06A53" w:rsidP="00A06A53">
      <w:r>
        <w:t xml:space="preserve">The </w:t>
      </w:r>
      <w:del w:id="39" w:author="Marika Konings" w:date="2018-11-07T18:03:00Z">
        <w:r w:rsidDel="002236E4">
          <w:delText xml:space="preserve">research requested and </w:delText>
        </w:r>
      </w:del>
      <w:r>
        <w:t xml:space="preserve">input on these charter questions will help the EPDP Team further analyze if it is possible and desirable to make this distinction in the context of domain name registrations, in a manner that is commercially reasonable, implementable and does not result in unreasonable liability for contracted parties. </w:t>
      </w:r>
    </w:p>
    <w:p w14:paraId="0BC02024" w14:textId="649DC870" w:rsidR="00A06A53" w:rsidRDefault="00A06A53" w:rsidP="00A06A53"/>
    <w:p w14:paraId="141F55D8" w14:textId="77777777" w:rsidR="00A06A53" w:rsidRDefault="00A06A53" w:rsidP="00A06A53"/>
    <w:p w14:paraId="3DEA72EF" w14:textId="77777777" w:rsidR="00A06A53" w:rsidRDefault="00A06A53">
      <w:r>
        <w:br w:type="page"/>
      </w:r>
    </w:p>
    <w:p w14:paraId="42415AA4" w14:textId="12540FAF" w:rsidR="00DF2DD9" w:rsidRDefault="00DF2DD9">
      <w:r>
        <w:lastRenderedPageBreak/>
        <w:t>Original Language</w:t>
      </w:r>
    </w:p>
    <w:p w14:paraId="331C993E" w14:textId="6B2FA0B5" w:rsidR="00DF2DD9" w:rsidRDefault="00DF2DD9"/>
    <w:p w14:paraId="295554BE"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h)     </w:t>
      </w:r>
      <w:r w:rsidRPr="002C0A01">
        <w:rPr>
          <w:rFonts w:eastAsia="Times New Roman" w:cstheme="minorHAnsi"/>
          <w:b/>
          <w:bCs/>
          <w:color w:val="000000"/>
        </w:rPr>
        <w:t>Applicability of Data Processing Requirements – Draft responses</w:t>
      </w:r>
    </w:p>
    <w:p w14:paraId="49A0C3FC"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378B658D"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79C3A53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61A71F40"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We seem to have agreed that yes, contracted parties should be allowed to treat legal and natural persons differently but the mechanism by which this should or can be done should be further explored.</w:t>
      </w:r>
    </w:p>
    <w:p w14:paraId="6366D176"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7A7E7554"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60681312"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13B0879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xml:space="preserve">We agreed that under GDPR there is a legal basis.  While the focus of this EPDP is GDPR compliance, we did note that not all jurisdictions have this same </w:t>
      </w:r>
      <w:proofErr w:type="gramStart"/>
      <w:r w:rsidRPr="002C0A01">
        <w:rPr>
          <w:rFonts w:eastAsia="Times New Roman" w:cstheme="minorHAnsi"/>
          <w:color w:val="000000"/>
        </w:rPr>
        <w:t>distinction</w:t>
      </w:r>
      <w:proofErr w:type="gramEnd"/>
      <w:r w:rsidRPr="002C0A01">
        <w:rPr>
          <w:rFonts w:eastAsia="Times New Roman" w:cstheme="minorHAnsi"/>
          <w:color w:val="000000"/>
        </w:rPr>
        <w:t xml:space="preserve"> so we have to make sure our policy recommendations are flexible enough to take this into account.</w:t>
      </w:r>
    </w:p>
    <w:p w14:paraId="764F3EF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59306F83"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3232DB51"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64148D63"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xml:space="preserve">The main risk seems to be that while legal persons don’t have the same protections under GDPR, natural persons employed by a legal person (and who may be designated as the registrant, admin or technical contact) are still natural persons with rights/protection under GDPR. This risk may be minimized through educational resources as recommended below. [further flesh out risks: James </w:t>
      </w:r>
      <w:proofErr w:type="spellStart"/>
      <w:r w:rsidRPr="002C0A01">
        <w:rPr>
          <w:rFonts w:eastAsia="Times New Roman" w:cstheme="minorHAnsi"/>
          <w:color w:val="000000"/>
        </w:rPr>
        <w:t>Bladel</w:t>
      </w:r>
      <w:proofErr w:type="spellEnd"/>
      <w:r w:rsidRPr="002C0A01">
        <w:rPr>
          <w:rFonts w:eastAsia="Times New Roman" w:cstheme="minorHAnsi"/>
          <w:color w:val="000000"/>
        </w:rPr>
        <w:t xml:space="preserve"> to provide proposed language]</w:t>
      </w:r>
    </w:p>
    <w:p w14:paraId="0380FC70"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066116A1" w14:textId="77777777" w:rsidR="00DF2DD9" w:rsidRPr="002C0A01" w:rsidRDefault="00DF2DD9" w:rsidP="00DF2DD9">
      <w:pPr>
        <w:rPr>
          <w:rFonts w:eastAsia="Times New Roman" w:cstheme="minorHAnsi"/>
          <w:color w:val="000000"/>
        </w:rPr>
      </w:pPr>
      <w:r w:rsidRPr="002C0A01">
        <w:rPr>
          <w:rFonts w:eastAsia="Times New Roman" w:cstheme="minorHAnsi"/>
          <w:b/>
          <w:bCs/>
          <w:color w:val="000000"/>
        </w:rPr>
        <w:t>Proposed Preliminary Policy Recommendation for inclusion in the Initial Report</w:t>
      </w:r>
    </w:p>
    <w:p w14:paraId="55ADCBF8"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0776CCC1"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The EPDP Team recommends that:</w:t>
      </w:r>
    </w:p>
    <w:p w14:paraId="7399AB8D" w14:textId="77777777" w:rsidR="00DF2DD9" w:rsidRPr="002C0A01" w:rsidRDefault="00DF2DD9" w:rsidP="00DF2DD9">
      <w:pPr>
        <w:numPr>
          <w:ilvl w:val="0"/>
          <w:numId w:val="13"/>
        </w:numPr>
        <w:ind w:left="360"/>
        <w:rPr>
          <w:rFonts w:eastAsia="Times New Roman" w:cstheme="minorHAnsi"/>
          <w:color w:val="000000"/>
        </w:rPr>
      </w:pPr>
      <w:r w:rsidRPr="002C0A01">
        <w:rPr>
          <w:rFonts w:eastAsia="Times New Roman" w:cstheme="minorHAnsi"/>
          <w:color w:val="000000"/>
        </w:rPr>
        <w:t>The distinction between legal and natural persons is useful and necessary for GDPR and some other data protection laws.</w:t>
      </w:r>
    </w:p>
    <w:p w14:paraId="69573D33" w14:textId="77777777" w:rsidR="00DF2DD9" w:rsidRPr="002C0A01" w:rsidRDefault="00DF2DD9" w:rsidP="00DF2DD9">
      <w:pPr>
        <w:numPr>
          <w:ilvl w:val="1"/>
          <w:numId w:val="13"/>
        </w:numPr>
        <w:ind w:left="720"/>
        <w:rPr>
          <w:rFonts w:eastAsia="Times New Roman" w:cstheme="minorHAnsi"/>
          <w:color w:val="000000"/>
        </w:rPr>
      </w:pPr>
      <w:r w:rsidRPr="002C0A01">
        <w:rPr>
          <w:rFonts w:eastAsia="Times New Roman" w:cstheme="minorHAnsi"/>
          <w:color w:val="000000"/>
        </w:rPr>
        <w:t>However, the EPDP Team recognizes that there are challenges in making this distinction in the context of domain name registrations as well as the potential implementation of any new functionality that would apply to pre-existing registrations. </w:t>
      </w:r>
    </w:p>
    <w:p w14:paraId="52D3CCD4" w14:textId="77777777" w:rsidR="00DF2DD9" w:rsidRPr="002C0A01" w:rsidRDefault="00DF2DD9" w:rsidP="00DF2DD9">
      <w:pPr>
        <w:numPr>
          <w:ilvl w:val="1"/>
          <w:numId w:val="13"/>
        </w:numPr>
        <w:ind w:left="720"/>
        <w:rPr>
          <w:rFonts w:eastAsia="Times New Roman" w:cstheme="minorHAnsi"/>
          <w:color w:val="000000"/>
        </w:rPr>
      </w:pPr>
      <w:r w:rsidRPr="002C0A01">
        <w:rPr>
          <w:rFonts w:eastAsia="Times New Roman" w:cstheme="minorHAnsi"/>
          <w:color w:val="000000"/>
        </w:rPr>
        <w:t>Additionally, other jurisdictions may have other categories of protected groups</w:t>
      </w:r>
      <w:r>
        <w:rPr>
          <w:rFonts w:eastAsia="Times New Roman" w:cstheme="minorHAnsi"/>
          <w:color w:val="000000"/>
        </w:rPr>
        <w:t xml:space="preserve"> or other requirements</w:t>
      </w:r>
      <w:r w:rsidRPr="002C0A01">
        <w:rPr>
          <w:rFonts w:eastAsia="Times New Roman" w:cstheme="minorHAnsi"/>
          <w:color w:val="000000"/>
        </w:rPr>
        <w:t xml:space="preserve"> that would need to be factored in.</w:t>
      </w:r>
    </w:p>
    <w:p w14:paraId="2265D229" w14:textId="77777777" w:rsidR="00DF2DD9" w:rsidRPr="002C0A01" w:rsidRDefault="00DF2DD9" w:rsidP="00DF2DD9">
      <w:pPr>
        <w:numPr>
          <w:ilvl w:val="0"/>
          <w:numId w:val="14"/>
        </w:numPr>
        <w:ind w:left="360"/>
        <w:rPr>
          <w:rFonts w:eastAsia="Times New Roman" w:cstheme="minorHAnsi"/>
          <w:color w:val="000000"/>
        </w:rPr>
      </w:pPr>
      <w:r w:rsidRPr="002C0A01">
        <w:rPr>
          <w:rFonts w:eastAsia="Times New Roman" w:cstheme="minorHAnsi"/>
          <w:color w:val="000000"/>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373C2D03"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1A9795D2" w14:textId="77777777" w:rsidR="00DF2DD9" w:rsidRPr="002C0A01" w:rsidRDefault="00DF2DD9" w:rsidP="00DF2DD9">
      <w:pPr>
        <w:numPr>
          <w:ilvl w:val="0"/>
          <w:numId w:val="15"/>
        </w:numPr>
        <w:ind w:left="360"/>
        <w:rPr>
          <w:rFonts w:eastAsia="Times New Roman" w:cstheme="minorHAnsi"/>
          <w:color w:val="000000"/>
        </w:rPr>
      </w:pPr>
      <w:r w:rsidRPr="002C0A01">
        <w:rPr>
          <w:rFonts w:eastAsia="Times New Roman" w:cstheme="minorHAnsi"/>
          <w:color w:val="000000"/>
        </w:rPr>
        <w:t>Following the receipt of the research, the EPDP Team will explore in a timely manner how this distinction can be made in the context of domain name registrations in a satisfactory way.</w:t>
      </w:r>
    </w:p>
    <w:p w14:paraId="445B68F0" w14:textId="77777777" w:rsidR="00DF2DD9" w:rsidRPr="002C0A01" w:rsidRDefault="00DF2DD9" w:rsidP="00DF2DD9">
      <w:pPr>
        <w:numPr>
          <w:ilvl w:val="1"/>
          <w:numId w:val="15"/>
        </w:numPr>
        <w:ind w:left="720"/>
        <w:rPr>
          <w:rFonts w:eastAsia="Times New Roman" w:cstheme="minorHAnsi"/>
          <w:color w:val="000000"/>
        </w:rPr>
      </w:pPr>
      <w:r w:rsidRPr="002C0A01">
        <w:rPr>
          <w:rFonts w:eastAsia="Times New Roman" w:cstheme="minorHAnsi"/>
          <w:color w:val="000000"/>
        </w:rPr>
        <w:lastRenderedPageBreak/>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01D59C41" w14:textId="77777777" w:rsidR="00DF2DD9" w:rsidRPr="002C0A01" w:rsidRDefault="00DF2DD9" w:rsidP="00DF2DD9">
      <w:pPr>
        <w:numPr>
          <w:ilvl w:val="1"/>
          <w:numId w:val="15"/>
        </w:numPr>
        <w:ind w:left="720"/>
        <w:rPr>
          <w:rFonts w:eastAsia="Times New Roman" w:cstheme="minorHAnsi"/>
          <w:color w:val="000000"/>
        </w:rPr>
      </w:pPr>
      <w:r w:rsidRPr="002C0A01">
        <w:rPr>
          <w:rFonts w:eastAsia="Times New Roman" w:cstheme="minorHAnsi"/>
          <w:color w:val="000000"/>
        </w:rPr>
        <w:t>The EPDP Team should also consider which data fields (if any) need to be added to accomplish this distinction. This could require further liaising with the IETF if data fields in RDAP need to be added or changed.</w:t>
      </w:r>
    </w:p>
    <w:p w14:paraId="7AD80DA7"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4D90A7AC" w14:textId="77777777" w:rsidR="00DF2DD9" w:rsidRPr="002C0A01" w:rsidRDefault="00DF2DD9" w:rsidP="00DF2DD9">
      <w:pPr>
        <w:numPr>
          <w:ilvl w:val="0"/>
          <w:numId w:val="16"/>
        </w:numPr>
        <w:ind w:left="360"/>
        <w:rPr>
          <w:rFonts w:eastAsia="Times New Roman" w:cstheme="minorHAnsi"/>
          <w:color w:val="000000"/>
        </w:rPr>
      </w:pPr>
      <w:r w:rsidRPr="002C0A01">
        <w:rPr>
          <w:rFonts w:eastAsia="Times New Roman" w:cstheme="minorHAnsi"/>
          <w:color w:val="000000"/>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p w14:paraId="7054A129" w14:textId="417D4089" w:rsidR="00DF2DD9" w:rsidRDefault="00DF2DD9">
      <w:r>
        <w:br w:type="page"/>
      </w:r>
    </w:p>
    <w:tbl>
      <w:tblPr>
        <w:tblStyle w:val="TableGrid"/>
        <w:tblW w:w="0" w:type="auto"/>
        <w:tblLook w:val="04A0" w:firstRow="1" w:lastRow="0" w:firstColumn="1" w:lastColumn="0" w:noHBand="0" w:noVBand="1"/>
      </w:tblPr>
      <w:tblGrid>
        <w:gridCol w:w="9350"/>
      </w:tblGrid>
      <w:tr w:rsidR="008A3DE6" w:rsidRPr="00507D38" w14:paraId="75E210CF" w14:textId="77777777" w:rsidTr="008A3DE6">
        <w:tc>
          <w:tcPr>
            <w:tcW w:w="9350" w:type="dxa"/>
            <w:shd w:val="clear" w:color="auto" w:fill="E7E6E6" w:themeFill="background2"/>
          </w:tcPr>
          <w:p w14:paraId="3B598F7A" w14:textId="6989870B" w:rsidR="008A3DE6" w:rsidRPr="00507D38" w:rsidRDefault="008A3DE6" w:rsidP="008A3DE6">
            <w:pPr>
              <w:rPr>
                <w:rFonts w:cstheme="minorHAnsi"/>
                <w:b/>
                <w:sz w:val="22"/>
                <w:szCs w:val="22"/>
              </w:rPr>
            </w:pPr>
            <w:r w:rsidRPr="00507D38">
              <w:rPr>
                <w:rFonts w:cstheme="minorHAnsi"/>
                <w:b/>
                <w:sz w:val="22"/>
                <w:szCs w:val="22"/>
              </w:rPr>
              <w:lastRenderedPageBreak/>
              <w:t>NCSG</w:t>
            </w:r>
          </w:p>
        </w:tc>
      </w:tr>
      <w:tr w:rsidR="008A3DE6" w:rsidRPr="00507D38" w14:paraId="68997168" w14:textId="77777777" w:rsidTr="008A3DE6">
        <w:tc>
          <w:tcPr>
            <w:tcW w:w="9350" w:type="dxa"/>
          </w:tcPr>
          <w:p w14:paraId="71755AA3" w14:textId="77777777" w:rsidR="008A3DE6" w:rsidRPr="00507D38" w:rsidRDefault="008A3DE6" w:rsidP="008A3DE6">
            <w:pPr>
              <w:rPr>
                <w:rFonts w:cstheme="minorHAnsi"/>
                <w:color w:val="000000"/>
                <w:sz w:val="22"/>
                <w:szCs w:val="22"/>
              </w:rPr>
            </w:pPr>
            <w:r w:rsidRPr="00507D38">
              <w:rPr>
                <w:rFonts w:cstheme="minorHAnsi"/>
                <w:b/>
                <w:bCs/>
                <w:color w:val="000000"/>
                <w:sz w:val="22"/>
                <w:szCs w:val="22"/>
              </w:rPr>
              <w:t>h5)</w:t>
            </w:r>
          </w:p>
          <w:p w14:paraId="3E2304F8" w14:textId="77777777" w:rsidR="008A3DE6" w:rsidRPr="00507D38" w:rsidRDefault="008A3DE6" w:rsidP="008A3DE6">
            <w:pPr>
              <w:rPr>
                <w:rFonts w:cstheme="minorHAnsi"/>
                <w:color w:val="000000"/>
                <w:sz w:val="22"/>
                <w:szCs w:val="22"/>
              </w:rPr>
            </w:pPr>
          </w:p>
          <w:p w14:paraId="60826B58" w14:textId="77777777" w:rsidR="008A3DE6" w:rsidRPr="00507D38" w:rsidRDefault="008A3DE6" w:rsidP="008A3DE6">
            <w:pPr>
              <w:rPr>
                <w:rFonts w:cstheme="minorHAnsi"/>
                <w:color w:val="000000"/>
                <w:sz w:val="22"/>
                <w:szCs w:val="22"/>
              </w:rPr>
            </w:pPr>
            <w:r w:rsidRPr="00507D38">
              <w:rPr>
                <w:rFonts w:cstheme="minorHAnsi"/>
                <w:color w:val="000000"/>
                <w:sz w:val="22"/>
                <w:szCs w:val="22"/>
              </w:rPr>
              <w:t>The NCSG doesn’t concede that risks involved can be minimized through education. Educational resources may prove helpful, but the extent to which this might be true is not yet evident. Should any contracted parties elect to differentiate between legal and natural persons in how their data is processed, we believe educational resources should be made available to RNHs.</w:t>
            </w:r>
          </w:p>
          <w:p w14:paraId="065CF33A" w14:textId="77777777" w:rsidR="008A3DE6" w:rsidRPr="00507D38" w:rsidRDefault="008A3DE6" w:rsidP="008A3DE6">
            <w:pPr>
              <w:rPr>
                <w:rFonts w:cstheme="minorHAnsi"/>
                <w:color w:val="000000"/>
                <w:sz w:val="22"/>
                <w:szCs w:val="22"/>
              </w:rPr>
            </w:pPr>
          </w:p>
          <w:p w14:paraId="36EBACE5" w14:textId="77777777" w:rsidR="008A3DE6" w:rsidRPr="00507D38" w:rsidRDefault="008A3DE6" w:rsidP="008A3DE6">
            <w:pPr>
              <w:rPr>
                <w:rFonts w:cstheme="minorHAnsi"/>
                <w:color w:val="000000"/>
                <w:sz w:val="22"/>
                <w:szCs w:val="22"/>
              </w:rPr>
            </w:pPr>
            <w:r w:rsidRPr="00507D38">
              <w:rPr>
                <w:rFonts w:cstheme="minorHAnsi"/>
                <w:color w:val="000000"/>
                <w:sz w:val="22"/>
                <w:szCs w:val="22"/>
              </w:rPr>
              <w:t>Additionally, the NCSG has proposed some modification to the language under h5, in order to explain the main risk involved with differentiation between legal and natural persons more clearly.</w:t>
            </w:r>
          </w:p>
          <w:p w14:paraId="0A54A935" w14:textId="77777777" w:rsidR="008A3DE6" w:rsidRPr="00507D38" w:rsidRDefault="008A3DE6" w:rsidP="008A3DE6">
            <w:pPr>
              <w:rPr>
                <w:rFonts w:cstheme="minorHAnsi"/>
                <w:color w:val="000000"/>
                <w:sz w:val="22"/>
                <w:szCs w:val="22"/>
              </w:rPr>
            </w:pPr>
          </w:p>
          <w:p w14:paraId="6CEC0BD3" w14:textId="77777777" w:rsidR="008A3DE6" w:rsidRPr="00507D38" w:rsidRDefault="008A3DE6" w:rsidP="008A3DE6">
            <w:pPr>
              <w:rPr>
                <w:rFonts w:cstheme="minorHAnsi"/>
                <w:color w:val="000000"/>
                <w:sz w:val="22"/>
                <w:szCs w:val="22"/>
              </w:rPr>
            </w:pPr>
            <w:r w:rsidRPr="00507D38">
              <w:rPr>
                <w:rFonts w:cstheme="minorHAnsi"/>
                <w:b/>
                <w:bCs/>
                <w:color w:val="000000"/>
                <w:sz w:val="22"/>
                <w:szCs w:val="22"/>
              </w:rPr>
              <w:t>Proposed Preliminary Policy Recommendations for inclusion in the Initial Report</w:t>
            </w:r>
          </w:p>
          <w:p w14:paraId="368E98FC" w14:textId="77777777" w:rsidR="008A3DE6" w:rsidRPr="00507D38" w:rsidRDefault="008A3DE6" w:rsidP="008A3DE6">
            <w:pPr>
              <w:rPr>
                <w:rFonts w:cstheme="minorHAnsi"/>
                <w:color w:val="000000"/>
                <w:sz w:val="22"/>
                <w:szCs w:val="22"/>
              </w:rPr>
            </w:pPr>
          </w:p>
          <w:p w14:paraId="7CABDF10" w14:textId="03E309AD" w:rsidR="008A3DE6" w:rsidRPr="00507D38" w:rsidRDefault="008A3DE6" w:rsidP="008A3DE6">
            <w:pPr>
              <w:rPr>
                <w:rFonts w:cstheme="minorHAnsi"/>
                <w:color w:val="000000"/>
                <w:sz w:val="22"/>
                <w:szCs w:val="22"/>
              </w:rPr>
            </w:pPr>
            <w:r w:rsidRPr="00507D38">
              <w:rPr>
                <w:rFonts w:cstheme="minorHAnsi"/>
                <w:color w:val="000000"/>
                <w:sz w:val="22"/>
                <w:szCs w:val="22"/>
              </w:rPr>
              <w:t>Although this is still in the attached document, the NCSG is proposing deletion of the third bullet, as well as the two sub-bullets under it. This section presumes that the EPDP Team will require registrars to distinguish between legal and natural persons, which the NCSG does not believe is going to be a consensus recommendation of the EPDP Team.</w:t>
            </w:r>
          </w:p>
        </w:tc>
      </w:tr>
      <w:tr w:rsidR="008A3DE6" w:rsidRPr="00507D38" w14:paraId="659D28A3" w14:textId="77777777" w:rsidTr="008A3DE6">
        <w:tc>
          <w:tcPr>
            <w:tcW w:w="9350" w:type="dxa"/>
          </w:tcPr>
          <w:p w14:paraId="2BF9F00F"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h)     </w:t>
            </w:r>
            <w:r w:rsidRPr="00507D38">
              <w:rPr>
                <w:rFonts w:asciiTheme="minorHAnsi" w:eastAsia="Calibri" w:hAnsiTheme="minorHAnsi" w:cstheme="minorHAnsi"/>
                <w:b/>
              </w:rPr>
              <w:t>Applicability of Data Processing Requirements – Draft responses</w:t>
            </w:r>
          </w:p>
          <w:p w14:paraId="2E7B36C8"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7F16D7F"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h3) Should Contracted Parties be allowed or required to treat legal and natural persons differently, and what mechanism is needed to ensure reliable determination of status? </w:t>
            </w:r>
          </w:p>
          <w:p w14:paraId="14028EFC"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13417F6"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We seem to have agreed that yes, contracted parties should be allowed to treat legal and natural persons differently but the mechanism by which this should or can be done should be further explored.</w:t>
            </w:r>
          </w:p>
          <w:p w14:paraId="06881DF9"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2EF2989F"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h4) Is there a legal basis for Contracted Parties to treat legal and natural persons differently?</w:t>
            </w:r>
          </w:p>
          <w:p w14:paraId="2BD5EA53"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88B2E78"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xml:space="preserve">We agreed that under GDPR there is a legal basis.  While the focus of this EPDP is GDPR compliance, we did note that not all jurisdictions have this same </w:t>
            </w:r>
            <w:proofErr w:type="gramStart"/>
            <w:r w:rsidRPr="00507D38">
              <w:rPr>
                <w:rFonts w:asciiTheme="minorHAnsi" w:eastAsia="Calibri" w:hAnsiTheme="minorHAnsi" w:cstheme="minorHAnsi"/>
              </w:rPr>
              <w:t>distinction</w:t>
            </w:r>
            <w:proofErr w:type="gramEnd"/>
            <w:r w:rsidRPr="00507D38">
              <w:rPr>
                <w:rFonts w:asciiTheme="minorHAnsi" w:eastAsia="Calibri" w:hAnsiTheme="minorHAnsi" w:cstheme="minorHAnsi"/>
              </w:rPr>
              <w:t xml:space="preserve"> so we have to make sure our policy recommendations are flexible enough to take this into account.</w:t>
            </w:r>
          </w:p>
          <w:p w14:paraId="1E8293E7"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1270C463"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h5) What are the risks associated with differentiation of registrant status as legal or natural persons across multiple jurisdictions? (See EDPB letter of 5 July 2018).</w:t>
            </w:r>
          </w:p>
          <w:p w14:paraId="0B2AB7AD"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00D513AF" w14:textId="77777777" w:rsidR="00507D38" w:rsidRPr="00507D38" w:rsidRDefault="00507D38" w:rsidP="00507D38">
            <w:pPr>
              <w:pStyle w:val="Normal1"/>
              <w:spacing w:line="240" w:lineRule="auto"/>
              <w:contextualSpacing w:val="0"/>
              <w:rPr>
                <w:ins w:id="40" w:author="Amr Elsadr" w:date="2018-10-29T09:42:00Z"/>
                <w:rFonts w:asciiTheme="minorHAnsi" w:eastAsia="Calibri" w:hAnsiTheme="minorHAnsi" w:cstheme="minorHAnsi"/>
              </w:rPr>
            </w:pPr>
            <w:ins w:id="41" w:author="Amr Elsadr" w:date="2018-10-29T19:39:00Z">
              <w:r w:rsidRPr="00507D38">
                <w:rPr>
                  <w:rFonts w:asciiTheme="minorHAnsi" w:eastAsia="Calibri" w:hAnsiTheme="minorHAnsi" w:cstheme="minorHAnsi"/>
                </w:rPr>
                <w:t>W</w:t>
              </w:r>
            </w:ins>
            <w:del w:id="42" w:author="Amr Elsadr" w:date="2018-10-29T19:39:00Z">
              <w:r w:rsidRPr="00507D38">
                <w:rPr>
                  <w:rFonts w:asciiTheme="minorHAnsi" w:eastAsia="Calibri" w:hAnsiTheme="minorHAnsi" w:cstheme="minorHAnsi"/>
                </w:rPr>
                <w:delText>The main risk seems to be that w</w:delText>
              </w:r>
            </w:del>
            <w:r w:rsidRPr="00507D38">
              <w:rPr>
                <w:rFonts w:asciiTheme="minorHAnsi" w:eastAsia="Calibri" w:hAnsiTheme="minorHAnsi" w:cstheme="minorHAnsi"/>
              </w:rPr>
              <w:t xml:space="preserve">hile legal persons don’t have the same protections under GDPR, natural persons employed by a legal person (and who may be designated as the registrant, admin or technical contact) are still natural persons with rights/protection under GDPR. </w:t>
            </w:r>
            <w:ins w:id="43" w:author="Amr Elsadr" w:date="2018-10-29T09:42:00Z">
              <w:r w:rsidRPr="00507D38">
                <w:rPr>
                  <w:rFonts w:asciiTheme="minorHAnsi" w:eastAsia="Calibri" w:hAnsiTheme="minorHAnsi" w:cstheme="minorHAnsi"/>
                </w:rPr>
                <w:t>Educational resources may prove helpful, as outlined in the preliminary policy recommendations below.</w:t>
              </w:r>
            </w:ins>
            <w:del w:id="44" w:author="Amr Elsadr" w:date="2018-10-29T09:42:00Z">
              <w:r w:rsidRPr="00507D38">
                <w:rPr>
                  <w:rFonts w:asciiTheme="minorHAnsi" w:eastAsia="Calibri" w:hAnsiTheme="minorHAnsi" w:cstheme="minorHAnsi"/>
                </w:rPr>
                <w:delText>This risk may be minimized through educational resources as recommended below. [further flesh out risks: James Bladel to provide proposed language]</w:delText>
              </w:r>
            </w:del>
          </w:p>
          <w:p w14:paraId="0960DE05" w14:textId="77777777" w:rsidR="00507D38" w:rsidRPr="00507D38" w:rsidRDefault="00507D38" w:rsidP="00507D38">
            <w:pPr>
              <w:pStyle w:val="Normal1"/>
              <w:spacing w:line="240" w:lineRule="auto"/>
              <w:contextualSpacing w:val="0"/>
              <w:rPr>
                <w:rFonts w:asciiTheme="minorHAnsi" w:eastAsia="Calibri" w:hAnsiTheme="minorHAnsi" w:cstheme="minorHAnsi"/>
              </w:rPr>
            </w:pPr>
          </w:p>
          <w:p w14:paraId="64321732" w14:textId="77777777" w:rsidR="00507D38" w:rsidRPr="00507D38" w:rsidRDefault="00507D38" w:rsidP="00507D38">
            <w:pPr>
              <w:pStyle w:val="Normal1"/>
              <w:spacing w:line="240" w:lineRule="auto"/>
              <w:contextualSpacing w:val="0"/>
              <w:rPr>
                <w:rFonts w:asciiTheme="minorHAnsi" w:eastAsia="Calibri" w:hAnsiTheme="minorHAnsi" w:cstheme="minorHAnsi"/>
              </w:rPr>
            </w:pPr>
            <w:ins w:id="45" w:author="Amr Elsadr" w:date="2018-10-29T09:42:00Z">
              <w:r w:rsidRPr="00507D38">
                <w:rPr>
                  <w:rFonts w:asciiTheme="minorHAnsi" w:eastAsia="Calibri" w:hAnsiTheme="minorHAnsi" w:cstheme="minorHAnsi"/>
                </w:rPr>
                <w:t>The main risk is that the difficulty of distinguishing between the two at the point of registration could lead to the unintended publication of the private data of many natural persons.  Additionally, while legal persons don’t have the same protections under GDPR, natural persons employed by a legal person (and who may be designated as the registrant, admin or technical contact) still have rights/protection under GDPR.</w:t>
              </w:r>
            </w:ins>
          </w:p>
          <w:p w14:paraId="70B0B30A"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5D16EEF"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b/>
              </w:rPr>
              <w:t>Proposed Preliminary Policy Recommendation for inclusion in the Initial Report</w:t>
            </w:r>
          </w:p>
          <w:p w14:paraId="0E999AAC"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35CF75C7"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lastRenderedPageBreak/>
              <w:t>The EPDP Team recommends that:</w:t>
            </w:r>
          </w:p>
          <w:p w14:paraId="72E61D18" w14:textId="77777777" w:rsidR="00507D38" w:rsidRPr="00507D38" w:rsidRDefault="00507D38" w:rsidP="00507D38">
            <w:pPr>
              <w:pStyle w:val="Normal1"/>
              <w:numPr>
                <w:ilvl w:val="0"/>
                <w:numId w:val="11"/>
              </w:numPr>
              <w:spacing w:line="240" w:lineRule="auto"/>
              <w:ind w:left="360"/>
              <w:contextualSpacing w:val="0"/>
              <w:rPr>
                <w:del w:id="46" w:author="Amr Elsadr" w:date="2018-10-29T09:45:00Z"/>
                <w:rFonts w:asciiTheme="minorHAnsi" w:hAnsiTheme="minorHAnsi" w:cstheme="minorHAnsi"/>
              </w:rPr>
            </w:pPr>
            <w:r w:rsidRPr="00507D38">
              <w:rPr>
                <w:rFonts w:asciiTheme="minorHAnsi" w:eastAsia="Calibri" w:hAnsiTheme="minorHAnsi" w:cstheme="minorHAnsi"/>
              </w:rPr>
              <w:t xml:space="preserve">The distinction between legal and natural persons </w:t>
            </w:r>
            <w:ins w:id="47" w:author="Amr Elsadr" w:date="2018-10-29T09:43:00Z">
              <w:r w:rsidRPr="00507D38">
                <w:rPr>
                  <w:rFonts w:asciiTheme="minorHAnsi" w:eastAsia="Calibri" w:hAnsiTheme="minorHAnsi" w:cstheme="minorHAnsi"/>
                </w:rPr>
                <w:t xml:space="preserve">exists under </w:t>
              </w:r>
            </w:ins>
            <w:del w:id="48" w:author="Amr Elsadr" w:date="2018-10-29T09:43:00Z">
              <w:r w:rsidRPr="00507D38">
                <w:rPr>
                  <w:rFonts w:asciiTheme="minorHAnsi" w:eastAsia="Calibri" w:hAnsiTheme="minorHAnsi" w:cstheme="minorHAnsi"/>
                </w:rPr>
                <w:delText>is useful and necessary for</w:delText>
              </w:r>
            </w:del>
            <w:r w:rsidRPr="00507D38">
              <w:rPr>
                <w:rFonts w:asciiTheme="minorHAnsi" w:eastAsia="Calibri" w:hAnsiTheme="minorHAnsi" w:cstheme="minorHAnsi"/>
              </w:rPr>
              <w:t xml:space="preserve"> GDPR and some other data protection laws</w:t>
            </w:r>
            <w:ins w:id="49" w:author="Amr Elsadr" w:date="2018-10-29T09:45:00Z">
              <w:r w:rsidRPr="00507D38">
                <w:rPr>
                  <w:rFonts w:asciiTheme="minorHAnsi" w:eastAsia="Calibri" w:hAnsiTheme="minorHAnsi" w:cstheme="minorHAnsi"/>
                </w:rPr>
                <w:t>, but</w:t>
              </w:r>
            </w:ins>
            <w:r w:rsidRPr="00507D38">
              <w:rPr>
                <w:rFonts w:asciiTheme="minorHAnsi" w:eastAsia="Calibri" w:hAnsiTheme="minorHAnsi" w:cstheme="minorHAnsi"/>
              </w:rPr>
              <w:t xml:space="preserve"> </w:t>
            </w:r>
            <w:del w:id="50" w:author="Amr Elsadr" w:date="2018-10-29T09:45:00Z">
              <w:r w:rsidRPr="00507D38">
                <w:rPr>
                  <w:rFonts w:asciiTheme="minorHAnsi" w:eastAsia="Calibri" w:hAnsiTheme="minorHAnsi" w:cstheme="minorHAnsi"/>
                </w:rPr>
                <w:delText>.</w:delText>
              </w:r>
            </w:del>
          </w:p>
          <w:p w14:paraId="00F71EB4" w14:textId="77777777" w:rsidR="00507D38" w:rsidRPr="00507D38" w:rsidRDefault="00507D38" w:rsidP="00507D38">
            <w:pPr>
              <w:pStyle w:val="Normal1"/>
              <w:numPr>
                <w:ilvl w:val="0"/>
                <w:numId w:val="11"/>
              </w:numPr>
              <w:spacing w:line="240" w:lineRule="auto"/>
              <w:ind w:left="360"/>
              <w:contextualSpacing w:val="0"/>
              <w:rPr>
                <w:rFonts w:asciiTheme="minorHAnsi" w:hAnsiTheme="minorHAnsi" w:cstheme="minorHAnsi"/>
              </w:rPr>
            </w:pPr>
            <w:del w:id="51" w:author="Amr Elsadr" w:date="2018-10-29T09:45:00Z">
              <w:r w:rsidRPr="00507D38">
                <w:rPr>
                  <w:rFonts w:asciiTheme="minorHAnsi" w:eastAsia="Calibri" w:hAnsiTheme="minorHAnsi" w:cstheme="minorHAnsi"/>
                </w:rPr>
                <w:delText xml:space="preserve">However, the EPDP Team recognizes that </w:delText>
              </w:r>
            </w:del>
            <w:r w:rsidRPr="00507D38">
              <w:rPr>
                <w:rFonts w:asciiTheme="minorHAnsi" w:eastAsia="Calibri" w:hAnsiTheme="minorHAnsi" w:cstheme="minorHAnsi"/>
              </w:rPr>
              <w:t>there are challenges in making this distinction in the context of domain name registrations as well as the potential implementation of any new functionality that would apply to pre-existing registrations. </w:t>
            </w:r>
          </w:p>
          <w:p w14:paraId="236191F8" w14:textId="77777777" w:rsidR="00507D38" w:rsidRPr="00507D38" w:rsidRDefault="00507D38" w:rsidP="00507D38">
            <w:pPr>
              <w:pStyle w:val="Normal1"/>
              <w:numPr>
                <w:ilvl w:val="0"/>
                <w:numId w:val="11"/>
              </w:numPr>
              <w:spacing w:line="240" w:lineRule="auto"/>
              <w:rPr>
                <w:rFonts w:asciiTheme="minorHAnsi" w:eastAsia="Calibri" w:hAnsiTheme="minorHAnsi" w:cstheme="minorHAnsi"/>
              </w:rPr>
            </w:pPr>
            <w:r w:rsidRPr="00507D38">
              <w:rPr>
                <w:rFonts w:asciiTheme="minorHAnsi" w:eastAsia="Calibri" w:hAnsiTheme="minorHAnsi" w:cstheme="minorHAnsi"/>
              </w:rPr>
              <w:t>Additionally, some jurisdictions may have other categories of protected groups or other requirements that would need to be factored in.</w:t>
            </w:r>
          </w:p>
          <w:p w14:paraId="7129A1DF" w14:textId="77777777" w:rsidR="00507D38" w:rsidRPr="00507D38" w:rsidRDefault="00507D38" w:rsidP="00507D38">
            <w:pPr>
              <w:pStyle w:val="Normal1"/>
              <w:numPr>
                <w:ilvl w:val="0"/>
                <w:numId w:val="12"/>
              </w:numPr>
              <w:spacing w:line="240" w:lineRule="auto"/>
              <w:ind w:left="360"/>
              <w:contextualSpacing w:val="0"/>
              <w:rPr>
                <w:rFonts w:asciiTheme="minorHAnsi" w:hAnsiTheme="minorHAnsi" w:cstheme="minorHAnsi"/>
              </w:rPr>
            </w:pPr>
            <w:r w:rsidRPr="00507D38">
              <w:rPr>
                <w:rFonts w:asciiTheme="minorHAnsi" w:eastAsia="Calibri" w:hAnsiTheme="minorHAnsi" w:cstheme="minorHAnsi"/>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6533D7FD"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10F203C4" w14:textId="77777777" w:rsidR="00507D38" w:rsidRPr="00507D38" w:rsidRDefault="00507D38" w:rsidP="00507D38">
            <w:pPr>
              <w:pStyle w:val="Normal1"/>
              <w:numPr>
                <w:ilvl w:val="0"/>
                <w:numId w:val="10"/>
              </w:numPr>
              <w:spacing w:line="240" w:lineRule="auto"/>
              <w:ind w:left="360"/>
              <w:contextualSpacing w:val="0"/>
              <w:rPr>
                <w:rFonts w:asciiTheme="minorHAnsi" w:hAnsiTheme="minorHAnsi" w:cstheme="minorHAnsi"/>
              </w:rPr>
            </w:pPr>
            <w:commentRangeStart w:id="52"/>
            <w:r w:rsidRPr="00507D38">
              <w:rPr>
                <w:rFonts w:asciiTheme="minorHAnsi" w:eastAsia="Calibri" w:hAnsiTheme="minorHAnsi" w:cstheme="minorHAnsi"/>
              </w:rPr>
              <w:t>Following the receipt of the research, the EPDP Team will explore in a timely manner how this distinction can be made in the context of domain name registrations in a satisfactory way.</w:t>
            </w:r>
          </w:p>
          <w:p w14:paraId="2F873D89" w14:textId="77777777" w:rsidR="00507D38" w:rsidRPr="00507D38" w:rsidRDefault="00507D38" w:rsidP="00507D38">
            <w:pPr>
              <w:pStyle w:val="Normal1"/>
              <w:numPr>
                <w:ilvl w:val="1"/>
                <w:numId w:val="10"/>
              </w:numPr>
              <w:spacing w:line="240" w:lineRule="auto"/>
              <w:ind w:left="720"/>
              <w:contextualSpacing w:val="0"/>
              <w:rPr>
                <w:rFonts w:asciiTheme="minorHAnsi" w:hAnsiTheme="minorHAnsi" w:cstheme="minorHAnsi"/>
              </w:rPr>
            </w:pPr>
            <w:r w:rsidRPr="00507D38">
              <w:rPr>
                <w:rFonts w:asciiTheme="minorHAnsi" w:eastAsia="Calibri" w:hAnsiTheme="minorHAnsi" w:cstheme="minorHAnsi"/>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7250879C" w14:textId="77777777" w:rsidR="00507D38" w:rsidRPr="00507D38" w:rsidRDefault="00507D38" w:rsidP="00507D38">
            <w:pPr>
              <w:pStyle w:val="Normal1"/>
              <w:numPr>
                <w:ilvl w:val="1"/>
                <w:numId w:val="10"/>
              </w:numPr>
              <w:spacing w:line="240" w:lineRule="auto"/>
              <w:ind w:left="720"/>
              <w:contextualSpacing w:val="0"/>
              <w:rPr>
                <w:rFonts w:asciiTheme="minorHAnsi" w:hAnsiTheme="minorHAnsi" w:cstheme="minorHAnsi"/>
              </w:rPr>
            </w:pPr>
            <w:r w:rsidRPr="00507D38">
              <w:rPr>
                <w:rFonts w:asciiTheme="minorHAnsi" w:eastAsia="Calibri" w:hAnsiTheme="minorHAnsi" w:cstheme="minorHAnsi"/>
              </w:rPr>
              <w:t>The EPDP Team should also consider which data fields (if any) need to be added to accomplish this distinction. This could require further liaising with the IETF if data fields in RDAP need to be added or changed.</w:t>
            </w:r>
            <w:commentRangeEnd w:id="52"/>
            <w:r w:rsidRPr="00507D38">
              <w:rPr>
                <w:rFonts w:asciiTheme="minorHAnsi" w:hAnsiTheme="minorHAnsi" w:cstheme="minorHAnsi"/>
              </w:rPr>
              <w:commentReference w:id="52"/>
            </w:r>
          </w:p>
          <w:p w14:paraId="166F5985"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61A081B7" w14:textId="733FC96B" w:rsidR="008A3DE6" w:rsidRPr="00507D38" w:rsidRDefault="00507D38" w:rsidP="00507D38">
            <w:pPr>
              <w:pStyle w:val="Normal1"/>
              <w:numPr>
                <w:ilvl w:val="0"/>
                <w:numId w:val="9"/>
              </w:numPr>
              <w:spacing w:line="240" w:lineRule="auto"/>
              <w:ind w:left="360"/>
              <w:contextualSpacing w:val="0"/>
              <w:rPr>
                <w:rFonts w:asciiTheme="minorHAnsi" w:hAnsiTheme="minorHAnsi" w:cstheme="minorHAnsi"/>
              </w:rPr>
            </w:pPr>
            <w:r w:rsidRPr="00507D38">
              <w:rPr>
                <w:rFonts w:asciiTheme="minorHAnsi" w:eastAsia="Calibri" w:hAnsiTheme="minorHAnsi" w:cstheme="minorHAnsi"/>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tc>
      </w:tr>
    </w:tbl>
    <w:p w14:paraId="339A5382" w14:textId="61E026CF" w:rsidR="008A3DE6" w:rsidRDefault="008A3DE6"/>
    <w:tbl>
      <w:tblPr>
        <w:tblStyle w:val="TableGrid"/>
        <w:tblW w:w="0" w:type="auto"/>
        <w:tblLook w:val="04A0" w:firstRow="1" w:lastRow="0" w:firstColumn="1" w:lastColumn="0" w:noHBand="0" w:noVBand="1"/>
      </w:tblPr>
      <w:tblGrid>
        <w:gridCol w:w="9350"/>
      </w:tblGrid>
      <w:tr w:rsidR="008A3DE6" w:rsidRPr="008A3DE6" w14:paraId="30F5BFE8" w14:textId="77777777" w:rsidTr="008A3DE6">
        <w:tc>
          <w:tcPr>
            <w:tcW w:w="9350" w:type="dxa"/>
            <w:shd w:val="clear" w:color="auto" w:fill="E7E6E6" w:themeFill="background2"/>
          </w:tcPr>
          <w:p w14:paraId="23989E18" w14:textId="62940252" w:rsidR="008A3DE6" w:rsidRPr="008A3DE6" w:rsidRDefault="008A3DE6">
            <w:pPr>
              <w:rPr>
                <w:rFonts w:cstheme="minorHAnsi"/>
                <w:b/>
                <w:sz w:val="22"/>
                <w:szCs w:val="22"/>
              </w:rPr>
            </w:pPr>
            <w:r w:rsidRPr="008A3DE6">
              <w:rPr>
                <w:rFonts w:cstheme="minorHAnsi"/>
                <w:b/>
                <w:sz w:val="22"/>
                <w:szCs w:val="22"/>
              </w:rPr>
              <w:t>IPC</w:t>
            </w:r>
          </w:p>
        </w:tc>
      </w:tr>
      <w:tr w:rsidR="008A3DE6" w:rsidRPr="008A3DE6" w14:paraId="6CF0121F" w14:textId="77777777" w:rsidTr="008A3DE6">
        <w:tc>
          <w:tcPr>
            <w:tcW w:w="9350" w:type="dxa"/>
          </w:tcPr>
          <w:p w14:paraId="632515B1" w14:textId="7777777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It is the IPC's position that it is important and feasible for contracted parties to differentiate between legal and natural persons. We believe that this distinction is supported and encouraged by the construct of the GDPR and that is valuable for all parties in the practical application of the law as it relates to WHOIS and the DNS framework and ecosystem.</w:t>
            </w:r>
          </w:p>
          <w:p w14:paraId="5ED0022B" w14:textId="402A081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The IPC submits the attached redline with further output and clarification for consideration by the team.  </w:t>
            </w:r>
          </w:p>
        </w:tc>
      </w:tr>
      <w:tr w:rsidR="008A3DE6" w:rsidRPr="008A3DE6" w14:paraId="3FD6DC1F" w14:textId="77777777" w:rsidTr="008A3DE6">
        <w:tc>
          <w:tcPr>
            <w:tcW w:w="9350" w:type="dxa"/>
          </w:tcPr>
          <w:p w14:paraId="67F838DD"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h)     </w:t>
            </w:r>
            <w:r w:rsidRPr="008A3DE6">
              <w:rPr>
                <w:rFonts w:asciiTheme="minorHAnsi" w:hAnsiTheme="minorHAnsi" w:cstheme="minorHAnsi"/>
                <w:b/>
                <w:bCs/>
                <w:color w:val="000000"/>
                <w:sz w:val="22"/>
                <w:szCs w:val="22"/>
              </w:rPr>
              <w:t>Applicability of Data Processing Requirements – Draft responses</w:t>
            </w:r>
          </w:p>
          <w:p w14:paraId="38AA668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7C2C26A0"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h3) Should Contracted Parties be allowed or required to treat legal and natural persons differently, and what mechanism is needed to ensure reliable determination of status? </w:t>
            </w:r>
          </w:p>
          <w:p w14:paraId="44D2C34F"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649B78DA"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We seem to have agreed that yes, contracted parties should be allowed to treat legal and natural persons differently but the mechanism by which this should or can be done should be further explored.</w:t>
            </w:r>
          </w:p>
          <w:p w14:paraId="3B78242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0B0FC7A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h4) Is there a legal basis for Contracted Parties to treat legal and natural persons differently?</w:t>
            </w:r>
          </w:p>
          <w:p w14:paraId="776B498D"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69F1980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lastRenderedPageBreak/>
              <w:t xml:space="preserve">We agreed that under GDPR there is a legal basis.  While the focus of this EPDP is GDPR compliance, we did note that not all jurisdictions have this same </w:t>
            </w:r>
            <w:proofErr w:type="gramStart"/>
            <w:r w:rsidRPr="008A3DE6">
              <w:rPr>
                <w:rFonts w:asciiTheme="minorHAnsi" w:hAnsiTheme="minorHAnsi" w:cstheme="minorHAnsi"/>
                <w:color w:val="000000"/>
                <w:sz w:val="22"/>
                <w:szCs w:val="22"/>
              </w:rPr>
              <w:t>distinction</w:t>
            </w:r>
            <w:proofErr w:type="gramEnd"/>
            <w:r w:rsidRPr="008A3DE6">
              <w:rPr>
                <w:rFonts w:asciiTheme="minorHAnsi" w:hAnsiTheme="minorHAnsi" w:cstheme="minorHAnsi"/>
                <w:color w:val="000000"/>
                <w:sz w:val="22"/>
                <w:szCs w:val="22"/>
              </w:rPr>
              <w:t xml:space="preserve"> so we have to make sure our policy recommendations are flexible enough to take this into account.</w:t>
            </w:r>
          </w:p>
          <w:p w14:paraId="74628E2C"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03F52653"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h5) What are the risks associated with differentiation of registrant status as legal or natural persons across multiple jurisdictions? (See EDPB letter of 5 July 2018).</w:t>
            </w:r>
          </w:p>
          <w:p w14:paraId="6ECBE6D6"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F6391C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xml:space="preserve">The main risk seems to be that while legal persons don’t have the same protections under GDPR, natural persons employed by a legal person (and who may be designated as the registrant, admin or technical contact) are still natural persons with rights/protection under GDPR. This risk may be minimized through </w:t>
            </w:r>
            <w:ins w:id="53" w:author="Plaut, Diane" w:date="2018-10-29T13:59:00Z">
              <w:r w:rsidRPr="008A3DE6">
                <w:rPr>
                  <w:rFonts w:asciiTheme="minorHAnsi" w:hAnsiTheme="minorHAnsi" w:cstheme="minorHAnsi"/>
                  <w:color w:val="000000"/>
                  <w:sz w:val="22"/>
                  <w:szCs w:val="22"/>
                </w:rPr>
                <w:t>clear explanatory language beneath each field when filling in data fields</w:t>
              </w:r>
            </w:ins>
            <w:del w:id="54" w:author="Plaut, Diane" w:date="2018-10-29T13:58:00Z">
              <w:r w:rsidRPr="008A3DE6" w:rsidDel="00634BC9">
                <w:rPr>
                  <w:rFonts w:asciiTheme="minorHAnsi" w:hAnsiTheme="minorHAnsi" w:cstheme="minorHAnsi"/>
                  <w:color w:val="000000"/>
                  <w:sz w:val="22"/>
                  <w:szCs w:val="22"/>
                </w:rPr>
                <w:delText>educational resources</w:delText>
              </w:r>
            </w:del>
            <w:r w:rsidRPr="008A3DE6">
              <w:rPr>
                <w:rFonts w:asciiTheme="minorHAnsi" w:hAnsiTheme="minorHAnsi" w:cstheme="minorHAnsi"/>
                <w:color w:val="000000"/>
                <w:sz w:val="22"/>
                <w:szCs w:val="22"/>
              </w:rPr>
              <w:t xml:space="preserve"> </w:t>
            </w:r>
            <w:ins w:id="55" w:author="Plaut, Diane" w:date="2018-10-29T14:01:00Z">
              <w:r w:rsidRPr="008A3DE6">
                <w:rPr>
                  <w:rFonts w:asciiTheme="minorHAnsi" w:hAnsiTheme="minorHAnsi" w:cstheme="minorHAnsi"/>
                  <w:color w:val="000000"/>
                  <w:sz w:val="22"/>
                  <w:szCs w:val="22"/>
                </w:rPr>
                <w:t xml:space="preserve">within domain name registrations, </w:t>
              </w:r>
            </w:ins>
            <w:r w:rsidRPr="008A3DE6">
              <w:rPr>
                <w:rFonts w:asciiTheme="minorHAnsi" w:hAnsiTheme="minorHAnsi" w:cstheme="minorHAnsi"/>
                <w:color w:val="000000"/>
                <w:sz w:val="22"/>
                <w:szCs w:val="22"/>
              </w:rPr>
              <w:t xml:space="preserve">as recommended below. [further flesh out risks: James </w:t>
            </w:r>
            <w:proofErr w:type="spellStart"/>
            <w:r w:rsidRPr="008A3DE6">
              <w:rPr>
                <w:rFonts w:asciiTheme="minorHAnsi" w:hAnsiTheme="minorHAnsi" w:cstheme="minorHAnsi"/>
                <w:color w:val="000000"/>
                <w:sz w:val="22"/>
                <w:szCs w:val="22"/>
              </w:rPr>
              <w:t>Bladel</w:t>
            </w:r>
            <w:proofErr w:type="spellEnd"/>
            <w:r w:rsidRPr="008A3DE6">
              <w:rPr>
                <w:rFonts w:asciiTheme="minorHAnsi" w:hAnsiTheme="minorHAnsi" w:cstheme="minorHAnsi"/>
                <w:color w:val="000000"/>
                <w:sz w:val="22"/>
                <w:szCs w:val="22"/>
              </w:rPr>
              <w:t xml:space="preserve"> to provide proposed language]</w:t>
            </w:r>
          </w:p>
          <w:p w14:paraId="49DC912E"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2DBA5E4A"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b/>
                <w:bCs/>
                <w:color w:val="000000"/>
                <w:sz w:val="22"/>
                <w:szCs w:val="22"/>
              </w:rPr>
              <w:t>Proposed Preliminary Policy Recommendation for inclusion in the Initial Report</w:t>
            </w:r>
          </w:p>
          <w:p w14:paraId="61C008C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F1DE0F0"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The EPDP Team recommends that:</w:t>
            </w:r>
          </w:p>
          <w:p w14:paraId="584B0977" w14:textId="77777777" w:rsidR="008A3DE6" w:rsidRPr="008A3DE6" w:rsidRDefault="008A3DE6" w:rsidP="008A3DE6">
            <w:pPr>
              <w:pStyle w:val="NormalWeb"/>
              <w:numPr>
                <w:ilvl w:val="0"/>
                <w:numId w:val="3"/>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distinction between legal and natural persons is </w:t>
            </w:r>
            <w:ins w:id="56" w:author="Plaut, Diane" w:date="2018-10-29T14:00:00Z">
              <w:r w:rsidRPr="008A3DE6">
                <w:rPr>
                  <w:rFonts w:asciiTheme="minorHAnsi" w:hAnsiTheme="minorHAnsi" w:cstheme="minorHAnsi"/>
                  <w:color w:val="000000"/>
                  <w:sz w:val="22"/>
                  <w:szCs w:val="22"/>
                </w:rPr>
                <w:t>important and relevant</w:t>
              </w:r>
            </w:ins>
            <w:del w:id="57" w:author="Plaut, Diane" w:date="2018-10-29T14:00:00Z">
              <w:r w:rsidRPr="008A3DE6" w:rsidDel="00634BC9">
                <w:rPr>
                  <w:rFonts w:asciiTheme="minorHAnsi" w:hAnsiTheme="minorHAnsi" w:cstheme="minorHAnsi"/>
                  <w:color w:val="000000"/>
                  <w:sz w:val="22"/>
                  <w:szCs w:val="22"/>
                </w:rPr>
                <w:delText>useful and necessary</w:delText>
              </w:r>
            </w:del>
            <w:r w:rsidRPr="008A3DE6">
              <w:rPr>
                <w:rFonts w:asciiTheme="minorHAnsi" w:hAnsiTheme="minorHAnsi" w:cstheme="minorHAnsi"/>
                <w:color w:val="000000"/>
                <w:sz w:val="22"/>
                <w:szCs w:val="22"/>
              </w:rPr>
              <w:t xml:space="preserve"> for GDPR and </w:t>
            </w:r>
            <w:del w:id="58" w:author="Plaut, Diane" w:date="2018-10-29T14:00:00Z">
              <w:r w:rsidRPr="008A3DE6" w:rsidDel="00634BC9">
                <w:rPr>
                  <w:rFonts w:asciiTheme="minorHAnsi" w:hAnsiTheme="minorHAnsi" w:cstheme="minorHAnsi"/>
                  <w:color w:val="000000"/>
                  <w:sz w:val="22"/>
                  <w:szCs w:val="22"/>
                </w:rPr>
                <w:delText xml:space="preserve">some </w:delText>
              </w:r>
            </w:del>
            <w:r w:rsidRPr="008A3DE6">
              <w:rPr>
                <w:rFonts w:asciiTheme="minorHAnsi" w:hAnsiTheme="minorHAnsi" w:cstheme="minorHAnsi"/>
                <w:color w:val="000000"/>
                <w:sz w:val="22"/>
                <w:szCs w:val="22"/>
              </w:rPr>
              <w:t xml:space="preserve">other </w:t>
            </w:r>
            <w:ins w:id="59" w:author="Plaut, Diane" w:date="2018-10-29T14:01:00Z">
              <w:r w:rsidRPr="008A3DE6">
                <w:rPr>
                  <w:rFonts w:asciiTheme="minorHAnsi" w:hAnsiTheme="minorHAnsi" w:cstheme="minorHAnsi"/>
                  <w:color w:val="000000"/>
                  <w:sz w:val="22"/>
                  <w:szCs w:val="22"/>
                </w:rPr>
                <w:t xml:space="preserve">country </w:t>
              </w:r>
            </w:ins>
            <w:r w:rsidRPr="008A3DE6">
              <w:rPr>
                <w:rFonts w:asciiTheme="minorHAnsi" w:hAnsiTheme="minorHAnsi" w:cstheme="minorHAnsi"/>
                <w:color w:val="000000"/>
                <w:sz w:val="22"/>
                <w:szCs w:val="22"/>
              </w:rPr>
              <w:t>data protection laws.</w:t>
            </w:r>
          </w:p>
          <w:p w14:paraId="51B6EF80" w14:textId="77777777" w:rsidR="008A3DE6" w:rsidRPr="008A3DE6" w:rsidRDefault="008A3DE6" w:rsidP="008A3DE6">
            <w:pPr>
              <w:pStyle w:val="NormalWeb"/>
              <w:numPr>
                <w:ilvl w:val="1"/>
                <w:numId w:val="4"/>
              </w:numPr>
              <w:spacing w:before="0" w:beforeAutospacing="0" w:after="0" w:afterAutospacing="0"/>
              <w:ind w:left="720"/>
              <w:textAlignment w:val="baseline"/>
              <w:rPr>
                <w:ins w:id="60" w:author="Plaut, Diane [2]" w:date="2018-10-30T20:08:00Z"/>
                <w:rFonts w:asciiTheme="minorHAnsi" w:hAnsiTheme="minorHAnsi" w:cstheme="minorHAnsi"/>
                <w:color w:val="000000"/>
                <w:sz w:val="22"/>
                <w:szCs w:val="22"/>
              </w:rPr>
            </w:pPr>
            <w:r w:rsidRPr="008A3DE6">
              <w:rPr>
                <w:rFonts w:asciiTheme="minorHAnsi" w:hAnsiTheme="minorHAnsi" w:cstheme="minorHAnsi"/>
                <w:color w:val="000000"/>
                <w:sz w:val="22"/>
                <w:szCs w:val="22"/>
              </w:rPr>
              <w:t>However, the EPDP Team recognizes that there are</w:t>
            </w:r>
            <w:ins w:id="61" w:author="Plaut, Diane" w:date="2018-10-29T14:02:00Z">
              <w:r w:rsidRPr="008A3DE6">
                <w:rPr>
                  <w:rFonts w:asciiTheme="minorHAnsi" w:hAnsiTheme="minorHAnsi" w:cstheme="minorHAnsi"/>
                  <w:color w:val="000000"/>
                  <w:sz w:val="22"/>
                  <w:szCs w:val="22"/>
                </w:rPr>
                <w:t xml:space="preserve"> liability concerns</w:t>
              </w:r>
            </w:ins>
            <w:del w:id="62" w:author="Plaut, Diane" w:date="2018-10-29T14:02:00Z">
              <w:r w:rsidRPr="008A3DE6" w:rsidDel="00634BC9">
                <w:rPr>
                  <w:rFonts w:asciiTheme="minorHAnsi" w:hAnsiTheme="minorHAnsi" w:cstheme="minorHAnsi"/>
                  <w:color w:val="000000"/>
                  <w:sz w:val="22"/>
                  <w:szCs w:val="22"/>
                </w:rPr>
                <w:delText xml:space="preserve"> challenges</w:delText>
              </w:r>
            </w:del>
            <w:r w:rsidRPr="008A3DE6">
              <w:rPr>
                <w:rFonts w:asciiTheme="minorHAnsi" w:hAnsiTheme="minorHAnsi" w:cstheme="minorHAnsi"/>
                <w:color w:val="000000"/>
                <w:sz w:val="22"/>
                <w:szCs w:val="22"/>
              </w:rPr>
              <w:t xml:space="preserve"> in making </w:t>
            </w:r>
            <w:ins w:id="63" w:author="Plaut, Diane" w:date="2018-10-29T14:02:00Z">
              <w:r w:rsidRPr="008A3DE6">
                <w:rPr>
                  <w:rFonts w:asciiTheme="minorHAnsi" w:hAnsiTheme="minorHAnsi" w:cstheme="minorHAnsi"/>
                  <w:color w:val="000000"/>
                  <w:sz w:val="22"/>
                  <w:szCs w:val="22"/>
                </w:rPr>
                <w:t>the determination between legal and natural persons</w:t>
              </w:r>
            </w:ins>
            <w:del w:id="64" w:author="Plaut, Diane" w:date="2018-10-29T14:02:00Z">
              <w:r w:rsidRPr="008A3DE6" w:rsidDel="00634BC9">
                <w:rPr>
                  <w:rFonts w:asciiTheme="minorHAnsi" w:hAnsiTheme="minorHAnsi" w:cstheme="minorHAnsi"/>
                  <w:color w:val="000000"/>
                  <w:sz w:val="22"/>
                  <w:szCs w:val="22"/>
                </w:rPr>
                <w:delText>this distinction</w:delText>
              </w:r>
            </w:del>
            <w:r w:rsidRPr="008A3DE6">
              <w:rPr>
                <w:rFonts w:asciiTheme="minorHAnsi" w:hAnsiTheme="minorHAnsi" w:cstheme="minorHAnsi"/>
                <w:color w:val="000000"/>
                <w:sz w:val="22"/>
                <w:szCs w:val="22"/>
              </w:rPr>
              <w:t xml:space="preserve"> in the context of domain name registrations</w:t>
            </w:r>
            <w:ins w:id="65" w:author="Plaut, Diane" w:date="2018-10-29T14:03:00Z">
              <w:r w:rsidRPr="008A3DE6">
                <w:rPr>
                  <w:rFonts w:asciiTheme="minorHAnsi" w:hAnsiTheme="minorHAnsi" w:cstheme="minorHAnsi"/>
                  <w:color w:val="000000"/>
                  <w:sz w:val="22"/>
                  <w:szCs w:val="22"/>
                </w:rPr>
                <w:t xml:space="preserve"> if either inaccurate information is provided by the registrant or if registration data includes both legal and natural person information</w:t>
              </w:r>
            </w:ins>
            <w:ins w:id="66" w:author="Plaut, Diane" w:date="2018-10-29T14:04:00Z">
              <w:r w:rsidRPr="008A3DE6">
                <w:rPr>
                  <w:rFonts w:asciiTheme="minorHAnsi" w:hAnsiTheme="minorHAnsi" w:cstheme="minorHAnsi"/>
                  <w:color w:val="000000"/>
                  <w:sz w:val="22"/>
                  <w:szCs w:val="22"/>
                </w:rPr>
                <w:t>. The Team is simultaneously within this EPDP making legal recommendations, as reque</w:t>
              </w:r>
            </w:ins>
            <w:ins w:id="67" w:author="Plaut, Diane" w:date="2018-10-29T14:05:00Z">
              <w:r w:rsidRPr="008A3DE6">
                <w:rPr>
                  <w:rFonts w:asciiTheme="minorHAnsi" w:hAnsiTheme="minorHAnsi" w:cstheme="minorHAnsi"/>
                  <w:color w:val="000000"/>
                  <w:sz w:val="22"/>
                  <w:szCs w:val="22"/>
                </w:rPr>
                <w:t>s</w:t>
              </w:r>
            </w:ins>
            <w:ins w:id="68" w:author="Plaut, Diane" w:date="2018-10-29T14:04:00Z">
              <w:r w:rsidRPr="008A3DE6">
                <w:rPr>
                  <w:rFonts w:asciiTheme="minorHAnsi" w:hAnsiTheme="minorHAnsi" w:cstheme="minorHAnsi"/>
                  <w:color w:val="000000"/>
                  <w:sz w:val="22"/>
                  <w:szCs w:val="22"/>
                </w:rPr>
                <w:t xml:space="preserve">ted by </w:t>
              </w:r>
            </w:ins>
            <w:ins w:id="69" w:author="Plaut, Diane" w:date="2018-10-29T14:05:00Z">
              <w:r w:rsidRPr="008A3DE6">
                <w:rPr>
                  <w:rFonts w:asciiTheme="minorHAnsi" w:hAnsiTheme="minorHAnsi" w:cstheme="minorHAnsi"/>
                  <w:color w:val="000000"/>
                  <w:sz w:val="22"/>
                  <w:szCs w:val="22"/>
                </w:rPr>
                <w:t xml:space="preserve">ICANN org, for contractual changes to the RAA which can provide for updated contractual provisions around the clear explanatory language for registrants in filling in data fields and the clear attestation provisions within the RAA in relation to providing accurate and up-to-date data. </w:t>
              </w:r>
            </w:ins>
          </w:p>
          <w:p w14:paraId="720ED019" w14:textId="77777777" w:rsidR="008A3DE6" w:rsidRPr="008A3DE6" w:rsidRDefault="008A3DE6" w:rsidP="008A3DE6">
            <w:pPr>
              <w:pStyle w:val="NormalWeb"/>
              <w:numPr>
                <w:ilvl w:val="1"/>
                <w:numId w:val="4"/>
              </w:numPr>
              <w:spacing w:before="0" w:beforeAutospacing="0" w:after="0" w:afterAutospacing="0"/>
              <w:ind w:left="720"/>
              <w:textAlignment w:val="baseline"/>
              <w:rPr>
                <w:ins w:id="70" w:author="Plaut, Diane" w:date="2018-10-29T14:08:00Z"/>
                <w:rFonts w:asciiTheme="minorHAnsi" w:hAnsiTheme="minorHAnsi" w:cstheme="minorHAnsi"/>
                <w:color w:val="000000"/>
                <w:sz w:val="22"/>
                <w:szCs w:val="22"/>
              </w:rPr>
            </w:pPr>
            <w:ins w:id="71" w:author="Plaut, Diane [2]" w:date="2018-10-30T20:08:00Z">
              <w:r w:rsidRPr="008A3DE6">
                <w:rPr>
                  <w:rFonts w:asciiTheme="minorHAnsi" w:hAnsiTheme="minorHAnsi" w:cstheme="minorHAnsi"/>
                  <w:color w:val="000000"/>
                  <w:sz w:val="22"/>
                  <w:szCs w:val="22"/>
                </w:rPr>
                <w:t>Moreover, based upon the recommendation from Thomas Rickert, there could be guidance from the E</w:t>
              </w:r>
            </w:ins>
            <w:ins w:id="72" w:author="Plaut, Diane [2]" w:date="2018-10-30T20:09:00Z">
              <w:r w:rsidRPr="008A3DE6">
                <w:rPr>
                  <w:rFonts w:asciiTheme="minorHAnsi" w:hAnsiTheme="minorHAnsi" w:cstheme="minorHAnsi"/>
                  <w:color w:val="000000"/>
                  <w:sz w:val="22"/>
                  <w:szCs w:val="22"/>
                </w:rPr>
                <w:t xml:space="preserve">DPB </w:t>
              </w:r>
            </w:ins>
            <w:ins w:id="73" w:author="Plaut, Diane [2]" w:date="2018-10-30T20:10:00Z">
              <w:r w:rsidRPr="008A3DE6">
                <w:rPr>
                  <w:rFonts w:asciiTheme="minorHAnsi" w:hAnsiTheme="minorHAnsi" w:cstheme="minorHAnsi"/>
                  <w:color w:val="000000"/>
                  <w:sz w:val="22"/>
                  <w:szCs w:val="22"/>
                </w:rPr>
                <w:t xml:space="preserve">(coming out of the proposed meeting with this body with members of this team) </w:t>
              </w:r>
            </w:ins>
            <w:ins w:id="74" w:author="Plaut, Diane [2]" w:date="2018-10-30T20:09:00Z">
              <w:r w:rsidRPr="008A3DE6">
                <w:rPr>
                  <w:rFonts w:asciiTheme="minorHAnsi" w:hAnsiTheme="minorHAnsi" w:cstheme="minorHAnsi"/>
                  <w:color w:val="000000"/>
                  <w:sz w:val="22"/>
                  <w:szCs w:val="22"/>
                </w:rPr>
                <w:t xml:space="preserve">which could allow for </w:t>
              </w:r>
            </w:ins>
            <w:ins w:id="75" w:author="Plaut, Diane [2]" w:date="2018-10-30T20:10:00Z">
              <w:r w:rsidRPr="008A3DE6">
                <w:rPr>
                  <w:rFonts w:asciiTheme="minorHAnsi" w:hAnsiTheme="minorHAnsi" w:cstheme="minorHAnsi"/>
                  <w:color w:val="000000"/>
                  <w:sz w:val="22"/>
                  <w:szCs w:val="22"/>
                </w:rPr>
                <w:t>greater legal certainty regarding th</w:t>
              </w:r>
            </w:ins>
            <w:ins w:id="76" w:author="Plaut, Diane [2]" w:date="2018-10-30T20:11:00Z">
              <w:r w:rsidRPr="008A3DE6">
                <w:rPr>
                  <w:rFonts w:asciiTheme="minorHAnsi" w:hAnsiTheme="minorHAnsi" w:cstheme="minorHAnsi"/>
                  <w:color w:val="000000"/>
                  <w:sz w:val="22"/>
                  <w:szCs w:val="22"/>
                </w:rPr>
                <w:t>e</w:t>
              </w:r>
            </w:ins>
            <w:ins w:id="77" w:author="Plaut, Diane [2]" w:date="2018-10-30T20:10:00Z">
              <w:r w:rsidRPr="008A3DE6">
                <w:rPr>
                  <w:rFonts w:asciiTheme="minorHAnsi" w:hAnsiTheme="minorHAnsi" w:cstheme="minorHAnsi"/>
                  <w:color w:val="000000"/>
                  <w:sz w:val="22"/>
                  <w:szCs w:val="22"/>
                </w:rPr>
                <w:t xml:space="preserve"> distinction</w:t>
              </w:r>
            </w:ins>
            <w:ins w:id="78" w:author="Plaut, Diane [2]" w:date="2018-10-30T20:11:00Z">
              <w:r w:rsidRPr="008A3DE6">
                <w:rPr>
                  <w:rFonts w:asciiTheme="minorHAnsi" w:hAnsiTheme="minorHAnsi" w:cstheme="minorHAnsi"/>
                  <w:color w:val="000000"/>
                  <w:sz w:val="22"/>
                  <w:szCs w:val="22"/>
                </w:rPr>
                <w:t xml:space="preserve"> between natural and legal persons which could support the CPs to </w:t>
              </w:r>
            </w:ins>
            <w:ins w:id="79" w:author="Plaut, Diane [2]" w:date="2018-10-30T20:15:00Z">
              <w:r w:rsidRPr="008A3DE6">
                <w:rPr>
                  <w:rFonts w:asciiTheme="minorHAnsi" w:hAnsiTheme="minorHAnsi" w:cstheme="minorHAnsi"/>
                  <w:color w:val="000000"/>
                  <w:sz w:val="22"/>
                  <w:szCs w:val="22"/>
                </w:rPr>
                <w:t xml:space="preserve">reasonably </w:t>
              </w:r>
            </w:ins>
            <w:ins w:id="80" w:author="Plaut, Diane [2]" w:date="2018-10-30T20:11:00Z">
              <w:r w:rsidRPr="008A3DE6">
                <w:rPr>
                  <w:rFonts w:asciiTheme="minorHAnsi" w:hAnsiTheme="minorHAnsi" w:cstheme="minorHAnsi"/>
                  <w:color w:val="000000"/>
                  <w:sz w:val="22"/>
                  <w:szCs w:val="22"/>
                </w:rPr>
                <w:t xml:space="preserve">rely upon a </w:t>
              </w:r>
            </w:ins>
            <w:ins w:id="81" w:author="Plaut, Diane [2]" w:date="2018-10-30T20:12:00Z">
              <w:r w:rsidRPr="008A3DE6">
                <w:rPr>
                  <w:rFonts w:asciiTheme="minorHAnsi" w:hAnsiTheme="minorHAnsi" w:cstheme="minorHAnsi"/>
                  <w:color w:val="000000"/>
                  <w:sz w:val="22"/>
                  <w:szCs w:val="22"/>
                </w:rPr>
                <w:t>“self-certification” system by registrants</w:t>
              </w:r>
            </w:ins>
            <w:ins w:id="82" w:author="Plaut, Diane [2]" w:date="2018-10-30T20:14:00Z">
              <w:r w:rsidRPr="008A3DE6">
                <w:rPr>
                  <w:rFonts w:asciiTheme="minorHAnsi" w:hAnsiTheme="minorHAnsi" w:cstheme="minorHAnsi"/>
                  <w:color w:val="000000"/>
                  <w:sz w:val="22"/>
                  <w:szCs w:val="22"/>
                </w:rPr>
                <w:t xml:space="preserve"> without undue legal exposure</w:t>
              </w:r>
            </w:ins>
            <w:ins w:id="83" w:author="Plaut, Diane [2]" w:date="2018-10-30T20:10:00Z">
              <w:r w:rsidRPr="008A3DE6">
                <w:rPr>
                  <w:rFonts w:asciiTheme="minorHAnsi" w:hAnsiTheme="minorHAnsi" w:cstheme="minorHAnsi"/>
                  <w:color w:val="000000"/>
                  <w:sz w:val="22"/>
                  <w:szCs w:val="22"/>
                </w:rPr>
                <w:t>.</w:t>
              </w:r>
            </w:ins>
          </w:p>
          <w:p w14:paraId="3D523DAD" w14:textId="77777777" w:rsidR="008A3DE6" w:rsidRPr="008A3DE6" w:rsidRDefault="008A3DE6" w:rsidP="008A3DE6">
            <w:pPr>
              <w:pStyle w:val="NormalWeb"/>
              <w:numPr>
                <w:ilvl w:val="1"/>
                <w:numId w:val="4"/>
              </w:numPr>
              <w:spacing w:before="0" w:beforeAutospacing="0" w:after="0" w:afterAutospacing="0"/>
              <w:ind w:left="720"/>
              <w:textAlignment w:val="baseline"/>
              <w:rPr>
                <w:rFonts w:asciiTheme="minorHAnsi" w:hAnsiTheme="minorHAnsi" w:cstheme="minorHAnsi"/>
                <w:color w:val="000000"/>
                <w:sz w:val="22"/>
                <w:szCs w:val="22"/>
              </w:rPr>
            </w:pPr>
            <w:ins w:id="84" w:author="Plaut, Diane" w:date="2018-10-29T14:08:00Z">
              <w:r w:rsidRPr="008A3DE6">
                <w:rPr>
                  <w:rFonts w:asciiTheme="minorHAnsi" w:hAnsiTheme="minorHAnsi" w:cstheme="minorHAnsi"/>
                  <w:color w:val="000000"/>
                  <w:sz w:val="22"/>
                  <w:szCs w:val="22"/>
                </w:rPr>
                <w:t xml:space="preserve">The EDPDP Team further agrees that: the distinction between legal and </w:t>
              </w:r>
            </w:ins>
            <w:ins w:id="85" w:author="Plaut, Diane" w:date="2018-10-29T14:25:00Z">
              <w:r w:rsidRPr="008A3DE6">
                <w:rPr>
                  <w:rFonts w:asciiTheme="minorHAnsi" w:hAnsiTheme="minorHAnsi" w:cstheme="minorHAnsi"/>
                  <w:color w:val="000000"/>
                  <w:sz w:val="22"/>
                  <w:szCs w:val="22"/>
                </w:rPr>
                <w:t>persons will need to be made only to domain name registrations going forwar</w:t>
              </w:r>
            </w:ins>
            <w:ins w:id="86" w:author="Plaut, Diane" w:date="2018-10-29T14:26:00Z">
              <w:r w:rsidRPr="008A3DE6">
                <w:rPr>
                  <w:rFonts w:asciiTheme="minorHAnsi" w:hAnsiTheme="minorHAnsi" w:cstheme="minorHAnsi"/>
                  <w:color w:val="000000"/>
                  <w:sz w:val="22"/>
                  <w:szCs w:val="22"/>
                </w:rPr>
                <w:t>d</w:t>
              </w:r>
            </w:ins>
            <w:ins w:id="87" w:author="Plaut, Diane" w:date="2018-10-29T14:25:00Z">
              <w:r w:rsidRPr="008A3DE6">
                <w:rPr>
                  <w:rFonts w:asciiTheme="minorHAnsi" w:hAnsiTheme="minorHAnsi" w:cstheme="minorHAnsi"/>
                  <w:color w:val="000000"/>
                  <w:sz w:val="22"/>
                  <w:szCs w:val="22"/>
                </w:rPr>
                <w:t xml:space="preserve"> upon </w:t>
              </w:r>
            </w:ins>
            <w:ins w:id="88" w:author="Plaut, Diane" w:date="2018-10-29T15:45:00Z">
              <w:r w:rsidRPr="008A3DE6">
                <w:rPr>
                  <w:rFonts w:asciiTheme="minorHAnsi" w:hAnsiTheme="minorHAnsi" w:cstheme="minorHAnsi"/>
                  <w:color w:val="000000"/>
                  <w:sz w:val="22"/>
                  <w:szCs w:val="22"/>
                </w:rPr>
                <w:t xml:space="preserve">the implementation of the Consensus Policy and </w:t>
              </w:r>
            </w:ins>
            <w:ins w:id="89" w:author="Plaut, Diane" w:date="2018-10-29T15:46:00Z">
              <w:r w:rsidRPr="008A3DE6">
                <w:rPr>
                  <w:rFonts w:asciiTheme="minorHAnsi" w:hAnsiTheme="minorHAnsi" w:cstheme="minorHAnsi"/>
                  <w:color w:val="000000"/>
                  <w:sz w:val="22"/>
                  <w:szCs w:val="22"/>
                </w:rPr>
                <w:t xml:space="preserve">then the </w:t>
              </w:r>
            </w:ins>
            <w:del w:id="90" w:author="Plaut, Diane" w:date="2018-10-29T14:04:00Z">
              <w:r w:rsidRPr="008A3DE6" w:rsidDel="00634BC9">
                <w:rPr>
                  <w:rFonts w:asciiTheme="minorHAnsi" w:hAnsiTheme="minorHAnsi" w:cstheme="minorHAnsi"/>
                  <w:color w:val="000000"/>
                  <w:sz w:val="22"/>
                  <w:szCs w:val="22"/>
                </w:rPr>
                <w:delText xml:space="preserve"> as well as the </w:delText>
              </w:r>
            </w:del>
            <w:r w:rsidRPr="008A3DE6">
              <w:rPr>
                <w:rFonts w:asciiTheme="minorHAnsi" w:hAnsiTheme="minorHAnsi" w:cstheme="minorHAnsi"/>
                <w:color w:val="000000"/>
                <w:sz w:val="22"/>
                <w:szCs w:val="22"/>
              </w:rPr>
              <w:t xml:space="preserve">potential implementation of any new functionality that would apply </w:t>
            </w:r>
            <w:ins w:id="91" w:author="Plaut, Diane" w:date="2018-10-29T15:46:00Z">
              <w:r w:rsidRPr="008A3DE6">
                <w:rPr>
                  <w:rFonts w:asciiTheme="minorHAnsi" w:hAnsiTheme="minorHAnsi" w:cstheme="minorHAnsi"/>
                  <w:color w:val="000000"/>
                  <w:sz w:val="22"/>
                  <w:szCs w:val="22"/>
                </w:rPr>
                <w:t xml:space="preserve">and/or provide the support needed </w:t>
              </w:r>
            </w:ins>
            <w:r w:rsidRPr="008A3DE6">
              <w:rPr>
                <w:rFonts w:asciiTheme="minorHAnsi" w:hAnsiTheme="minorHAnsi" w:cstheme="minorHAnsi"/>
                <w:color w:val="000000"/>
                <w:sz w:val="22"/>
                <w:szCs w:val="22"/>
              </w:rPr>
              <w:t xml:space="preserve">to </w:t>
            </w:r>
            <w:ins w:id="92" w:author="Plaut, Diane" w:date="2018-10-29T15:46:00Z">
              <w:r w:rsidRPr="008A3DE6">
                <w:rPr>
                  <w:rFonts w:asciiTheme="minorHAnsi" w:hAnsiTheme="minorHAnsi" w:cstheme="minorHAnsi"/>
                  <w:color w:val="000000"/>
                  <w:sz w:val="22"/>
                  <w:szCs w:val="22"/>
                </w:rPr>
                <w:t xml:space="preserve">address this distinction within </w:t>
              </w:r>
            </w:ins>
            <w:r w:rsidRPr="008A3DE6">
              <w:rPr>
                <w:rFonts w:asciiTheme="minorHAnsi" w:hAnsiTheme="minorHAnsi" w:cstheme="minorHAnsi"/>
                <w:color w:val="000000"/>
                <w:sz w:val="22"/>
                <w:szCs w:val="22"/>
              </w:rPr>
              <w:t>pre-existing registrations. </w:t>
            </w:r>
          </w:p>
          <w:p w14:paraId="1714F396" w14:textId="77777777" w:rsidR="008A3DE6" w:rsidRPr="008A3DE6" w:rsidRDefault="008A3DE6" w:rsidP="008A3DE6">
            <w:pPr>
              <w:pStyle w:val="NormalWeb"/>
              <w:numPr>
                <w:ilvl w:val="1"/>
                <w:numId w:val="4"/>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Additionally, other jurisdictions may have other categories of protected groups or other requirements that would need to be factored in</w:t>
            </w:r>
            <w:ins w:id="93" w:author="Plaut, Diane" w:date="2018-10-29T15:47:00Z">
              <w:r w:rsidRPr="008A3DE6">
                <w:rPr>
                  <w:rFonts w:asciiTheme="minorHAnsi" w:hAnsiTheme="minorHAnsi" w:cstheme="minorHAnsi"/>
                  <w:color w:val="000000"/>
                  <w:sz w:val="22"/>
                  <w:szCs w:val="22"/>
                </w:rPr>
                <w:t xml:space="preserve"> within the above-described two stage implementation structure</w:t>
              </w:r>
            </w:ins>
            <w:r w:rsidRPr="008A3DE6">
              <w:rPr>
                <w:rFonts w:asciiTheme="minorHAnsi" w:hAnsiTheme="minorHAnsi" w:cstheme="minorHAnsi"/>
                <w:color w:val="000000"/>
                <w:sz w:val="22"/>
                <w:szCs w:val="22"/>
              </w:rPr>
              <w:t>.</w:t>
            </w:r>
          </w:p>
          <w:p w14:paraId="19D17DE3" w14:textId="77777777" w:rsidR="008A3DE6" w:rsidRPr="008A3DE6" w:rsidRDefault="008A3DE6" w:rsidP="008A3DE6">
            <w:pPr>
              <w:pStyle w:val="NormalWeb"/>
              <w:numPr>
                <w:ilvl w:val="0"/>
                <w:numId w:val="5"/>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14D73061"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E67B495" w14:textId="77777777" w:rsidR="008A3DE6" w:rsidRPr="008A3DE6" w:rsidRDefault="008A3DE6" w:rsidP="008A3DE6">
            <w:pPr>
              <w:pStyle w:val="NormalWeb"/>
              <w:numPr>
                <w:ilvl w:val="0"/>
                <w:numId w:val="6"/>
              </w:numPr>
              <w:spacing w:before="0" w:beforeAutospacing="0" w:after="0" w:afterAutospacing="0"/>
              <w:ind w:left="360"/>
              <w:textAlignment w:val="baseline"/>
              <w:rPr>
                <w:rFonts w:asciiTheme="minorHAnsi" w:hAnsiTheme="minorHAnsi" w:cstheme="minorHAnsi"/>
                <w:color w:val="000000"/>
                <w:sz w:val="22"/>
                <w:szCs w:val="22"/>
              </w:rPr>
            </w:pPr>
            <w:ins w:id="94" w:author="Plaut, Diane" w:date="2018-10-29T15:48:00Z">
              <w:r w:rsidRPr="008A3DE6">
                <w:rPr>
                  <w:rFonts w:asciiTheme="minorHAnsi" w:hAnsiTheme="minorHAnsi" w:cstheme="minorHAnsi"/>
                  <w:color w:val="000000"/>
                  <w:sz w:val="22"/>
                  <w:szCs w:val="22"/>
                </w:rPr>
                <w:t>With research inputs including the above ccTLD information</w:t>
              </w:r>
            </w:ins>
            <w:del w:id="95" w:author="Plaut, Diane" w:date="2018-10-29T15:48:00Z">
              <w:r w:rsidRPr="008A3DE6" w:rsidDel="00D003BC">
                <w:rPr>
                  <w:rFonts w:asciiTheme="minorHAnsi" w:hAnsiTheme="minorHAnsi" w:cstheme="minorHAnsi"/>
                  <w:color w:val="000000"/>
                  <w:sz w:val="22"/>
                  <w:szCs w:val="22"/>
                </w:rPr>
                <w:delText>Following the receipt of the research</w:delText>
              </w:r>
            </w:del>
            <w:r w:rsidRPr="008A3DE6">
              <w:rPr>
                <w:rFonts w:asciiTheme="minorHAnsi" w:hAnsiTheme="minorHAnsi" w:cstheme="minorHAnsi"/>
                <w:color w:val="000000"/>
                <w:sz w:val="22"/>
                <w:szCs w:val="22"/>
              </w:rPr>
              <w:t xml:space="preserve">, the EPDP Team will </w:t>
            </w:r>
            <w:ins w:id="96" w:author="Plaut, Diane" w:date="2018-10-29T15:49:00Z">
              <w:r w:rsidRPr="008A3DE6">
                <w:rPr>
                  <w:rFonts w:asciiTheme="minorHAnsi" w:hAnsiTheme="minorHAnsi" w:cstheme="minorHAnsi"/>
                  <w:color w:val="000000"/>
                  <w:sz w:val="22"/>
                  <w:szCs w:val="22"/>
                </w:rPr>
                <w:t xml:space="preserve">provide recommendations regarding how this </w:t>
              </w:r>
            </w:ins>
            <w:del w:id="97" w:author="Plaut, Diane" w:date="2018-10-29T15:49:00Z">
              <w:r w:rsidRPr="008A3DE6" w:rsidDel="00D003BC">
                <w:rPr>
                  <w:rFonts w:asciiTheme="minorHAnsi" w:hAnsiTheme="minorHAnsi" w:cstheme="minorHAnsi"/>
                  <w:color w:val="000000"/>
                  <w:sz w:val="22"/>
                  <w:szCs w:val="22"/>
                </w:rPr>
                <w:delText xml:space="preserve">explore in a timely manner how this </w:delText>
              </w:r>
            </w:del>
            <w:r w:rsidRPr="008A3DE6">
              <w:rPr>
                <w:rFonts w:asciiTheme="minorHAnsi" w:hAnsiTheme="minorHAnsi" w:cstheme="minorHAnsi"/>
                <w:color w:val="000000"/>
                <w:sz w:val="22"/>
                <w:szCs w:val="22"/>
              </w:rPr>
              <w:t xml:space="preserve">distinction can be made in the context of domain name registrations </w:t>
            </w:r>
            <w:ins w:id="98" w:author="Plaut, Diane" w:date="2018-10-29T15:49:00Z">
              <w:r w:rsidRPr="008A3DE6">
                <w:rPr>
                  <w:rFonts w:asciiTheme="minorHAnsi" w:hAnsiTheme="minorHAnsi" w:cstheme="minorHAnsi"/>
                  <w:color w:val="000000"/>
                  <w:sz w:val="22"/>
                  <w:szCs w:val="22"/>
                </w:rPr>
                <w:t>within the two-stage framework</w:t>
              </w:r>
            </w:ins>
            <w:del w:id="99" w:author="Plaut, Diane" w:date="2018-10-29T15:49:00Z">
              <w:r w:rsidRPr="008A3DE6" w:rsidDel="00D003BC">
                <w:rPr>
                  <w:rFonts w:asciiTheme="minorHAnsi" w:hAnsiTheme="minorHAnsi" w:cstheme="minorHAnsi"/>
                  <w:color w:val="000000"/>
                  <w:sz w:val="22"/>
                  <w:szCs w:val="22"/>
                </w:rPr>
                <w:delText>in a satisfactory way</w:delText>
              </w:r>
            </w:del>
            <w:r w:rsidRPr="008A3DE6">
              <w:rPr>
                <w:rFonts w:asciiTheme="minorHAnsi" w:hAnsiTheme="minorHAnsi" w:cstheme="minorHAnsi"/>
                <w:color w:val="000000"/>
                <w:sz w:val="22"/>
                <w:szCs w:val="22"/>
              </w:rPr>
              <w:t>.</w:t>
            </w:r>
          </w:p>
          <w:p w14:paraId="0B878C94" w14:textId="77777777" w:rsidR="008A3DE6" w:rsidRPr="008A3DE6" w:rsidRDefault="008A3DE6" w:rsidP="008A3DE6">
            <w:pPr>
              <w:pStyle w:val="NormalWeb"/>
              <w:numPr>
                <w:ilvl w:val="1"/>
                <w:numId w:val="7"/>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lastRenderedPageBreak/>
              <w:t xml:space="preserve">The EPDP Team </w:t>
            </w:r>
            <w:ins w:id="100" w:author="Plaut, Diane" w:date="2018-10-29T15:50:00Z">
              <w:r w:rsidRPr="008A3DE6">
                <w:rPr>
                  <w:rFonts w:asciiTheme="minorHAnsi" w:hAnsiTheme="minorHAnsi" w:cstheme="minorHAnsi"/>
                  <w:color w:val="000000"/>
                  <w:sz w:val="22"/>
                  <w:szCs w:val="22"/>
                </w:rPr>
                <w:t xml:space="preserve">will base its recommendations taking into account the </w:t>
              </w:r>
            </w:ins>
            <w:del w:id="101" w:author="Plaut, Diane" w:date="2018-10-29T15:50:00Z">
              <w:r w:rsidRPr="008A3DE6" w:rsidDel="00D003BC">
                <w:rPr>
                  <w:rFonts w:asciiTheme="minorHAnsi" w:hAnsiTheme="minorHAnsi" w:cstheme="minorHAnsi"/>
                  <w:color w:val="000000"/>
                  <w:sz w:val="22"/>
                  <w:szCs w:val="22"/>
                </w:rPr>
                <w:delText xml:space="preserve">should also consider the </w:delText>
              </w:r>
            </w:del>
            <w:r w:rsidRPr="008A3DE6">
              <w:rPr>
                <w:rFonts w:asciiTheme="minorHAnsi" w:hAnsiTheme="minorHAnsi" w:cstheme="minorHAnsi"/>
                <w:color w:val="000000"/>
                <w:sz w:val="22"/>
                <w:szCs w:val="22"/>
              </w:rPr>
              <w:t>timeline</w:t>
            </w:r>
            <w:ins w:id="102" w:author="Plaut, Diane" w:date="2018-10-29T15:50:00Z">
              <w:r w:rsidRPr="008A3DE6">
                <w:rPr>
                  <w:rFonts w:asciiTheme="minorHAnsi" w:hAnsiTheme="minorHAnsi" w:cstheme="minorHAnsi"/>
                  <w:color w:val="000000"/>
                  <w:sz w:val="22"/>
                  <w:szCs w:val="22"/>
                </w:rPr>
                <w:t>s</w:t>
              </w:r>
            </w:ins>
            <w:r w:rsidRPr="008A3DE6">
              <w:rPr>
                <w:rFonts w:asciiTheme="minorHAnsi" w:hAnsiTheme="minorHAnsi" w:cstheme="minorHAnsi"/>
                <w:color w:val="000000"/>
                <w:sz w:val="22"/>
                <w:szCs w:val="22"/>
              </w:rPr>
              <w:t xml:space="preserve"> needed </w:t>
            </w:r>
            <w:ins w:id="103" w:author="Plaut, Diane" w:date="2018-10-29T15:50:00Z">
              <w:r w:rsidRPr="008A3DE6">
                <w:rPr>
                  <w:rFonts w:asciiTheme="minorHAnsi" w:hAnsiTheme="minorHAnsi" w:cstheme="minorHAnsi"/>
                  <w:color w:val="000000"/>
                  <w:sz w:val="22"/>
                  <w:szCs w:val="22"/>
                </w:rPr>
                <w:t xml:space="preserve">for </w:t>
              </w:r>
            </w:ins>
            <w:del w:id="104" w:author="Plaut, Diane" w:date="2018-10-29T15:50:00Z">
              <w:r w:rsidRPr="008A3DE6" w:rsidDel="00D003BC">
                <w:rPr>
                  <w:rFonts w:asciiTheme="minorHAnsi" w:hAnsiTheme="minorHAnsi" w:cstheme="minorHAnsi"/>
                  <w:color w:val="000000"/>
                  <w:sz w:val="22"/>
                  <w:szCs w:val="22"/>
                </w:rPr>
                <w:delText xml:space="preserve">to </w:delText>
              </w:r>
            </w:del>
            <w:r w:rsidRPr="008A3DE6">
              <w:rPr>
                <w:rFonts w:asciiTheme="minorHAnsi" w:hAnsiTheme="minorHAnsi" w:cstheme="minorHAnsi"/>
                <w:color w:val="000000"/>
                <w:sz w:val="22"/>
                <w:szCs w:val="22"/>
              </w:rPr>
              <w:t>implement</w:t>
            </w:r>
            <w:ins w:id="105" w:author="Plaut, Diane" w:date="2018-10-29T15:51:00Z">
              <w:r w:rsidRPr="008A3DE6">
                <w:rPr>
                  <w:rFonts w:asciiTheme="minorHAnsi" w:hAnsiTheme="minorHAnsi" w:cstheme="minorHAnsi"/>
                  <w:color w:val="000000"/>
                  <w:sz w:val="22"/>
                  <w:szCs w:val="22"/>
                </w:rPr>
                <w:t>ation;</w:t>
              </w:r>
            </w:ins>
            <w:del w:id="106" w:author="Plaut, Diane" w:date="2018-10-29T15:51:00Z">
              <w:r w:rsidRPr="008A3DE6" w:rsidDel="00D003BC">
                <w:rPr>
                  <w:rFonts w:asciiTheme="minorHAnsi" w:hAnsiTheme="minorHAnsi" w:cstheme="minorHAnsi"/>
                  <w:color w:val="000000"/>
                  <w:sz w:val="22"/>
                  <w:szCs w:val="22"/>
                </w:rPr>
                <w:delText>,</w:delText>
              </w:r>
            </w:del>
            <w:r w:rsidRPr="008A3DE6">
              <w:rPr>
                <w:rFonts w:asciiTheme="minorHAnsi" w:hAnsiTheme="minorHAnsi" w:cstheme="minorHAnsi"/>
                <w:color w:val="000000"/>
                <w:sz w:val="22"/>
                <w:szCs w:val="22"/>
              </w:rPr>
              <w:t xml:space="preserve"> which </w:t>
            </w:r>
            <w:ins w:id="107" w:author="Plaut, Diane" w:date="2018-10-29T15:51:00Z">
              <w:r w:rsidRPr="008A3DE6">
                <w:rPr>
                  <w:rFonts w:asciiTheme="minorHAnsi" w:hAnsiTheme="minorHAnsi" w:cstheme="minorHAnsi"/>
                  <w:color w:val="000000"/>
                  <w:sz w:val="22"/>
                  <w:szCs w:val="22"/>
                </w:rPr>
                <w:t>w</w:t>
              </w:r>
            </w:ins>
            <w:del w:id="108" w:author="Plaut, Diane" w:date="2018-10-29T15:51:00Z">
              <w:r w:rsidRPr="008A3DE6" w:rsidDel="00D003BC">
                <w:rPr>
                  <w:rFonts w:asciiTheme="minorHAnsi" w:hAnsiTheme="minorHAnsi" w:cstheme="minorHAnsi"/>
                  <w:color w:val="000000"/>
                  <w:sz w:val="22"/>
                  <w:szCs w:val="22"/>
                </w:rPr>
                <w:delText>c</w:delText>
              </w:r>
            </w:del>
            <w:r w:rsidRPr="008A3DE6">
              <w:rPr>
                <w:rFonts w:asciiTheme="minorHAnsi" w:hAnsiTheme="minorHAnsi" w:cstheme="minorHAnsi"/>
                <w:color w:val="000000"/>
                <w:sz w:val="22"/>
                <w:szCs w:val="22"/>
              </w:rPr>
              <w:t xml:space="preserve">ould follow </w:t>
            </w:r>
            <w:ins w:id="109" w:author="Plaut, Diane" w:date="2018-10-29T15:51:00Z">
              <w:r w:rsidRPr="008A3DE6">
                <w:rPr>
                  <w:rFonts w:asciiTheme="minorHAnsi" w:hAnsiTheme="minorHAnsi" w:cstheme="minorHAnsi"/>
                  <w:color w:val="000000"/>
                  <w:sz w:val="22"/>
                  <w:szCs w:val="22"/>
                </w:rPr>
                <w:t xml:space="preserve">the above-described </w:t>
              </w:r>
            </w:ins>
            <w:del w:id="110" w:author="Plaut, Diane" w:date="2018-10-29T15:51:00Z">
              <w:r w:rsidRPr="008A3DE6" w:rsidDel="00D003BC">
                <w:rPr>
                  <w:rFonts w:asciiTheme="minorHAnsi" w:hAnsiTheme="minorHAnsi" w:cstheme="minorHAnsi"/>
                  <w:color w:val="000000"/>
                  <w:sz w:val="22"/>
                  <w:szCs w:val="22"/>
                </w:rPr>
                <w:delText xml:space="preserve">a </w:delText>
              </w:r>
            </w:del>
            <w:r w:rsidRPr="008A3DE6">
              <w:rPr>
                <w:rFonts w:asciiTheme="minorHAnsi" w:hAnsiTheme="minorHAnsi" w:cstheme="minorHAnsi"/>
                <w:color w:val="000000"/>
                <w:sz w:val="22"/>
                <w:szCs w:val="22"/>
              </w:rPr>
              <w:t>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6A28B213" w14:textId="77777777" w:rsidR="008A3DE6" w:rsidRPr="008A3DE6" w:rsidRDefault="008A3DE6" w:rsidP="008A3DE6">
            <w:pPr>
              <w:pStyle w:val="NormalWeb"/>
              <w:numPr>
                <w:ilvl w:val="1"/>
                <w:numId w:val="7"/>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EPDP Team </w:t>
            </w:r>
            <w:ins w:id="111" w:author="Plaut, Diane" w:date="2018-10-29T15:51:00Z">
              <w:r w:rsidRPr="008A3DE6">
                <w:rPr>
                  <w:rFonts w:asciiTheme="minorHAnsi" w:hAnsiTheme="minorHAnsi" w:cstheme="minorHAnsi"/>
                  <w:color w:val="000000"/>
                  <w:sz w:val="22"/>
                  <w:szCs w:val="22"/>
                </w:rPr>
                <w:t xml:space="preserve">will also make recommendations about </w:t>
              </w:r>
            </w:ins>
            <w:del w:id="112" w:author="Plaut, Diane" w:date="2018-10-29T15:51:00Z">
              <w:r w:rsidRPr="008A3DE6" w:rsidDel="00D003BC">
                <w:rPr>
                  <w:rFonts w:asciiTheme="minorHAnsi" w:hAnsiTheme="minorHAnsi" w:cstheme="minorHAnsi"/>
                  <w:color w:val="000000"/>
                  <w:sz w:val="22"/>
                  <w:szCs w:val="22"/>
                </w:rPr>
                <w:delText xml:space="preserve">should also consider </w:delText>
              </w:r>
            </w:del>
            <w:r w:rsidRPr="008A3DE6">
              <w:rPr>
                <w:rFonts w:asciiTheme="minorHAnsi" w:hAnsiTheme="minorHAnsi" w:cstheme="minorHAnsi"/>
                <w:color w:val="000000"/>
                <w:sz w:val="22"/>
                <w:szCs w:val="22"/>
              </w:rPr>
              <w:t>which data fields (if any) need to be added to accomplish this distinction. This could require further liaising with the IETF if data fields in RDAP need to be added or changed.</w:t>
            </w:r>
          </w:p>
          <w:p w14:paraId="3644787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50F41BAF" w14:textId="130003B2" w:rsidR="008A3DE6" w:rsidRPr="008A3DE6" w:rsidRDefault="008A3DE6" w:rsidP="008A3DE6">
            <w:pPr>
              <w:pStyle w:val="NormalWeb"/>
              <w:numPr>
                <w:ilvl w:val="0"/>
                <w:numId w:val="8"/>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EPDP Team recommends that, </w:t>
            </w:r>
            <w:ins w:id="113" w:author="Plaut, Diane" w:date="2018-10-29T15:52:00Z">
              <w:r w:rsidRPr="008A3DE6">
                <w:rPr>
                  <w:rFonts w:asciiTheme="minorHAnsi" w:hAnsiTheme="minorHAnsi" w:cstheme="minorHAnsi"/>
                  <w:color w:val="000000"/>
                  <w:sz w:val="22"/>
                  <w:szCs w:val="22"/>
                </w:rPr>
                <w:t xml:space="preserve">particularly until the Consensus Policy is put into effect, to address immediate needs, that </w:t>
              </w:r>
            </w:ins>
            <w:del w:id="114" w:author="Plaut, Diane" w:date="2018-10-29T15:52:00Z">
              <w:r w:rsidRPr="008A3DE6" w:rsidDel="00D003BC">
                <w:rPr>
                  <w:rFonts w:asciiTheme="minorHAnsi" w:hAnsiTheme="minorHAnsi" w:cstheme="minorHAnsi"/>
                  <w:color w:val="000000"/>
                  <w:sz w:val="22"/>
                  <w:szCs w:val="22"/>
                </w:rPr>
                <w:delText xml:space="preserve">as </w:delText>
              </w:r>
            </w:del>
            <w:r w:rsidRPr="008A3DE6">
              <w:rPr>
                <w:rFonts w:asciiTheme="minorHAnsi" w:hAnsiTheme="minorHAnsi" w:cstheme="minorHAnsi"/>
                <w:color w:val="000000"/>
                <w:sz w:val="22"/>
                <w:szCs w:val="22"/>
              </w:rPr>
              <w:t>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tc>
      </w:tr>
    </w:tbl>
    <w:p w14:paraId="6F3DBB3C" w14:textId="029A6C6E" w:rsidR="008A3DE6" w:rsidRDefault="008A3DE6"/>
    <w:tbl>
      <w:tblPr>
        <w:tblStyle w:val="TableGrid"/>
        <w:tblW w:w="0" w:type="auto"/>
        <w:tblLook w:val="04A0" w:firstRow="1" w:lastRow="0" w:firstColumn="1" w:lastColumn="0" w:noHBand="0" w:noVBand="1"/>
      </w:tblPr>
      <w:tblGrid>
        <w:gridCol w:w="9350"/>
      </w:tblGrid>
      <w:tr w:rsidR="008A3DE6" w:rsidRPr="008A3DE6" w14:paraId="00FD67F3" w14:textId="77777777" w:rsidTr="008A3DE6">
        <w:tc>
          <w:tcPr>
            <w:tcW w:w="9350" w:type="dxa"/>
            <w:shd w:val="clear" w:color="auto" w:fill="E7E6E6" w:themeFill="background2"/>
          </w:tcPr>
          <w:p w14:paraId="59C1F5BE" w14:textId="475147CC" w:rsidR="008A3DE6" w:rsidRPr="008A3DE6" w:rsidRDefault="008A3DE6">
            <w:pPr>
              <w:rPr>
                <w:rFonts w:cstheme="minorHAnsi"/>
                <w:b/>
                <w:sz w:val="22"/>
                <w:szCs w:val="22"/>
              </w:rPr>
            </w:pPr>
            <w:r w:rsidRPr="008A3DE6">
              <w:rPr>
                <w:rFonts w:cstheme="minorHAnsi"/>
                <w:b/>
                <w:sz w:val="22"/>
                <w:szCs w:val="22"/>
              </w:rPr>
              <w:t>ALAC</w:t>
            </w:r>
          </w:p>
        </w:tc>
      </w:tr>
      <w:tr w:rsidR="008A3DE6" w:rsidRPr="008A3DE6" w14:paraId="783F6917" w14:textId="77777777" w:rsidTr="008A3DE6">
        <w:tc>
          <w:tcPr>
            <w:tcW w:w="9350" w:type="dxa"/>
          </w:tcPr>
          <w:p w14:paraId="1489744D" w14:textId="7CFABC06" w:rsidR="008A3DE6" w:rsidRPr="008A3DE6" w:rsidRDefault="008A3DE6">
            <w:pPr>
              <w:rPr>
                <w:rFonts w:cstheme="minorHAnsi"/>
                <w:sz w:val="22"/>
                <w:szCs w:val="22"/>
              </w:rPr>
            </w:pPr>
            <w:r w:rsidRPr="008A3DE6">
              <w:rPr>
                <w:rFonts w:cstheme="minorHAnsi"/>
                <w:color w:val="000000"/>
                <w:sz w:val="22"/>
                <w:szCs w:val="22"/>
              </w:rPr>
              <w:t>H3 says that the distinction between natural and legal persons should be allowed but does not address whether the distinction should be required. It should say that it will also be required subject to the implementation subject to the details in the Proposed Preliminary Policy Recommendation.</w:t>
            </w:r>
          </w:p>
        </w:tc>
      </w:tr>
    </w:tbl>
    <w:p w14:paraId="793E7B3E" w14:textId="3A0C3142" w:rsidR="008A3DE6" w:rsidRDefault="008A3DE6"/>
    <w:tbl>
      <w:tblPr>
        <w:tblStyle w:val="TableGrid"/>
        <w:tblW w:w="0" w:type="auto"/>
        <w:tblLook w:val="04A0" w:firstRow="1" w:lastRow="0" w:firstColumn="1" w:lastColumn="0" w:noHBand="0" w:noVBand="1"/>
      </w:tblPr>
      <w:tblGrid>
        <w:gridCol w:w="9350"/>
      </w:tblGrid>
      <w:tr w:rsidR="008A3DE6" w:rsidRPr="008A3DE6" w14:paraId="36624BC9" w14:textId="77777777" w:rsidTr="008A3DE6">
        <w:tc>
          <w:tcPr>
            <w:tcW w:w="9350" w:type="dxa"/>
            <w:shd w:val="clear" w:color="auto" w:fill="E7E6E6" w:themeFill="background2"/>
          </w:tcPr>
          <w:p w14:paraId="6D141479" w14:textId="4033FF31" w:rsidR="008A3DE6" w:rsidRPr="008A3DE6" w:rsidRDefault="008A3DE6">
            <w:pPr>
              <w:rPr>
                <w:b/>
                <w:sz w:val="22"/>
                <w:szCs w:val="22"/>
              </w:rPr>
            </w:pPr>
            <w:r w:rsidRPr="008A3DE6">
              <w:rPr>
                <w:b/>
                <w:sz w:val="22"/>
                <w:szCs w:val="22"/>
              </w:rPr>
              <w:t>RrSG</w:t>
            </w:r>
          </w:p>
        </w:tc>
      </w:tr>
      <w:tr w:rsidR="008A3DE6" w:rsidRPr="008A3DE6" w14:paraId="134B4E6D" w14:textId="77777777" w:rsidTr="008A3DE6">
        <w:tc>
          <w:tcPr>
            <w:tcW w:w="9350" w:type="dxa"/>
          </w:tcPr>
          <w:p w14:paraId="74023229" w14:textId="6990BC4A" w:rsidR="008A3DE6" w:rsidRPr="008A3DE6" w:rsidRDefault="008A3DE6">
            <w:pPr>
              <w:rPr>
                <w:sz w:val="22"/>
                <w:szCs w:val="22"/>
              </w:rPr>
            </w:pPr>
            <w:r>
              <w:rPr>
                <w:rFonts w:ascii="Calibri" w:hAnsi="Calibri" w:cs="Calibri"/>
                <w:color w:val="000000"/>
                <w:sz w:val="22"/>
                <w:szCs w:val="22"/>
              </w:rPr>
              <w:t>B</w:t>
            </w:r>
            <w:r w:rsidRPr="008A3DE6">
              <w:rPr>
                <w:rFonts w:ascii="Calibri" w:hAnsi="Calibri" w:cs="Calibri"/>
                <w:color w:val="000000"/>
                <w:sz w:val="22"/>
                <w:szCs w:val="22"/>
              </w:rPr>
              <w:t>ased on the discussions we had in Barcelona, it was our understanding this language was going to continue to be refined due to the many objections raised to it within the larger group. While we do not object to research being done to get additional insights, it’s not clear what specifics we will be soliciting, what the timing of that research will be or ultimately what we will do once we receive that research. There was discussion about further defining the “organization name” field and we believe that should continue to be developed and discussed amongst the group. We also continue to be concerned about the applicability of this distinction to currently registered domain names and the feasibility of how this would be implemented by registrars.</w:t>
            </w:r>
          </w:p>
        </w:tc>
      </w:tr>
    </w:tbl>
    <w:p w14:paraId="00CA8D38" w14:textId="559C8957" w:rsidR="008A3DE6" w:rsidRDefault="008A3DE6"/>
    <w:tbl>
      <w:tblPr>
        <w:tblStyle w:val="TableGrid"/>
        <w:tblW w:w="0" w:type="auto"/>
        <w:tblLook w:val="04A0" w:firstRow="1" w:lastRow="0" w:firstColumn="1" w:lastColumn="0" w:noHBand="0" w:noVBand="1"/>
      </w:tblPr>
      <w:tblGrid>
        <w:gridCol w:w="9350"/>
      </w:tblGrid>
      <w:tr w:rsidR="00040CEC" w:rsidRPr="00040CEC" w14:paraId="2722ADFC" w14:textId="77777777" w:rsidTr="000D3957">
        <w:tc>
          <w:tcPr>
            <w:tcW w:w="9350" w:type="dxa"/>
            <w:shd w:val="clear" w:color="auto" w:fill="E7E6E6" w:themeFill="background2"/>
          </w:tcPr>
          <w:p w14:paraId="4ED04638" w14:textId="26DEF773" w:rsidR="00040CEC" w:rsidRPr="00040CEC" w:rsidRDefault="00040CEC" w:rsidP="000D3957">
            <w:pPr>
              <w:rPr>
                <w:b/>
                <w:sz w:val="22"/>
                <w:szCs w:val="22"/>
              </w:rPr>
            </w:pPr>
            <w:r w:rsidRPr="00040CEC">
              <w:rPr>
                <w:b/>
                <w:sz w:val="22"/>
                <w:szCs w:val="22"/>
              </w:rPr>
              <w:t>GAC</w:t>
            </w:r>
          </w:p>
        </w:tc>
      </w:tr>
      <w:tr w:rsidR="00040CEC" w:rsidRPr="00040CEC" w14:paraId="61D75E26" w14:textId="77777777" w:rsidTr="000D3957">
        <w:tc>
          <w:tcPr>
            <w:tcW w:w="9350" w:type="dxa"/>
          </w:tcPr>
          <w:p w14:paraId="73920C9E" w14:textId="77777777" w:rsidR="00040CEC" w:rsidRPr="00040CEC" w:rsidRDefault="00040CEC" w:rsidP="00040CEC">
            <w:pPr>
              <w:rPr>
                <w:color w:val="000000"/>
                <w:sz w:val="22"/>
                <w:szCs w:val="22"/>
              </w:rPr>
            </w:pPr>
            <w:r w:rsidRPr="00040CEC">
              <w:rPr>
                <w:color w:val="000000"/>
                <w:sz w:val="22"/>
                <w:szCs w:val="22"/>
              </w:rPr>
              <w:t>h)     </w:t>
            </w:r>
            <w:r w:rsidRPr="00040CEC">
              <w:rPr>
                <w:b/>
                <w:color w:val="000000"/>
                <w:sz w:val="22"/>
                <w:szCs w:val="22"/>
              </w:rPr>
              <w:t>Applicability of Data Processing Requirements – Draft responses</w:t>
            </w:r>
          </w:p>
          <w:p w14:paraId="44FB0973" w14:textId="77777777" w:rsidR="00040CEC" w:rsidRPr="00040CEC" w:rsidRDefault="00040CEC" w:rsidP="00040CEC">
            <w:pPr>
              <w:rPr>
                <w:color w:val="000000"/>
                <w:sz w:val="22"/>
                <w:szCs w:val="22"/>
              </w:rPr>
            </w:pPr>
            <w:r w:rsidRPr="00040CEC">
              <w:rPr>
                <w:color w:val="000000"/>
                <w:sz w:val="22"/>
                <w:szCs w:val="22"/>
              </w:rPr>
              <w:t> </w:t>
            </w:r>
          </w:p>
          <w:p w14:paraId="6DA66AF3" w14:textId="77777777" w:rsidR="00040CEC" w:rsidRPr="00040CEC" w:rsidRDefault="00040CEC" w:rsidP="00040CEC">
            <w:pPr>
              <w:rPr>
                <w:i/>
                <w:color w:val="000000"/>
                <w:sz w:val="22"/>
                <w:szCs w:val="22"/>
              </w:rPr>
            </w:pPr>
            <w:r w:rsidRPr="00040CEC">
              <w:rPr>
                <w:i/>
                <w:color w:val="000000"/>
                <w:sz w:val="22"/>
                <w:szCs w:val="22"/>
              </w:rPr>
              <w:t>h3) Should Contracted Parties be allowed or required to treat legal and natural persons differently, and what mechanism is needed to ensure reliable determination of status? </w:t>
            </w:r>
          </w:p>
          <w:p w14:paraId="2461D4E1" w14:textId="77777777" w:rsidR="00040CEC" w:rsidRPr="00040CEC" w:rsidRDefault="00040CEC" w:rsidP="00040CEC">
            <w:pPr>
              <w:rPr>
                <w:color w:val="000000"/>
                <w:sz w:val="22"/>
                <w:szCs w:val="22"/>
              </w:rPr>
            </w:pPr>
            <w:r w:rsidRPr="00040CEC">
              <w:rPr>
                <w:color w:val="000000"/>
                <w:sz w:val="22"/>
                <w:szCs w:val="22"/>
              </w:rPr>
              <w:t> </w:t>
            </w:r>
          </w:p>
          <w:p w14:paraId="58308518" w14:textId="77777777" w:rsidR="00040CEC" w:rsidRPr="00040CEC" w:rsidRDefault="00040CEC" w:rsidP="00040CEC">
            <w:pPr>
              <w:rPr>
                <w:color w:val="000000"/>
                <w:sz w:val="22"/>
                <w:szCs w:val="22"/>
              </w:rPr>
            </w:pPr>
            <w:r w:rsidRPr="00040CEC">
              <w:rPr>
                <w:color w:val="000000"/>
                <w:sz w:val="22"/>
                <w:szCs w:val="22"/>
              </w:rPr>
              <w:t xml:space="preserve">We seem to have agreed that yes, contracted parties should be allowed to treat legal and natural persons differently but the mechanism by which this should or can be done should be further explored.  </w:t>
            </w:r>
            <w:ins w:id="115" w:author="Kapin, Laureen" w:date="2018-11-01T15:12:00Z">
              <w:r w:rsidRPr="00040CEC">
                <w:rPr>
                  <w:color w:val="000000"/>
                  <w:sz w:val="22"/>
                  <w:szCs w:val="22"/>
                </w:rPr>
                <w:t xml:space="preserve">The GAC would </w:t>
              </w:r>
            </w:ins>
            <w:ins w:id="116" w:author="Kapin, Laureen" w:date="2018-11-01T15:14:00Z">
              <w:r w:rsidRPr="00040CEC">
                <w:rPr>
                  <w:color w:val="000000"/>
                  <w:sz w:val="22"/>
                  <w:szCs w:val="22"/>
                </w:rPr>
                <w:t xml:space="preserve">go further and </w:t>
              </w:r>
            </w:ins>
            <w:ins w:id="117" w:author="Kapin, Laureen" w:date="2018-11-01T15:12:00Z">
              <w:r w:rsidRPr="00040CEC">
                <w:rPr>
                  <w:color w:val="000000"/>
                  <w:sz w:val="22"/>
                  <w:szCs w:val="22"/>
                </w:rPr>
                <w:t xml:space="preserve">recommend </w:t>
              </w:r>
            </w:ins>
            <w:ins w:id="118" w:author="Kapin, Laureen" w:date="2018-11-01T15:15:00Z">
              <w:r w:rsidRPr="00040CEC">
                <w:rPr>
                  <w:color w:val="000000"/>
                  <w:sz w:val="22"/>
                  <w:szCs w:val="22"/>
                </w:rPr>
                <w:t xml:space="preserve">that the temporary specification </w:t>
              </w:r>
            </w:ins>
            <w:ins w:id="119" w:author="Kapin, Laureen" w:date="2018-11-01T15:12:00Z">
              <w:r w:rsidRPr="00040CEC">
                <w:rPr>
                  <w:color w:val="000000"/>
                  <w:sz w:val="22"/>
                  <w:szCs w:val="22"/>
                </w:rPr>
                <w:t>requir</w:t>
              </w:r>
            </w:ins>
            <w:ins w:id="120" w:author="Kapin, Laureen" w:date="2018-11-01T15:15:00Z">
              <w:r w:rsidRPr="00040CEC">
                <w:rPr>
                  <w:color w:val="000000"/>
                  <w:sz w:val="22"/>
                  <w:szCs w:val="22"/>
                </w:rPr>
                <w:t>e</w:t>
              </w:r>
            </w:ins>
            <w:ins w:id="121" w:author="Kapin, Laureen" w:date="2018-11-01T15:12:00Z">
              <w:r w:rsidRPr="00040CEC">
                <w:rPr>
                  <w:color w:val="000000"/>
                  <w:sz w:val="22"/>
                  <w:szCs w:val="22"/>
                </w:rPr>
                <w:t xml:space="preserve"> contracted parties to </w:t>
              </w:r>
            </w:ins>
            <w:ins w:id="122" w:author="Kapin, Laureen" w:date="2018-11-01T15:13:00Z">
              <w:r w:rsidRPr="00040CEC">
                <w:rPr>
                  <w:color w:val="000000"/>
                  <w:sz w:val="22"/>
                  <w:szCs w:val="22"/>
                </w:rPr>
                <w:t>t</w:t>
              </w:r>
            </w:ins>
            <w:ins w:id="123" w:author="Kapin, Laureen" w:date="2018-11-01T15:12:00Z">
              <w:r w:rsidRPr="00040CEC">
                <w:rPr>
                  <w:color w:val="000000"/>
                  <w:sz w:val="22"/>
                  <w:szCs w:val="22"/>
                </w:rPr>
                <w:t>reat</w:t>
              </w:r>
            </w:ins>
            <w:ins w:id="124" w:author="Kapin, Laureen" w:date="2018-11-01T15:13:00Z">
              <w:r w:rsidRPr="00040CEC">
                <w:rPr>
                  <w:color w:val="000000"/>
                  <w:sz w:val="22"/>
                  <w:szCs w:val="22"/>
                </w:rPr>
                <w:t xml:space="preserve"> legal and natural persons differently</w:t>
              </w:r>
            </w:ins>
            <w:ins w:id="125" w:author="Kapin, Laureen" w:date="2018-11-01T15:14:00Z">
              <w:r w:rsidRPr="00040CEC">
                <w:rPr>
                  <w:color w:val="000000"/>
                  <w:sz w:val="22"/>
                  <w:szCs w:val="22"/>
                </w:rPr>
                <w:t xml:space="preserve"> because, </w:t>
              </w:r>
            </w:ins>
            <w:ins w:id="126" w:author="Kapin, Laureen" w:date="2018-11-01T15:15:00Z">
              <w:r w:rsidRPr="00040CEC">
                <w:rPr>
                  <w:color w:val="000000"/>
                  <w:sz w:val="22"/>
                  <w:szCs w:val="22"/>
                </w:rPr>
                <w:t>c</w:t>
              </w:r>
            </w:ins>
            <w:ins w:id="127" w:author="Kapin, Laureen" w:date="2018-11-01T14:20:00Z">
              <w:r w:rsidRPr="00040CEC">
                <w:rPr>
                  <w:color w:val="000000"/>
                  <w:sz w:val="22"/>
                  <w:szCs w:val="22"/>
                </w:rPr>
                <w:t xml:space="preserve">onsistent with prior GAC advice and comments on interim models, </w:t>
              </w:r>
            </w:ins>
            <w:ins w:id="128" w:author="Kapin, Laureen" w:date="2018-11-01T15:17:00Z">
              <w:r w:rsidRPr="00040CEC">
                <w:rPr>
                  <w:color w:val="000000"/>
                  <w:sz w:val="22"/>
                  <w:szCs w:val="22"/>
                </w:rPr>
                <w:t xml:space="preserve">the GDPR does not cover processing of personal data which concerns legal persons. </w:t>
              </w:r>
            </w:ins>
            <w:ins w:id="129" w:author="Kapin, Laureen" w:date="2018-11-02T15:23:00Z">
              <w:r w:rsidRPr="00040CEC">
                <w:rPr>
                  <w:color w:val="000000"/>
                  <w:sz w:val="22"/>
                  <w:szCs w:val="22"/>
                </w:rPr>
                <w:t xml:space="preserve"> </w:t>
              </w:r>
            </w:ins>
            <w:ins w:id="130" w:author="Kapin, Laureen" w:date="2018-11-01T15:17:00Z">
              <w:r w:rsidRPr="00040CEC">
                <w:rPr>
                  <w:color w:val="000000"/>
                  <w:sz w:val="22"/>
                  <w:szCs w:val="22"/>
                </w:rPr>
                <w:t xml:space="preserve">Hence, the personal information of legal persons should be part </w:t>
              </w:r>
            </w:ins>
            <w:ins w:id="131" w:author="Kapin, Laureen" w:date="2018-11-01T15:18:00Z">
              <w:r w:rsidRPr="00040CEC">
                <w:rPr>
                  <w:color w:val="000000"/>
                  <w:sz w:val="22"/>
                  <w:szCs w:val="22"/>
                </w:rPr>
                <w:t>of the</w:t>
              </w:r>
            </w:ins>
            <w:ins w:id="132" w:author="Kapin, Laureen" w:date="2018-11-01T15:17:00Z">
              <w:r w:rsidRPr="00040CEC">
                <w:rPr>
                  <w:color w:val="000000"/>
                  <w:sz w:val="22"/>
                  <w:szCs w:val="22"/>
                </w:rPr>
                <w:t xml:space="preserve"> </w:t>
              </w:r>
            </w:ins>
            <w:ins w:id="133" w:author="Kapin, Laureen" w:date="2018-11-01T15:18:00Z">
              <w:r w:rsidRPr="00040CEC">
                <w:rPr>
                  <w:color w:val="000000"/>
                  <w:sz w:val="22"/>
                  <w:szCs w:val="22"/>
                </w:rPr>
                <w:t xml:space="preserve">publicly available WHOIS data. </w:t>
              </w:r>
            </w:ins>
            <w:ins w:id="134" w:author="Kapin, Laureen" w:date="2018-11-01T15:15:00Z">
              <w:r w:rsidRPr="00040CEC">
                <w:rPr>
                  <w:color w:val="000000"/>
                  <w:sz w:val="22"/>
                  <w:szCs w:val="22"/>
                </w:rPr>
                <w:t>W</w:t>
              </w:r>
            </w:ins>
            <w:ins w:id="135" w:author="Kapin, Laureen" w:date="2018-11-01T14:20:00Z">
              <w:r w:rsidRPr="00040CEC">
                <w:rPr>
                  <w:color w:val="000000"/>
                  <w:sz w:val="22"/>
                  <w:szCs w:val="22"/>
                </w:rPr>
                <w:t xml:space="preserve">e recommend that contracted parties develop </w:t>
              </w:r>
            </w:ins>
            <w:ins w:id="136" w:author="Kapin, Laureen" w:date="2018-11-02T13:11:00Z">
              <w:r w:rsidRPr="00040CEC">
                <w:rPr>
                  <w:color w:val="000000"/>
                  <w:sz w:val="22"/>
                  <w:szCs w:val="22"/>
                </w:rPr>
                <w:t xml:space="preserve">mechanisms </w:t>
              </w:r>
            </w:ins>
            <w:ins w:id="137" w:author="Kapin, Laureen" w:date="2018-11-01T14:20:00Z">
              <w:r w:rsidRPr="00040CEC">
                <w:rPr>
                  <w:color w:val="000000"/>
                  <w:sz w:val="22"/>
                  <w:szCs w:val="22"/>
                </w:rPr>
                <w:t>that ensure a reliable d</w:t>
              </w:r>
            </w:ins>
            <w:ins w:id="138" w:author="Kapin, Laureen" w:date="2018-11-01T14:23:00Z">
              <w:r w:rsidRPr="00040CEC">
                <w:rPr>
                  <w:color w:val="000000"/>
                  <w:sz w:val="22"/>
                  <w:szCs w:val="22"/>
                </w:rPr>
                <w:t>e</w:t>
              </w:r>
            </w:ins>
            <w:ins w:id="139" w:author="Kapin, Laureen" w:date="2018-11-01T14:20:00Z">
              <w:r w:rsidRPr="00040CEC">
                <w:rPr>
                  <w:color w:val="000000"/>
                  <w:sz w:val="22"/>
                  <w:szCs w:val="22"/>
                </w:rPr>
                <w:t xml:space="preserve">termination </w:t>
              </w:r>
            </w:ins>
            <w:ins w:id="140" w:author="Kapin, Laureen" w:date="2018-11-01T14:23:00Z">
              <w:r w:rsidRPr="00040CEC">
                <w:rPr>
                  <w:color w:val="000000"/>
                  <w:sz w:val="22"/>
                  <w:szCs w:val="22"/>
                </w:rPr>
                <w:t xml:space="preserve">of natural or legal </w:t>
              </w:r>
            </w:ins>
            <w:ins w:id="141" w:author="Kapin, Laureen" w:date="2018-11-01T14:24:00Z">
              <w:r w:rsidRPr="00040CEC">
                <w:rPr>
                  <w:color w:val="000000"/>
                  <w:sz w:val="22"/>
                  <w:szCs w:val="22"/>
                </w:rPr>
                <w:t xml:space="preserve">person </w:t>
              </w:r>
            </w:ins>
            <w:ins w:id="142" w:author="Kapin, Laureen" w:date="2018-11-01T14:23:00Z">
              <w:r w:rsidRPr="00040CEC">
                <w:rPr>
                  <w:color w:val="000000"/>
                  <w:sz w:val="22"/>
                  <w:szCs w:val="22"/>
                </w:rPr>
                <w:t>status</w:t>
              </w:r>
            </w:ins>
            <w:ins w:id="143" w:author="Kapin, Laureen" w:date="2018-11-01T14:24:00Z">
              <w:r w:rsidRPr="00040CEC">
                <w:rPr>
                  <w:color w:val="000000"/>
                  <w:sz w:val="22"/>
                  <w:szCs w:val="22"/>
                </w:rPr>
                <w:t xml:space="preserve"> for registrants going forward (post</w:t>
              </w:r>
            </w:ins>
            <w:ins w:id="144" w:author="Kapin, Laureen" w:date="2018-11-01T14:25:00Z">
              <w:r w:rsidRPr="00040CEC">
                <w:rPr>
                  <w:color w:val="000000"/>
                  <w:sz w:val="22"/>
                  <w:szCs w:val="22"/>
                </w:rPr>
                <w:t>-</w:t>
              </w:r>
            </w:ins>
            <w:ins w:id="145" w:author="Kapin, Laureen" w:date="2018-11-01T14:24:00Z">
              <w:r w:rsidRPr="00040CEC">
                <w:rPr>
                  <w:color w:val="000000"/>
                  <w:sz w:val="22"/>
                  <w:szCs w:val="22"/>
                </w:rPr>
                <w:t xml:space="preserve"> implementation of </w:t>
              </w:r>
            </w:ins>
            <w:ins w:id="146" w:author="Kapin, Laureen" w:date="2018-11-01T14:25:00Z">
              <w:r w:rsidRPr="00040CEC">
                <w:rPr>
                  <w:color w:val="000000"/>
                  <w:sz w:val="22"/>
                  <w:szCs w:val="22"/>
                </w:rPr>
                <w:t>new contract specifications)</w:t>
              </w:r>
            </w:ins>
            <w:ins w:id="147" w:author="Kapin, Laureen" w:date="2018-11-01T14:23:00Z">
              <w:r w:rsidRPr="00040CEC">
                <w:rPr>
                  <w:color w:val="000000"/>
                  <w:sz w:val="22"/>
                  <w:szCs w:val="22"/>
                </w:rPr>
                <w:t xml:space="preserve"> </w:t>
              </w:r>
            </w:ins>
            <w:ins w:id="148" w:author="Kapin, Laureen" w:date="2018-11-01T14:25:00Z">
              <w:r w:rsidRPr="00040CEC">
                <w:rPr>
                  <w:color w:val="000000"/>
                  <w:sz w:val="22"/>
                  <w:szCs w:val="22"/>
                </w:rPr>
                <w:t xml:space="preserve">and for their legacy </w:t>
              </w:r>
            </w:ins>
            <w:ins w:id="149" w:author="Kapin, Laureen" w:date="2018-11-01T15:18:00Z">
              <w:r w:rsidRPr="00040CEC">
                <w:rPr>
                  <w:color w:val="000000"/>
                  <w:sz w:val="22"/>
                  <w:szCs w:val="22"/>
                </w:rPr>
                <w:t xml:space="preserve">registrants </w:t>
              </w:r>
            </w:ins>
            <w:ins w:id="150" w:author="Kapin, Laureen" w:date="2018-11-01T15:15:00Z">
              <w:r w:rsidRPr="00040CEC">
                <w:rPr>
                  <w:color w:val="000000"/>
                  <w:sz w:val="22"/>
                  <w:szCs w:val="22"/>
                </w:rPr>
                <w:t xml:space="preserve">and recognize that </w:t>
              </w:r>
              <w:r w:rsidRPr="00040CEC">
                <w:rPr>
                  <w:color w:val="000000"/>
                  <w:sz w:val="22"/>
                  <w:szCs w:val="22"/>
                </w:rPr>
                <w:lastRenderedPageBreak/>
                <w:t xml:space="preserve">these </w:t>
              </w:r>
            </w:ins>
            <w:ins w:id="151" w:author="Kapin, Laureen" w:date="2018-11-02T13:11:00Z">
              <w:r w:rsidRPr="00040CEC">
                <w:rPr>
                  <w:color w:val="000000"/>
                  <w:sz w:val="22"/>
                  <w:szCs w:val="22"/>
                </w:rPr>
                <w:t xml:space="preserve">procedures </w:t>
              </w:r>
            </w:ins>
            <w:ins w:id="152" w:author="Kapin, Laureen" w:date="2018-11-01T15:15:00Z">
              <w:r w:rsidRPr="00040CEC">
                <w:rPr>
                  <w:color w:val="000000"/>
                  <w:sz w:val="22"/>
                  <w:szCs w:val="22"/>
                </w:rPr>
                <w:t>will l</w:t>
              </w:r>
            </w:ins>
            <w:ins w:id="153" w:author="Kapin, Laureen" w:date="2018-11-01T15:16:00Z">
              <w:r w:rsidRPr="00040CEC">
                <w:rPr>
                  <w:color w:val="000000"/>
                  <w:sz w:val="22"/>
                  <w:szCs w:val="22"/>
                </w:rPr>
                <w:t>ik</w:t>
              </w:r>
            </w:ins>
            <w:ins w:id="154" w:author="Kapin, Laureen" w:date="2018-11-01T15:15:00Z">
              <w:r w:rsidRPr="00040CEC">
                <w:rPr>
                  <w:color w:val="000000"/>
                  <w:sz w:val="22"/>
                  <w:szCs w:val="22"/>
                </w:rPr>
                <w:t xml:space="preserve">ely require a phased approach </w:t>
              </w:r>
            </w:ins>
            <w:ins w:id="155" w:author="Kapin, Laureen" w:date="2018-11-01T15:16:00Z">
              <w:r w:rsidRPr="00040CEC">
                <w:rPr>
                  <w:color w:val="000000"/>
                  <w:sz w:val="22"/>
                  <w:szCs w:val="22"/>
                </w:rPr>
                <w:t>that allows more time for contracted parties to deal with their legacy customers</w:t>
              </w:r>
            </w:ins>
            <w:ins w:id="156" w:author="Kapin, Laureen" w:date="2018-11-01T14:25:00Z">
              <w:r w:rsidRPr="00040CEC">
                <w:rPr>
                  <w:color w:val="000000"/>
                  <w:sz w:val="22"/>
                  <w:szCs w:val="22"/>
                </w:rPr>
                <w:t xml:space="preserve">.  </w:t>
              </w:r>
            </w:ins>
          </w:p>
          <w:p w14:paraId="586EBCE3" w14:textId="77777777" w:rsidR="00040CEC" w:rsidRPr="00040CEC" w:rsidRDefault="00040CEC" w:rsidP="00040CEC">
            <w:pPr>
              <w:rPr>
                <w:color w:val="000000"/>
                <w:sz w:val="22"/>
                <w:szCs w:val="22"/>
              </w:rPr>
            </w:pPr>
            <w:r w:rsidRPr="00040CEC">
              <w:rPr>
                <w:color w:val="000000"/>
                <w:sz w:val="22"/>
                <w:szCs w:val="22"/>
              </w:rPr>
              <w:t> </w:t>
            </w:r>
          </w:p>
          <w:p w14:paraId="2B514222" w14:textId="77777777" w:rsidR="00040CEC" w:rsidRPr="00040CEC" w:rsidRDefault="00040CEC" w:rsidP="00040CEC">
            <w:pPr>
              <w:rPr>
                <w:i/>
                <w:color w:val="000000"/>
                <w:sz w:val="22"/>
                <w:szCs w:val="22"/>
              </w:rPr>
            </w:pPr>
            <w:r w:rsidRPr="00040CEC">
              <w:rPr>
                <w:i/>
                <w:color w:val="000000"/>
                <w:sz w:val="22"/>
                <w:szCs w:val="22"/>
              </w:rPr>
              <w:t>h4) Is there a legal basis for Contracted Parties to treat legal and natural persons differently?</w:t>
            </w:r>
          </w:p>
          <w:p w14:paraId="6762DAE1" w14:textId="77777777" w:rsidR="00040CEC" w:rsidRPr="00040CEC" w:rsidRDefault="00040CEC" w:rsidP="00040CEC">
            <w:pPr>
              <w:rPr>
                <w:color w:val="000000"/>
                <w:sz w:val="22"/>
                <w:szCs w:val="22"/>
              </w:rPr>
            </w:pPr>
            <w:r w:rsidRPr="00040CEC">
              <w:rPr>
                <w:color w:val="000000"/>
                <w:sz w:val="22"/>
                <w:szCs w:val="22"/>
              </w:rPr>
              <w:t> </w:t>
            </w:r>
          </w:p>
          <w:p w14:paraId="5673E359" w14:textId="77777777" w:rsidR="00040CEC" w:rsidRPr="00040CEC" w:rsidRDefault="00040CEC" w:rsidP="00040CEC">
            <w:pPr>
              <w:rPr>
                <w:color w:val="000000"/>
                <w:sz w:val="22"/>
                <w:szCs w:val="22"/>
              </w:rPr>
            </w:pPr>
            <w:ins w:id="157" w:author="Kapin, Laureen" w:date="2018-11-01T14:26:00Z">
              <w:r w:rsidRPr="00040CEC">
                <w:rPr>
                  <w:color w:val="000000"/>
                  <w:sz w:val="22"/>
                  <w:szCs w:val="22"/>
                </w:rPr>
                <w:t xml:space="preserve">Recital 14 of the GDPR provides that </w:t>
              </w:r>
            </w:ins>
            <w:ins w:id="158" w:author="Kapin, Laureen" w:date="2018-11-01T15:05:00Z">
              <w:r w:rsidRPr="00040CEC">
                <w:rPr>
                  <w:color w:val="000000"/>
                  <w:sz w:val="22"/>
                  <w:szCs w:val="22"/>
                </w:rPr>
                <w:t xml:space="preserve">the GPR “does not cover the processing of personal data which concerns legal persons and in particular undertakings established as legal persons, including the name and the form </w:t>
              </w:r>
            </w:ins>
            <w:ins w:id="159" w:author="Kapin, Laureen" w:date="2018-11-01T15:07:00Z">
              <w:r w:rsidRPr="00040CEC">
                <w:rPr>
                  <w:color w:val="000000"/>
                  <w:sz w:val="22"/>
                  <w:szCs w:val="22"/>
                </w:rPr>
                <w:t>of the</w:t>
              </w:r>
            </w:ins>
            <w:ins w:id="160" w:author="Kapin, Laureen" w:date="2018-11-01T15:05:00Z">
              <w:r w:rsidRPr="00040CEC">
                <w:rPr>
                  <w:color w:val="000000"/>
                  <w:sz w:val="22"/>
                  <w:szCs w:val="22"/>
                </w:rPr>
                <w:t xml:space="preserve"> </w:t>
              </w:r>
            </w:ins>
            <w:ins w:id="161" w:author="Kapin, Laureen" w:date="2018-11-01T15:07:00Z">
              <w:r w:rsidRPr="00040CEC">
                <w:rPr>
                  <w:color w:val="000000"/>
                  <w:sz w:val="22"/>
                  <w:szCs w:val="22"/>
                </w:rPr>
                <w:t>legal person and the contact det</w:t>
              </w:r>
            </w:ins>
            <w:ins w:id="162" w:author="Kapin, Laureen" w:date="2018-11-01T15:08:00Z">
              <w:r w:rsidRPr="00040CEC">
                <w:rPr>
                  <w:color w:val="000000"/>
                  <w:sz w:val="22"/>
                  <w:szCs w:val="22"/>
                </w:rPr>
                <w:t>a</w:t>
              </w:r>
            </w:ins>
            <w:ins w:id="163" w:author="Kapin, Laureen" w:date="2018-11-01T15:07:00Z">
              <w:r w:rsidRPr="00040CEC">
                <w:rPr>
                  <w:color w:val="000000"/>
                  <w:sz w:val="22"/>
                  <w:szCs w:val="22"/>
                </w:rPr>
                <w:t xml:space="preserve">ils of the legal person.” Hence, </w:t>
              </w:r>
            </w:ins>
            <w:del w:id="164" w:author="Kapin, Laureen" w:date="2018-11-01T15:07:00Z">
              <w:r w:rsidRPr="00040CEC" w:rsidDel="0062120A">
                <w:rPr>
                  <w:color w:val="000000"/>
                  <w:sz w:val="22"/>
                  <w:szCs w:val="22"/>
                </w:rPr>
                <w:delText>W</w:delText>
              </w:r>
            </w:del>
            <w:ins w:id="165" w:author="Kapin, Laureen" w:date="2018-11-01T15:07:00Z">
              <w:r w:rsidRPr="00040CEC">
                <w:rPr>
                  <w:color w:val="000000"/>
                  <w:sz w:val="22"/>
                  <w:szCs w:val="22"/>
                </w:rPr>
                <w:t>w</w:t>
              </w:r>
            </w:ins>
            <w:r w:rsidRPr="00040CEC">
              <w:rPr>
                <w:color w:val="000000"/>
                <w:sz w:val="22"/>
                <w:szCs w:val="22"/>
              </w:rPr>
              <w:t xml:space="preserve">e agreed that under GDPR there is a legal basis.  While the focus of this EPDP is GDPR compliance, we did note that not all jurisdictions have this same </w:t>
            </w:r>
            <w:proofErr w:type="gramStart"/>
            <w:r w:rsidRPr="00040CEC">
              <w:rPr>
                <w:color w:val="000000"/>
                <w:sz w:val="22"/>
                <w:szCs w:val="22"/>
              </w:rPr>
              <w:t>distinction</w:t>
            </w:r>
            <w:proofErr w:type="gramEnd"/>
            <w:r w:rsidRPr="00040CEC">
              <w:rPr>
                <w:color w:val="000000"/>
                <w:sz w:val="22"/>
                <w:szCs w:val="22"/>
              </w:rPr>
              <w:t xml:space="preserve"> so we have to make sure our policy recommendations are flexible enough to take this into account.</w:t>
            </w:r>
          </w:p>
          <w:p w14:paraId="36E59F9B" w14:textId="77777777" w:rsidR="00040CEC" w:rsidRPr="00040CEC" w:rsidRDefault="00040CEC" w:rsidP="00040CEC">
            <w:pPr>
              <w:rPr>
                <w:color w:val="000000"/>
                <w:sz w:val="22"/>
                <w:szCs w:val="22"/>
              </w:rPr>
            </w:pPr>
            <w:r w:rsidRPr="00040CEC">
              <w:rPr>
                <w:color w:val="000000"/>
                <w:sz w:val="22"/>
                <w:szCs w:val="22"/>
              </w:rPr>
              <w:t> </w:t>
            </w:r>
          </w:p>
          <w:p w14:paraId="2228C1B8" w14:textId="77777777" w:rsidR="00040CEC" w:rsidRPr="00040CEC" w:rsidRDefault="00040CEC" w:rsidP="00040CEC">
            <w:pPr>
              <w:rPr>
                <w:i/>
                <w:color w:val="000000"/>
                <w:sz w:val="22"/>
                <w:szCs w:val="22"/>
              </w:rPr>
            </w:pPr>
            <w:r w:rsidRPr="00040CEC">
              <w:rPr>
                <w:i/>
                <w:color w:val="000000"/>
                <w:sz w:val="22"/>
                <w:szCs w:val="22"/>
              </w:rPr>
              <w:t>h5) What are the risks associated with differentiation of registrant status as legal or natural persons across multiple jurisdictions? (See EDPB letter of 5 July 2018).</w:t>
            </w:r>
          </w:p>
          <w:p w14:paraId="109C8378" w14:textId="77777777" w:rsidR="00040CEC" w:rsidRPr="00040CEC" w:rsidRDefault="00040CEC" w:rsidP="00040CEC">
            <w:pPr>
              <w:rPr>
                <w:color w:val="000000"/>
                <w:sz w:val="22"/>
                <w:szCs w:val="22"/>
              </w:rPr>
            </w:pPr>
            <w:r w:rsidRPr="00040CEC">
              <w:rPr>
                <w:color w:val="000000"/>
                <w:sz w:val="22"/>
                <w:szCs w:val="22"/>
              </w:rPr>
              <w:t> </w:t>
            </w:r>
          </w:p>
          <w:p w14:paraId="5F6C3AFA" w14:textId="77777777" w:rsidR="00040CEC" w:rsidRPr="00040CEC" w:rsidDel="008236FA" w:rsidRDefault="00040CEC" w:rsidP="00040CEC">
            <w:pPr>
              <w:rPr>
                <w:del w:id="166" w:author="Kapin, Laureen" w:date="2018-11-02T13:12:00Z"/>
                <w:color w:val="000000"/>
                <w:sz w:val="22"/>
                <w:szCs w:val="22"/>
              </w:rPr>
            </w:pPr>
            <w:r w:rsidRPr="00040CEC">
              <w:rPr>
                <w:color w:val="000000"/>
                <w:sz w:val="22"/>
                <w:szCs w:val="22"/>
              </w:rPr>
              <w:t xml:space="preserve">The main risk seems to be that while legal persons don’t have the same protections under GDPR, natural persons employed by a legal person (and who may be designated as the </w:t>
            </w:r>
            <w:del w:id="167" w:author="Kapin, Laureen" w:date="2018-11-01T15:08:00Z">
              <w:r w:rsidRPr="00040CEC" w:rsidDel="0062120A">
                <w:rPr>
                  <w:color w:val="000000"/>
                  <w:sz w:val="22"/>
                  <w:szCs w:val="22"/>
                </w:rPr>
                <w:delText>registrant,</w:delText>
              </w:r>
            </w:del>
            <w:r w:rsidRPr="00040CEC">
              <w:rPr>
                <w:color w:val="000000"/>
                <w:sz w:val="22"/>
                <w:szCs w:val="22"/>
              </w:rPr>
              <w:t xml:space="preserve"> admin or technical contact) are still natural persons with rights/protection under GDPR. This risk may be minimized through educational resources as recommended below. </w:t>
            </w:r>
            <w:del w:id="168" w:author="Kapin, Laureen" w:date="2018-11-02T13:12:00Z">
              <w:r w:rsidRPr="00040CEC" w:rsidDel="008236FA">
                <w:rPr>
                  <w:color w:val="000000"/>
                  <w:sz w:val="22"/>
                  <w:szCs w:val="22"/>
                </w:rPr>
                <w:delText>[further flesh out risks: James Bladel to provide proposed language]</w:delText>
              </w:r>
            </w:del>
          </w:p>
          <w:p w14:paraId="561F855A" w14:textId="77777777" w:rsidR="00040CEC" w:rsidRPr="00040CEC" w:rsidRDefault="00040CEC" w:rsidP="00040CEC">
            <w:pPr>
              <w:rPr>
                <w:color w:val="000000"/>
                <w:sz w:val="22"/>
                <w:szCs w:val="22"/>
              </w:rPr>
            </w:pPr>
            <w:del w:id="169" w:author="Kapin, Laureen" w:date="2018-11-02T13:12:00Z">
              <w:r w:rsidRPr="00040CEC" w:rsidDel="008236FA">
                <w:rPr>
                  <w:color w:val="000000"/>
                  <w:sz w:val="22"/>
                  <w:szCs w:val="22"/>
                </w:rPr>
                <w:delText> </w:delText>
              </w:r>
            </w:del>
          </w:p>
          <w:p w14:paraId="124BA331" w14:textId="77777777" w:rsidR="00040CEC" w:rsidRPr="00040CEC" w:rsidRDefault="00040CEC" w:rsidP="00040CEC">
            <w:pPr>
              <w:rPr>
                <w:color w:val="000000"/>
                <w:sz w:val="22"/>
                <w:szCs w:val="22"/>
              </w:rPr>
            </w:pPr>
            <w:r w:rsidRPr="00040CEC">
              <w:rPr>
                <w:b/>
                <w:color w:val="000000"/>
                <w:sz w:val="22"/>
                <w:szCs w:val="22"/>
              </w:rPr>
              <w:t>Proposed Preliminary Policy Recommendation for inclusion in the Initial Report</w:t>
            </w:r>
          </w:p>
          <w:p w14:paraId="7AC04BF0" w14:textId="77777777" w:rsidR="00040CEC" w:rsidRPr="00040CEC" w:rsidRDefault="00040CEC" w:rsidP="00040CEC">
            <w:pPr>
              <w:rPr>
                <w:color w:val="000000"/>
                <w:sz w:val="22"/>
                <w:szCs w:val="22"/>
              </w:rPr>
            </w:pPr>
            <w:r w:rsidRPr="00040CEC">
              <w:rPr>
                <w:color w:val="000000"/>
                <w:sz w:val="22"/>
                <w:szCs w:val="22"/>
              </w:rPr>
              <w:t> </w:t>
            </w:r>
          </w:p>
          <w:p w14:paraId="3E2E3EC8" w14:textId="77777777" w:rsidR="00040CEC" w:rsidRPr="00040CEC" w:rsidRDefault="00040CEC" w:rsidP="00040CEC">
            <w:pPr>
              <w:rPr>
                <w:color w:val="000000"/>
                <w:sz w:val="22"/>
                <w:szCs w:val="22"/>
              </w:rPr>
            </w:pPr>
            <w:r w:rsidRPr="00040CEC">
              <w:rPr>
                <w:color w:val="000000"/>
                <w:sz w:val="22"/>
                <w:szCs w:val="22"/>
              </w:rPr>
              <w:t>The EPDP Team recommends that:</w:t>
            </w:r>
          </w:p>
          <w:p w14:paraId="0F2B5D98" w14:textId="77777777" w:rsidR="00040CEC" w:rsidRPr="00040CEC" w:rsidRDefault="00040CEC" w:rsidP="00040CEC">
            <w:pPr>
              <w:numPr>
                <w:ilvl w:val="0"/>
                <w:numId w:val="18"/>
              </w:numPr>
              <w:ind w:left="360"/>
              <w:rPr>
                <w:color w:val="000000"/>
                <w:sz w:val="22"/>
                <w:szCs w:val="22"/>
              </w:rPr>
            </w:pPr>
            <w:r w:rsidRPr="00040CEC">
              <w:rPr>
                <w:color w:val="000000"/>
                <w:sz w:val="22"/>
                <w:szCs w:val="22"/>
              </w:rPr>
              <w:t>The distinction between legal and natural persons is useful and necessary for GDPR and some other data protection laws.</w:t>
            </w:r>
          </w:p>
          <w:p w14:paraId="0DB24905" w14:textId="77777777" w:rsidR="00040CEC" w:rsidRPr="00040CEC" w:rsidRDefault="00040CEC" w:rsidP="00040CEC">
            <w:pPr>
              <w:numPr>
                <w:ilvl w:val="1"/>
                <w:numId w:val="18"/>
              </w:numPr>
              <w:ind w:left="720"/>
              <w:rPr>
                <w:color w:val="000000"/>
                <w:sz w:val="22"/>
                <w:szCs w:val="22"/>
              </w:rPr>
            </w:pPr>
            <w:r w:rsidRPr="00040CEC">
              <w:rPr>
                <w:color w:val="000000"/>
                <w:sz w:val="22"/>
                <w:szCs w:val="22"/>
              </w:rPr>
              <w:t>However, the EPDP Team recognizes that there are challenges in making this distinction in the context of domain name registrations as well as the potential implementation of any new functionality that would apply to pre-existing registrations. </w:t>
            </w:r>
          </w:p>
          <w:p w14:paraId="0BA7EC28" w14:textId="1DA90618" w:rsidR="00040CEC" w:rsidRPr="00040CEC" w:rsidRDefault="00040CEC" w:rsidP="00040CEC">
            <w:pPr>
              <w:numPr>
                <w:ilvl w:val="1"/>
                <w:numId w:val="18"/>
              </w:numPr>
              <w:ind w:left="720"/>
              <w:rPr>
                <w:color w:val="000000"/>
                <w:sz w:val="22"/>
                <w:szCs w:val="22"/>
              </w:rPr>
            </w:pPr>
            <w:r w:rsidRPr="00040CEC">
              <w:rPr>
                <w:color w:val="000000"/>
                <w:sz w:val="22"/>
                <w:szCs w:val="22"/>
              </w:rPr>
              <w:t>Additionally, other jurisdictions may have other categories of protected groups or other requirements that would need to be factored in.</w:t>
            </w:r>
          </w:p>
          <w:p w14:paraId="785B77F2" w14:textId="77777777" w:rsidR="00040CEC" w:rsidRPr="00040CEC" w:rsidRDefault="00040CEC" w:rsidP="00040CEC">
            <w:pPr>
              <w:ind w:left="720"/>
              <w:rPr>
                <w:color w:val="000000"/>
                <w:sz w:val="22"/>
                <w:szCs w:val="22"/>
              </w:rPr>
            </w:pPr>
          </w:p>
          <w:p w14:paraId="441B7BDE" w14:textId="77777777" w:rsidR="00040CEC" w:rsidRPr="00040CEC" w:rsidRDefault="00040CEC" w:rsidP="00040CEC">
            <w:pPr>
              <w:numPr>
                <w:ilvl w:val="0"/>
                <w:numId w:val="19"/>
              </w:numPr>
              <w:ind w:left="360"/>
              <w:rPr>
                <w:color w:val="000000"/>
                <w:sz w:val="22"/>
                <w:szCs w:val="22"/>
              </w:rPr>
            </w:pPr>
            <w:r w:rsidRPr="00040CEC">
              <w:rPr>
                <w:color w:val="000000"/>
                <w:sz w:val="22"/>
                <w:szCs w:val="22"/>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6D6BDC78" w14:textId="77777777" w:rsidR="00040CEC" w:rsidRPr="00040CEC" w:rsidRDefault="00040CEC" w:rsidP="00040CEC">
            <w:pPr>
              <w:rPr>
                <w:color w:val="000000"/>
                <w:sz w:val="22"/>
                <w:szCs w:val="22"/>
              </w:rPr>
            </w:pPr>
            <w:r w:rsidRPr="00040CEC">
              <w:rPr>
                <w:color w:val="000000"/>
                <w:sz w:val="22"/>
                <w:szCs w:val="22"/>
              </w:rPr>
              <w:t> </w:t>
            </w:r>
          </w:p>
          <w:p w14:paraId="5DF5EC37" w14:textId="77777777" w:rsidR="00040CEC" w:rsidRPr="00040CEC" w:rsidRDefault="00040CEC" w:rsidP="00040CEC">
            <w:pPr>
              <w:numPr>
                <w:ilvl w:val="0"/>
                <w:numId w:val="20"/>
              </w:numPr>
              <w:ind w:left="360"/>
              <w:rPr>
                <w:color w:val="000000"/>
                <w:sz w:val="22"/>
                <w:szCs w:val="22"/>
              </w:rPr>
            </w:pPr>
            <w:r w:rsidRPr="00040CEC">
              <w:rPr>
                <w:color w:val="000000"/>
                <w:sz w:val="22"/>
                <w:szCs w:val="22"/>
              </w:rPr>
              <w:t>Following the receipt of the research, the EPDP Team will explore in a timely manner how this distinction can be made in the context of domain name registrations in a satisfactory way.</w:t>
            </w:r>
          </w:p>
          <w:p w14:paraId="3E73E74D" w14:textId="77777777" w:rsidR="00040CEC" w:rsidRPr="00040CEC" w:rsidRDefault="00040CEC" w:rsidP="00040CEC">
            <w:pPr>
              <w:numPr>
                <w:ilvl w:val="1"/>
                <w:numId w:val="20"/>
              </w:numPr>
              <w:ind w:left="720"/>
              <w:rPr>
                <w:color w:val="000000"/>
                <w:sz w:val="22"/>
                <w:szCs w:val="22"/>
              </w:rPr>
            </w:pPr>
            <w:r w:rsidRPr="00040CEC">
              <w:rPr>
                <w:color w:val="000000"/>
                <w:sz w:val="22"/>
                <w:szCs w:val="22"/>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7F7D4F55" w14:textId="77777777" w:rsidR="00040CEC" w:rsidRPr="00040CEC" w:rsidRDefault="00040CEC" w:rsidP="00040CEC">
            <w:pPr>
              <w:numPr>
                <w:ilvl w:val="1"/>
                <w:numId w:val="20"/>
              </w:numPr>
              <w:ind w:left="720"/>
              <w:rPr>
                <w:color w:val="000000"/>
                <w:sz w:val="22"/>
                <w:szCs w:val="22"/>
              </w:rPr>
            </w:pPr>
            <w:r w:rsidRPr="00040CEC">
              <w:rPr>
                <w:color w:val="000000"/>
                <w:sz w:val="22"/>
                <w:szCs w:val="22"/>
              </w:rPr>
              <w:t>The EPDP Team should also consider which data fields (if any) need to be added to accomplish this distinction. This could require further liaising with the IETF if data fields in RDAP need to be added or changed.</w:t>
            </w:r>
          </w:p>
          <w:p w14:paraId="05597255" w14:textId="77777777" w:rsidR="00040CEC" w:rsidRPr="00040CEC" w:rsidRDefault="00040CEC" w:rsidP="00040CEC">
            <w:pPr>
              <w:rPr>
                <w:color w:val="000000"/>
                <w:sz w:val="22"/>
                <w:szCs w:val="22"/>
              </w:rPr>
            </w:pPr>
            <w:r w:rsidRPr="00040CEC">
              <w:rPr>
                <w:color w:val="000000"/>
                <w:sz w:val="22"/>
                <w:szCs w:val="22"/>
              </w:rPr>
              <w:t> </w:t>
            </w:r>
          </w:p>
          <w:p w14:paraId="787955A4" w14:textId="4FDAF2FF" w:rsidR="00040CEC" w:rsidRPr="00040CEC" w:rsidRDefault="00040CEC" w:rsidP="000D3957">
            <w:pPr>
              <w:numPr>
                <w:ilvl w:val="0"/>
                <w:numId w:val="17"/>
              </w:numPr>
              <w:ind w:left="360"/>
              <w:rPr>
                <w:color w:val="000000"/>
                <w:sz w:val="22"/>
                <w:szCs w:val="22"/>
              </w:rPr>
            </w:pPr>
            <w:r w:rsidRPr="00040CEC">
              <w:rPr>
                <w:color w:val="000000"/>
                <w:sz w:val="22"/>
                <w:szCs w:val="22"/>
              </w:rPr>
              <w:t>The EPDP Team recommends that</w:t>
            </w:r>
            <w:del w:id="170" w:author="Kapin, Laureen" w:date="2018-11-01T15:10:00Z">
              <w:r w:rsidRPr="00040CEC" w:rsidDel="00593AA2">
                <w:rPr>
                  <w:color w:val="000000"/>
                  <w:sz w:val="22"/>
                  <w:szCs w:val="22"/>
                </w:rPr>
                <w:delText>, as a best practice,</w:delText>
              </w:r>
            </w:del>
            <w:r w:rsidRPr="00040CEC">
              <w:rPr>
                <w:color w:val="000000"/>
                <w:sz w:val="22"/>
                <w:szCs w:val="22"/>
              </w:rPr>
              <w:t xml:space="preserve"> registries, registrars and ICANN each develop (educational) resources available that help registrants understand the distinction between a domain name that is registered by a natural person vs. legal person / entity. These resources and communications </w:t>
            </w:r>
            <w:r w:rsidRPr="00040CEC">
              <w:rPr>
                <w:color w:val="000000"/>
                <w:sz w:val="22"/>
                <w:szCs w:val="22"/>
              </w:rPr>
              <w:lastRenderedPageBreak/>
              <w:t xml:space="preserve">should </w:t>
            </w:r>
            <w:ins w:id="171" w:author="Kapin, Laureen" w:date="2018-11-01T15:10:00Z">
              <w:r w:rsidRPr="00040CEC">
                <w:rPr>
                  <w:color w:val="000000"/>
                  <w:sz w:val="22"/>
                  <w:szCs w:val="22"/>
                </w:rPr>
                <w:t xml:space="preserve">highlight that </w:t>
              </w:r>
            </w:ins>
            <w:ins w:id="172" w:author="Kapin, Laureen" w:date="2018-11-01T15:11:00Z">
              <w:r w:rsidRPr="00040CEC">
                <w:rPr>
                  <w:color w:val="000000"/>
                  <w:sz w:val="22"/>
                  <w:szCs w:val="22"/>
                </w:rPr>
                <w:t xml:space="preserve">the name and contact information of legal persons </w:t>
              </w:r>
            </w:ins>
            <w:ins w:id="173" w:author="Kapin, Laureen" w:date="2018-11-02T08:51:00Z">
              <w:r w:rsidRPr="00040CEC">
                <w:rPr>
                  <w:color w:val="000000"/>
                  <w:sz w:val="22"/>
                  <w:szCs w:val="22"/>
                </w:rPr>
                <w:t>will</w:t>
              </w:r>
            </w:ins>
            <w:ins w:id="174" w:author="Kapin, Laureen" w:date="2018-11-01T15:11:00Z">
              <w:r w:rsidRPr="00040CEC">
                <w:rPr>
                  <w:color w:val="000000"/>
                  <w:sz w:val="22"/>
                  <w:szCs w:val="22"/>
                </w:rPr>
                <w:t xml:space="preserve"> be disclosed in the public WHOIS and therefore </w:t>
              </w:r>
            </w:ins>
            <w:del w:id="175" w:author="Kapin, Laureen" w:date="2018-11-01T15:11:00Z">
              <w:r w:rsidRPr="00040CEC" w:rsidDel="009E234B">
                <w:rPr>
                  <w:color w:val="000000"/>
                  <w:sz w:val="22"/>
                  <w:szCs w:val="22"/>
                </w:rPr>
                <w:delText>also</w:delText>
              </w:r>
            </w:del>
            <w:r w:rsidRPr="00040CEC">
              <w:rPr>
                <w:color w:val="000000"/>
                <w:sz w:val="22"/>
                <w:szCs w:val="22"/>
              </w:rPr>
              <w:t xml:space="preserve"> encourage legal persons to provide non-personal information for their email address and other contact information.</w:t>
            </w:r>
          </w:p>
        </w:tc>
      </w:tr>
    </w:tbl>
    <w:p w14:paraId="714DC01F" w14:textId="53B9A0C5" w:rsidR="00040CEC" w:rsidRDefault="00040CEC"/>
    <w:tbl>
      <w:tblPr>
        <w:tblStyle w:val="TableGrid"/>
        <w:tblW w:w="0" w:type="auto"/>
        <w:tblLook w:val="04A0" w:firstRow="1" w:lastRow="0" w:firstColumn="1" w:lastColumn="0" w:noHBand="0" w:noVBand="1"/>
      </w:tblPr>
      <w:tblGrid>
        <w:gridCol w:w="9350"/>
      </w:tblGrid>
      <w:tr w:rsidR="00F84D4A" w:rsidRPr="00F84D4A" w14:paraId="109F8504" w14:textId="77777777" w:rsidTr="000D3957">
        <w:tc>
          <w:tcPr>
            <w:tcW w:w="9350" w:type="dxa"/>
            <w:shd w:val="clear" w:color="auto" w:fill="E7E6E6" w:themeFill="background2"/>
          </w:tcPr>
          <w:p w14:paraId="6F399F41" w14:textId="3B15219A" w:rsidR="00F84D4A" w:rsidRPr="00F84D4A" w:rsidRDefault="00F84D4A" w:rsidP="000D3957">
            <w:pPr>
              <w:rPr>
                <w:b/>
                <w:sz w:val="22"/>
                <w:szCs w:val="22"/>
              </w:rPr>
            </w:pPr>
            <w:r w:rsidRPr="00F84D4A">
              <w:rPr>
                <w:b/>
                <w:sz w:val="22"/>
                <w:szCs w:val="22"/>
              </w:rPr>
              <w:t>CPH</w:t>
            </w:r>
          </w:p>
        </w:tc>
      </w:tr>
      <w:tr w:rsidR="00F84D4A" w:rsidRPr="00F84D4A" w14:paraId="758407B7" w14:textId="77777777" w:rsidTr="000D3957">
        <w:tc>
          <w:tcPr>
            <w:tcW w:w="9350" w:type="dxa"/>
          </w:tcPr>
          <w:p w14:paraId="550BA4C0" w14:textId="77777777" w:rsidR="00F84D4A" w:rsidRPr="00F84D4A" w:rsidRDefault="00F84D4A" w:rsidP="00F84D4A">
            <w:pPr>
              <w:jc w:val="both"/>
              <w:rPr>
                <w:color w:val="000000"/>
                <w:sz w:val="22"/>
                <w:szCs w:val="22"/>
              </w:rPr>
            </w:pPr>
            <w:r w:rsidRPr="00F84D4A">
              <w:rPr>
                <w:color w:val="000000"/>
                <w:sz w:val="22"/>
                <w:szCs w:val="22"/>
              </w:rPr>
              <w:t>h)     </w:t>
            </w:r>
            <w:r w:rsidRPr="00F84D4A">
              <w:rPr>
                <w:b/>
                <w:color w:val="000000"/>
                <w:sz w:val="22"/>
                <w:szCs w:val="22"/>
              </w:rPr>
              <w:t>Applicability of Data Processing Requirements – Draft responses</w:t>
            </w:r>
          </w:p>
          <w:p w14:paraId="3ABC38AF" w14:textId="77777777" w:rsidR="00F84D4A" w:rsidRPr="00F84D4A" w:rsidRDefault="00F84D4A" w:rsidP="00F84D4A">
            <w:pPr>
              <w:jc w:val="both"/>
              <w:rPr>
                <w:color w:val="000000"/>
                <w:sz w:val="22"/>
                <w:szCs w:val="22"/>
              </w:rPr>
            </w:pPr>
            <w:r w:rsidRPr="00F84D4A">
              <w:rPr>
                <w:color w:val="000000"/>
                <w:sz w:val="22"/>
                <w:szCs w:val="22"/>
              </w:rPr>
              <w:t> </w:t>
            </w:r>
          </w:p>
          <w:p w14:paraId="61D770BB" w14:textId="77777777" w:rsidR="00F84D4A" w:rsidRPr="00F84D4A" w:rsidRDefault="00F84D4A" w:rsidP="00F84D4A">
            <w:pPr>
              <w:jc w:val="both"/>
              <w:rPr>
                <w:b/>
                <w:i/>
                <w:color w:val="000000"/>
                <w:sz w:val="22"/>
                <w:szCs w:val="22"/>
              </w:rPr>
            </w:pPr>
            <w:r w:rsidRPr="00F84D4A">
              <w:rPr>
                <w:b/>
                <w:i/>
                <w:color w:val="000000"/>
                <w:sz w:val="22"/>
                <w:szCs w:val="22"/>
              </w:rPr>
              <w:t>h3) Should Contracted Parties be allowed or required to treat legal and natural persons differently, and what mechanism is needed to ensure reliable determination of status? </w:t>
            </w:r>
          </w:p>
          <w:p w14:paraId="210CAA00" w14:textId="77777777" w:rsidR="00F84D4A" w:rsidRPr="00F84D4A" w:rsidRDefault="00F84D4A" w:rsidP="00F84D4A">
            <w:pPr>
              <w:jc w:val="both"/>
              <w:rPr>
                <w:color w:val="000000"/>
                <w:sz w:val="22"/>
                <w:szCs w:val="22"/>
              </w:rPr>
            </w:pPr>
            <w:r w:rsidRPr="00F84D4A">
              <w:rPr>
                <w:color w:val="000000"/>
                <w:sz w:val="22"/>
                <w:szCs w:val="22"/>
              </w:rPr>
              <w:t> </w:t>
            </w:r>
          </w:p>
          <w:p w14:paraId="7DE28356" w14:textId="77777777" w:rsidR="00F84D4A" w:rsidRPr="00F84D4A" w:rsidRDefault="00F84D4A" w:rsidP="00F84D4A">
            <w:pPr>
              <w:jc w:val="both"/>
              <w:rPr>
                <w:color w:val="000000"/>
                <w:sz w:val="22"/>
                <w:szCs w:val="22"/>
              </w:rPr>
            </w:pPr>
            <w:del w:id="176" w:author="Author" w:date="2018-11-02T15:21:00Z">
              <w:r w:rsidRPr="00F84D4A">
                <w:rPr>
                  <w:color w:val="000000"/>
                  <w:sz w:val="22"/>
                  <w:szCs w:val="22"/>
                </w:rPr>
                <w:delText>We seem to have agreed</w:delText>
              </w:r>
            </w:del>
            <w:ins w:id="177" w:author="Author" w:date="2018-11-02T15:21:00Z">
              <w:r w:rsidRPr="00F84D4A">
                <w:rPr>
                  <w:color w:val="000000"/>
                  <w:sz w:val="22"/>
                  <w:szCs w:val="22"/>
                </w:rPr>
                <w:t>The EPDP Team agree</w:t>
              </w:r>
              <w:r w:rsidRPr="00F84D4A">
                <w:rPr>
                  <w:sz w:val="22"/>
                  <w:szCs w:val="22"/>
                </w:rPr>
                <w:t>s</w:t>
              </w:r>
            </w:ins>
            <w:r w:rsidRPr="00F84D4A">
              <w:rPr>
                <w:color w:val="000000"/>
                <w:sz w:val="22"/>
                <w:szCs w:val="22"/>
              </w:rPr>
              <w:t xml:space="preserve"> that </w:t>
            </w:r>
            <w:del w:id="178" w:author="Author" w:date="2018-11-02T15:21:00Z">
              <w:r w:rsidRPr="00F84D4A">
                <w:rPr>
                  <w:color w:val="000000"/>
                  <w:sz w:val="22"/>
                  <w:szCs w:val="22"/>
                </w:rPr>
                <w:delText>yes, contracted parties</w:delText>
              </w:r>
            </w:del>
            <w:ins w:id="179" w:author="Author" w:date="2018-11-02T15:21:00Z">
              <w:r w:rsidRPr="00F84D4A">
                <w:rPr>
                  <w:color w:val="000000"/>
                  <w:sz w:val="22"/>
                  <w:szCs w:val="22"/>
                </w:rPr>
                <w:t>Contracted Parties</w:t>
              </w:r>
            </w:ins>
            <w:r w:rsidRPr="00F84D4A">
              <w:rPr>
                <w:color w:val="000000"/>
                <w:sz w:val="22"/>
                <w:szCs w:val="22"/>
              </w:rPr>
              <w:t xml:space="preserve"> should be allowed to treat legal and natural persons differently, but </w:t>
            </w:r>
            <w:ins w:id="180" w:author="Author" w:date="2018-11-02T15:21:00Z">
              <w:r w:rsidRPr="00F84D4A">
                <w:rPr>
                  <w:color w:val="000000"/>
                  <w:sz w:val="22"/>
                  <w:szCs w:val="22"/>
                </w:rPr>
                <w:t>a</w:t>
              </w:r>
              <w:r w:rsidRPr="00F84D4A">
                <w:rPr>
                  <w:sz w:val="22"/>
                  <w:szCs w:val="22"/>
                </w:rPr>
                <w:t>lso</w:t>
              </w:r>
              <w:r w:rsidRPr="00F84D4A">
                <w:rPr>
                  <w:color w:val="000000"/>
                  <w:sz w:val="22"/>
                  <w:szCs w:val="22"/>
                </w:rPr>
                <w:t xml:space="preserve"> recommends </w:t>
              </w:r>
            </w:ins>
            <w:r w:rsidRPr="00F84D4A">
              <w:rPr>
                <w:color w:val="000000"/>
                <w:sz w:val="22"/>
                <w:szCs w:val="22"/>
              </w:rPr>
              <w:t xml:space="preserve">the mechanism by which this </w:t>
            </w:r>
            <w:del w:id="181" w:author="Author" w:date="2018-11-02T15:21:00Z">
              <w:r w:rsidRPr="00F84D4A">
                <w:rPr>
                  <w:color w:val="000000"/>
                  <w:sz w:val="22"/>
                  <w:szCs w:val="22"/>
                </w:rPr>
                <w:delText>should or can</w:delText>
              </w:r>
            </w:del>
            <w:ins w:id="182" w:author="Author" w:date="2018-11-02T15:21:00Z">
              <w:r w:rsidRPr="00F84D4A">
                <w:rPr>
                  <w:color w:val="000000"/>
                  <w:sz w:val="22"/>
                  <w:szCs w:val="22"/>
                </w:rPr>
                <w:t>could</w:t>
              </w:r>
            </w:ins>
            <w:r w:rsidRPr="00F84D4A">
              <w:rPr>
                <w:color w:val="000000"/>
                <w:sz w:val="22"/>
                <w:szCs w:val="22"/>
              </w:rPr>
              <w:t xml:space="preserve"> be done should be further explored.</w:t>
            </w:r>
            <w:ins w:id="183" w:author="Author" w:date="2018-11-02T15:21:00Z">
              <w:r w:rsidRPr="00F84D4A">
                <w:rPr>
                  <w:color w:val="000000"/>
                  <w:sz w:val="22"/>
                  <w:szCs w:val="22"/>
                </w:rPr>
                <w:t xml:space="preserve"> </w:t>
              </w:r>
            </w:ins>
          </w:p>
          <w:p w14:paraId="75D56310" w14:textId="77777777" w:rsidR="00F84D4A" w:rsidRPr="00F84D4A" w:rsidRDefault="00F84D4A" w:rsidP="00F84D4A">
            <w:pPr>
              <w:jc w:val="both"/>
              <w:rPr>
                <w:moveTo w:id="184" w:author="Author" w:date="2018-11-02T15:21:00Z"/>
                <w:sz w:val="22"/>
                <w:szCs w:val="22"/>
              </w:rPr>
            </w:pPr>
            <w:moveToRangeStart w:id="185" w:author="Author" w:date="2018-11-02T15:21:00Z" w:name="move528935437"/>
          </w:p>
          <w:p w14:paraId="16466183" w14:textId="77777777" w:rsidR="00F84D4A" w:rsidRPr="00F84D4A" w:rsidRDefault="00F84D4A" w:rsidP="00F84D4A">
            <w:pPr>
              <w:jc w:val="both"/>
              <w:rPr>
                <w:ins w:id="186" w:author="Author" w:date="2018-11-02T15:21:00Z"/>
                <w:color w:val="000000"/>
                <w:sz w:val="22"/>
                <w:szCs w:val="22"/>
              </w:rPr>
            </w:pPr>
            <w:moveTo w:id="187" w:author="Author" w:date="2018-11-02T15:21:00Z">
              <w:r w:rsidRPr="00F84D4A">
                <w:rPr>
                  <w:color w:val="000000"/>
                  <w:sz w:val="22"/>
                  <w:szCs w:val="22"/>
                </w:rPr>
                <w:t xml:space="preserve">The EPDP Team </w:t>
              </w:r>
            </w:moveTo>
            <w:moveToRangeEnd w:id="185"/>
            <w:ins w:id="188" w:author="Author" w:date="2018-11-02T15:21:00Z">
              <w:r w:rsidRPr="00F84D4A">
                <w:rPr>
                  <w:b/>
                  <w:i/>
                  <w:sz w:val="22"/>
                  <w:szCs w:val="22"/>
                </w:rPr>
                <w:t>does no</w:t>
              </w:r>
              <w:r w:rsidRPr="00F84D4A">
                <w:rPr>
                  <w:b/>
                  <w:i/>
                  <w:color w:val="000000"/>
                  <w:sz w:val="22"/>
                  <w:szCs w:val="22"/>
                </w:rPr>
                <w:t>t agree</w:t>
              </w:r>
              <w:r w:rsidRPr="00F84D4A">
                <w:rPr>
                  <w:color w:val="000000"/>
                  <w:sz w:val="22"/>
                  <w:szCs w:val="22"/>
                </w:rPr>
                <w:t xml:space="preserve"> that Contracted Parties </w:t>
              </w:r>
              <w:r w:rsidRPr="00F84D4A">
                <w:rPr>
                  <w:sz w:val="22"/>
                  <w:szCs w:val="22"/>
                </w:rPr>
                <w:t>should be</w:t>
              </w:r>
              <w:r w:rsidRPr="00F84D4A">
                <w:rPr>
                  <w:color w:val="000000"/>
                  <w:sz w:val="22"/>
                  <w:szCs w:val="22"/>
                </w:rPr>
                <w:t xml:space="preserve"> </w:t>
              </w:r>
              <w:r w:rsidRPr="00F84D4A">
                <w:rPr>
                  <w:b/>
                  <w:i/>
                  <w:color w:val="000000"/>
                  <w:sz w:val="22"/>
                  <w:szCs w:val="22"/>
                </w:rPr>
                <w:t>required</w:t>
              </w:r>
              <w:r w:rsidRPr="00F84D4A">
                <w:rPr>
                  <w:color w:val="000000"/>
                  <w:sz w:val="22"/>
                  <w:szCs w:val="22"/>
                </w:rPr>
                <w:t xml:space="preserve"> to treat legal and natural persons differently. </w:t>
              </w:r>
            </w:ins>
          </w:p>
          <w:p w14:paraId="2517AC71" w14:textId="77777777" w:rsidR="00F84D4A" w:rsidRPr="00F84D4A" w:rsidRDefault="00F84D4A" w:rsidP="00F84D4A">
            <w:pPr>
              <w:jc w:val="both"/>
              <w:rPr>
                <w:color w:val="000000"/>
                <w:sz w:val="22"/>
                <w:szCs w:val="22"/>
              </w:rPr>
            </w:pPr>
            <w:r w:rsidRPr="00F84D4A">
              <w:rPr>
                <w:color w:val="000000"/>
                <w:sz w:val="22"/>
                <w:szCs w:val="22"/>
              </w:rPr>
              <w:t> </w:t>
            </w:r>
          </w:p>
          <w:p w14:paraId="183F3A54" w14:textId="77777777" w:rsidR="00F84D4A" w:rsidRPr="00F84D4A" w:rsidRDefault="00F84D4A" w:rsidP="00F84D4A">
            <w:pPr>
              <w:jc w:val="both"/>
              <w:rPr>
                <w:b/>
                <w:i/>
                <w:color w:val="000000"/>
                <w:sz w:val="22"/>
                <w:szCs w:val="22"/>
              </w:rPr>
            </w:pPr>
            <w:r w:rsidRPr="00F84D4A">
              <w:rPr>
                <w:b/>
                <w:i/>
                <w:color w:val="000000"/>
                <w:sz w:val="22"/>
                <w:szCs w:val="22"/>
              </w:rPr>
              <w:t>h4) Is there a legal basis for Contracted Parties to treat legal and natural persons differently?</w:t>
            </w:r>
          </w:p>
          <w:p w14:paraId="4CAD62BC" w14:textId="77777777" w:rsidR="00F84D4A" w:rsidRPr="00F84D4A" w:rsidRDefault="00F84D4A" w:rsidP="00F84D4A">
            <w:pPr>
              <w:rPr>
                <w:del w:id="189" w:author="Author" w:date="2018-11-02T15:21:00Z"/>
                <w:color w:val="000000"/>
                <w:sz w:val="22"/>
                <w:szCs w:val="22"/>
              </w:rPr>
            </w:pPr>
            <w:del w:id="190" w:author="Author" w:date="2018-11-02T15:21:00Z">
              <w:r w:rsidRPr="00F84D4A">
                <w:rPr>
                  <w:color w:val="000000"/>
                  <w:sz w:val="22"/>
                  <w:szCs w:val="22"/>
                </w:rPr>
                <w:delText> </w:delText>
              </w:r>
            </w:del>
          </w:p>
          <w:p w14:paraId="32B1A54F" w14:textId="77777777" w:rsidR="00F84D4A" w:rsidRPr="00F84D4A" w:rsidRDefault="00F84D4A" w:rsidP="00F84D4A">
            <w:pPr>
              <w:rPr>
                <w:ins w:id="191" w:author="Author" w:date="2018-11-02T15:21:00Z"/>
                <w:sz w:val="22"/>
                <w:szCs w:val="22"/>
              </w:rPr>
            </w:pPr>
            <w:del w:id="192" w:author="Author" w:date="2018-11-02T15:21:00Z">
              <w:r w:rsidRPr="00F84D4A">
                <w:rPr>
                  <w:color w:val="000000"/>
                  <w:sz w:val="22"/>
                  <w:szCs w:val="22"/>
                </w:rPr>
                <w:delText>We</w:delText>
              </w:r>
            </w:del>
          </w:p>
          <w:p w14:paraId="641F8776" w14:textId="77777777" w:rsidR="00F84D4A" w:rsidRPr="00F84D4A" w:rsidRDefault="00F84D4A" w:rsidP="00F84D4A">
            <w:pPr>
              <w:jc w:val="both"/>
              <w:rPr>
                <w:color w:val="000000"/>
                <w:sz w:val="22"/>
                <w:szCs w:val="22"/>
              </w:rPr>
            </w:pPr>
            <w:ins w:id="193" w:author="Author" w:date="2018-11-02T15:21:00Z">
              <w:r w:rsidRPr="00F84D4A">
                <w:rPr>
                  <w:sz w:val="22"/>
                  <w:szCs w:val="22"/>
                </w:rPr>
                <w:t>The EPDP Team</w:t>
              </w:r>
            </w:ins>
            <w:r w:rsidRPr="00F84D4A">
              <w:rPr>
                <w:sz w:val="22"/>
                <w:szCs w:val="22"/>
              </w:rPr>
              <w:t xml:space="preserve"> agreed that </w:t>
            </w:r>
            <w:del w:id="194" w:author="Author" w:date="2018-11-02T15:21:00Z">
              <w:r w:rsidRPr="00F84D4A">
                <w:rPr>
                  <w:color w:val="000000"/>
                  <w:sz w:val="22"/>
                  <w:szCs w:val="22"/>
                </w:rPr>
                <w:delText>under</w:delText>
              </w:r>
            </w:del>
            <w:ins w:id="195" w:author="Author" w:date="2018-11-02T15:21:00Z">
              <w:r w:rsidRPr="00F84D4A">
                <w:rPr>
                  <w:sz w:val="22"/>
                  <w:szCs w:val="22"/>
                </w:rPr>
                <w:t>the</w:t>
              </w:r>
            </w:ins>
            <w:r w:rsidRPr="00F84D4A">
              <w:rPr>
                <w:sz w:val="22"/>
                <w:szCs w:val="22"/>
              </w:rPr>
              <w:t xml:space="preserve"> GDPR </w:t>
            </w:r>
            <w:del w:id="196" w:author="Author" w:date="2018-11-02T15:21:00Z">
              <w:r w:rsidRPr="00F84D4A">
                <w:rPr>
                  <w:color w:val="000000"/>
                  <w:sz w:val="22"/>
                  <w:szCs w:val="22"/>
                </w:rPr>
                <w:delText xml:space="preserve">there is a </w:delText>
              </w:r>
            </w:del>
            <w:ins w:id="197" w:author="Author" w:date="2018-11-02T15:21:00Z">
              <w:r w:rsidRPr="00F84D4A">
                <w:rPr>
                  <w:sz w:val="22"/>
                  <w:szCs w:val="22"/>
                </w:rPr>
                <w:t xml:space="preserve">extends protections to natural persons data and therefore would allow for Contracted Parties to treat </w:t>
              </w:r>
            </w:ins>
            <w:r w:rsidRPr="00F84D4A">
              <w:rPr>
                <w:sz w:val="22"/>
                <w:szCs w:val="22"/>
              </w:rPr>
              <w:t xml:space="preserve">legal </w:t>
            </w:r>
            <w:del w:id="198" w:author="Author" w:date="2018-11-02T15:21:00Z">
              <w:r w:rsidRPr="00F84D4A">
                <w:rPr>
                  <w:color w:val="000000"/>
                  <w:sz w:val="22"/>
                  <w:szCs w:val="22"/>
                </w:rPr>
                <w:delText>basis.  While</w:delText>
              </w:r>
            </w:del>
            <w:ins w:id="199" w:author="Author" w:date="2018-11-02T15:21:00Z">
              <w:r w:rsidRPr="00F84D4A">
                <w:rPr>
                  <w:sz w:val="22"/>
                  <w:szCs w:val="22"/>
                </w:rPr>
                <w:t>persons data differently.  </w:t>
              </w:r>
              <w:r w:rsidRPr="00F84D4A">
                <w:rPr>
                  <w:color w:val="000000"/>
                  <w:sz w:val="22"/>
                  <w:szCs w:val="22"/>
                </w:rPr>
                <w:t>I</w:t>
              </w:r>
              <w:r w:rsidRPr="00F84D4A">
                <w:rPr>
                  <w:sz w:val="22"/>
                  <w:szCs w:val="22"/>
                </w:rPr>
                <w:t>t</w:t>
              </w:r>
              <w:r w:rsidRPr="00F84D4A">
                <w:rPr>
                  <w:color w:val="000000"/>
                  <w:sz w:val="22"/>
                  <w:szCs w:val="22"/>
                </w:rPr>
                <w:t xml:space="preserve"> should be strongly noted, however</w:t>
              </w:r>
              <w:r w:rsidRPr="00F84D4A">
                <w:rPr>
                  <w:sz w:val="22"/>
                  <w:szCs w:val="22"/>
                </w:rPr>
                <w:t>,</w:t>
              </w:r>
              <w:r w:rsidRPr="00F84D4A">
                <w:rPr>
                  <w:color w:val="000000"/>
                  <w:sz w:val="22"/>
                  <w:szCs w:val="22"/>
                </w:rPr>
                <w:t xml:space="preserve"> with du</w:t>
              </w:r>
              <w:r w:rsidRPr="00F84D4A">
                <w:rPr>
                  <w:sz w:val="22"/>
                  <w:szCs w:val="22"/>
                </w:rPr>
                <w:t>e</w:t>
              </w:r>
              <w:r w:rsidRPr="00F84D4A">
                <w:rPr>
                  <w:color w:val="000000"/>
                  <w:sz w:val="22"/>
                  <w:szCs w:val="22"/>
                </w:rPr>
                <w:t xml:space="preserve"> regard to the </w:t>
              </w:r>
              <w:r w:rsidRPr="00F84D4A">
                <w:rPr>
                  <w:sz w:val="22"/>
                  <w:szCs w:val="22"/>
                </w:rPr>
                <w:t>communications of the EDPB, this is not a straightforward delineation, and the EPDP team should be exceptionally cautious so as not to engage in broad and invalid assumptions that in any way enhance the risk of a personal data breach occurring. Such an increased risk is not in the interests of any party. Additionally, w</w:t>
              </w:r>
              <w:r w:rsidRPr="00F84D4A">
                <w:rPr>
                  <w:color w:val="000000"/>
                  <w:sz w:val="22"/>
                  <w:szCs w:val="22"/>
                </w:rPr>
                <w:t>hile</w:t>
              </w:r>
            </w:ins>
            <w:r w:rsidRPr="00F84D4A">
              <w:rPr>
                <w:color w:val="000000"/>
                <w:sz w:val="22"/>
                <w:szCs w:val="22"/>
              </w:rPr>
              <w:t xml:space="preserve"> the focus of this EPDP is GDPR compliance, </w:t>
            </w:r>
            <w:del w:id="200" w:author="Author" w:date="2018-11-02T15:21:00Z">
              <w:r w:rsidRPr="00F84D4A">
                <w:rPr>
                  <w:color w:val="000000"/>
                  <w:sz w:val="22"/>
                  <w:szCs w:val="22"/>
                </w:rPr>
                <w:delText>we did note</w:delText>
              </w:r>
            </w:del>
            <w:ins w:id="201" w:author="Author" w:date="2018-11-02T15:21:00Z">
              <w:r w:rsidRPr="00F84D4A">
                <w:rPr>
                  <w:color w:val="000000"/>
                  <w:sz w:val="22"/>
                  <w:szCs w:val="22"/>
                </w:rPr>
                <w:t>the EPDP Team noted</w:t>
              </w:r>
            </w:ins>
            <w:r w:rsidRPr="00F84D4A">
              <w:rPr>
                <w:color w:val="000000"/>
                <w:sz w:val="22"/>
                <w:szCs w:val="22"/>
              </w:rPr>
              <w:t xml:space="preserve"> that not all jurisdictions </w:t>
            </w:r>
            <w:del w:id="202" w:author="Author" w:date="2018-11-02T15:21:00Z">
              <w:r w:rsidRPr="00F84D4A">
                <w:rPr>
                  <w:color w:val="000000"/>
                  <w:sz w:val="22"/>
                  <w:szCs w:val="22"/>
                </w:rPr>
                <w:delText>have this same distinction so we have to make sure our</w:delText>
              </w:r>
            </w:del>
            <w:ins w:id="203" w:author="Author" w:date="2018-11-02T15:21:00Z">
              <w:r w:rsidRPr="00F84D4A">
                <w:rPr>
                  <w:color w:val="000000"/>
                  <w:sz w:val="22"/>
                  <w:szCs w:val="22"/>
                </w:rPr>
                <w:t xml:space="preserve">distinguish between legal and natural persons </w:t>
              </w:r>
              <w:r w:rsidRPr="00F84D4A">
                <w:rPr>
                  <w:sz w:val="22"/>
                  <w:szCs w:val="22"/>
                </w:rPr>
                <w:t>therefore any</w:t>
              </w:r>
            </w:ins>
            <w:r w:rsidRPr="00F84D4A">
              <w:rPr>
                <w:sz w:val="22"/>
                <w:szCs w:val="22"/>
              </w:rPr>
              <w:t xml:space="preserve"> </w:t>
            </w:r>
            <w:r w:rsidRPr="00F84D4A">
              <w:rPr>
                <w:color w:val="000000"/>
                <w:sz w:val="22"/>
                <w:szCs w:val="22"/>
              </w:rPr>
              <w:t xml:space="preserve">policy recommendations </w:t>
            </w:r>
            <w:del w:id="204" w:author="Author" w:date="2018-11-02T15:21:00Z">
              <w:r w:rsidRPr="00F84D4A">
                <w:rPr>
                  <w:color w:val="000000"/>
                  <w:sz w:val="22"/>
                  <w:szCs w:val="22"/>
                </w:rPr>
                <w:delText>are</w:delText>
              </w:r>
            </w:del>
            <w:ins w:id="205" w:author="Author" w:date="2018-11-02T15:21:00Z">
              <w:r w:rsidRPr="00F84D4A">
                <w:rPr>
                  <w:color w:val="000000"/>
                  <w:sz w:val="22"/>
                  <w:szCs w:val="22"/>
                </w:rPr>
                <w:t>must</w:t>
              </w:r>
              <w:r w:rsidRPr="00F84D4A">
                <w:rPr>
                  <w:sz w:val="22"/>
                  <w:szCs w:val="22"/>
                </w:rPr>
                <w:t xml:space="preserve"> remain</w:t>
              </w:r>
            </w:ins>
            <w:r w:rsidRPr="00F84D4A">
              <w:rPr>
                <w:color w:val="000000"/>
                <w:sz w:val="22"/>
                <w:szCs w:val="22"/>
              </w:rPr>
              <w:t xml:space="preserve"> flexible enough to take this into account.</w:t>
            </w:r>
          </w:p>
          <w:p w14:paraId="289CA9D0" w14:textId="77777777" w:rsidR="00F84D4A" w:rsidRPr="00F84D4A" w:rsidRDefault="00F84D4A" w:rsidP="00F84D4A">
            <w:pPr>
              <w:jc w:val="both"/>
              <w:rPr>
                <w:ins w:id="206" w:author="Author" w:date="2018-11-02T15:21:00Z"/>
                <w:color w:val="000000"/>
                <w:sz w:val="22"/>
                <w:szCs w:val="22"/>
              </w:rPr>
            </w:pPr>
            <w:r w:rsidRPr="00F84D4A">
              <w:rPr>
                <w:color w:val="000000"/>
                <w:sz w:val="22"/>
                <w:szCs w:val="22"/>
              </w:rPr>
              <w:t> </w:t>
            </w:r>
          </w:p>
          <w:p w14:paraId="1D2B5247" w14:textId="77777777" w:rsidR="00F84D4A" w:rsidRPr="00F84D4A" w:rsidRDefault="00F84D4A" w:rsidP="00F84D4A">
            <w:pPr>
              <w:jc w:val="both"/>
              <w:rPr>
                <w:b/>
                <w:i/>
                <w:sz w:val="22"/>
                <w:szCs w:val="22"/>
              </w:rPr>
            </w:pPr>
          </w:p>
          <w:p w14:paraId="22002CBC" w14:textId="77777777" w:rsidR="00F84D4A" w:rsidRPr="00F84D4A" w:rsidRDefault="00F84D4A" w:rsidP="00F84D4A">
            <w:pPr>
              <w:jc w:val="both"/>
              <w:rPr>
                <w:b/>
                <w:i/>
                <w:color w:val="000000"/>
                <w:sz w:val="22"/>
                <w:szCs w:val="22"/>
              </w:rPr>
            </w:pPr>
            <w:r w:rsidRPr="00F84D4A">
              <w:rPr>
                <w:b/>
                <w:i/>
                <w:color w:val="000000"/>
                <w:sz w:val="22"/>
                <w:szCs w:val="22"/>
              </w:rPr>
              <w:t>h5) What are the risks associated with differentiation of registrant status as legal or natural persons across multiple jurisdictions? (See EDPB letter of 5 July 2018).</w:t>
            </w:r>
          </w:p>
          <w:p w14:paraId="7BC0F1F3" w14:textId="77777777" w:rsidR="00F84D4A" w:rsidRPr="00F84D4A" w:rsidRDefault="00F84D4A" w:rsidP="00F84D4A">
            <w:pPr>
              <w:jc w:val="both"/>
              <w:rPr>
                <w:color w:val="000000"/>
                <w:sz w:val="22"/>
                <w:szCs w:val="22"/>
              </w:rPr>
            </w:pPr>
            <w:r w:rsidRPr="00F84D4A">
              <w:rPr>
                <w:color w:val="000000"/>
                <w:sz w:val="22"/>
                <w:szCs w:val="22"/>
              </w:rPr>
              <w:t> </w:t>
            </w:r>
          </w:p>
          <w:p w14:paraId="340EE652" w14:textId="77777777" w:rsidR="00F84D4A" w:rsidRPr="00F84D4A" w:rsidRDefault="00F84D4A" w:rsidP="00F84D4A">
            <w:pPr>
              <w:jc w:val="both"/>
              <w:rPr>
                <w:sz w:val="22"/>
                <w:szCs w:val="22"/>
              </w:rPr>
            </w:pPr>
            <w:del w:id="207" w:author="Author" w:date="2018-11-02T15:21:00Z">
              <w:r w:rsidRPr="00F84D4A">
                <w:rPr>
                  <w:color w:val="000000"/>
                  <w:sz w:val="22"/>
                  <w:szCs w:val="22"/>
                </w:rPr>
                <w:delText>The main</w:delText>
              </w:r>
            </w:del>
            <w:ins w:id="208" w:author="Author" w:date="2018-11-02T15:21:00Z">
              <w:r w:rsidRPr="00F84D4A">
                <w:rPr>
                  <w:color w:val="000000"/>
                  <w:sz w:val="22"/>
                  <w:szCs w:val="22"/>
                </w:rPr>
                <w:t>One important</w:t>
              </w:r>
            </w:ins>
            <w:r w:rsidRPr="00F84D4A">
              <w:rPr>
                <w:color w:val="000000"/>
                <w:sz w:val="22"/>
                <w:szCs w:val="22"/>
              </w:rPr>
              <w:t xml:space="preserve"> risk </w:t>
            </w:r>
            <w:del w:id="209" w:author="Author" w:date="2018-11-02T15:21:00Z">
              <w:r w:rsidRPr="00F84D4A">
                <w:rPr>
                  <w:color w:val="000000"/>
                  <w:sz w:val="22"/>
                  <w:szCs w:val="22"/>
                </w:rPr>
                <w:delText>seems to be</w:delText>
              </w:r>
            </w:del>
            <w:ins w:id="210" w:author="Author" w:date="2018-11-02T15:21:00Z">
              <w:r w:rsidRPr="00F84D4A">
                <w:rPr>
                  <w:color w:val="000000"/>
                  <w:sz w:val="22"/>
                  <w:szCs w:val="22"/>
                </w:rPr>
                <w:t>is</w:t>
              </w:r>
            </w:ins>
            <w:r w:rsidRPr="00F84D4A">
              <w:rPr>
                <w:color w:val="000000"/>
                <w:sz w:val="22"/>
                <w:szCs w:val="22"/>
              </w:rPr>
              <w:t xml:space="preserve"> that while legal persons don’t have the same protections under GDPR, natural persons employed by a legal person (and who may be designated as the registrant, admin or technical contact) are still natural persons with </w:t>
            </w:r>
            <w:del w:id="211" w:author="Author" w:date="2018-11-02T15:21:00Z">
              <w:r w:rsidRPr="00F84D4A">
                <w:rPr>
                  <w:color w:val="000000"/>
                  <w:sz w:val="22"/>
                  <w:szCs w:val="22"/>
                </w:rPr>
                <w:delText>rights/protection under GDPR. This risk may be minimized through educational resources as recommended below. [further flesh out risks: James Bladel to provide proposed language]</w:delText>
              </w:r>
            </w:del>
            <w:ins w:id="212" w:author="Author" w:date="2018-11-02T15:21:00Z">
              <w:r w:rsidRPr="00F84D4A">
                <w:rPr>
                  <w:color w:val="000000"/>
                  <w:sz w:val="22"/>
                  <w:szCs w:val="22"/>
                </w:rPr>
                <w:t>full rights</w:t>
              </w:r>
              <w:r w:rsidRPr="00F84D4A">
                <w:rPr>
                  <w:sz w:val="22"/>
                  <w:szCs w:val="22"/>
                </w:rPr>
                <w:t xml:space="preserve"> and </w:t>
              </w:r>
              <w:r w:rsidRPr="00F84D4A">
                <w:rPr>
                  <w:color w:val="000000"/>
                  <w:sz w:val="22"/>
                  <w:szCs w:val="22"/>
                </w:rPr>
                <w:t>protections under GDPR.</w:t>
              </w:r>
            </w:ins>
          </w:p>
          <w:p w14:paraId="3AA6B91F" w14:textId="77777777" w:rsidR="00F84D4A" w:rsidRPr="00F84D4A" w:rsidRDefault="00F84D4A" w:rsidP="00F84D4A">
            <w:pPr>
              <w:jc w:val="both"/>
              <w:rPr>
                <w:ins w:id="213" w:author="Author" w:date="2018-11-02T15:21:00Z"/>
                <w:sz w:val="22"/>
                <w:szCs w:val="22"/>
              </w:rPr>
            </w:pPr>
            <w:del w:id="214" w:author="Author" w:date="2018-11-02T15:21:00Z">
              <w:r w:rsidRPr="00F84D4A">
                <w:rPr>
                  <w:color w:val="000000"/>
                  <w:sz w:val="22"/>
                  <w:szCs w:val="22"/>
                </w:rPr>
                <w:delText> </w:delText>
              </w:r>
            </w:del>
          </w:p>
          <w:p w14:paraId="2918B23B" w14:textId="77777777" w:rsidR="00F84D4A" w:rsidRPr="00F84D4A" w:rsidRDefault="00F84D4A" w:rsidP="00F84D4A">
            <w:pPr>
              <w:jc w:val="both"/>
              <w:rPr>
                <w:ins w:id="215" w:author="Author" w:date="2018-11-02T15:21:00Z"/>
                <w:sz w:val="22"/>
                <w:szCs w:val="22"/>
              </w:rPr>
            </w:pPr>
            <w:ins w:id="216" w:author="Author" w:date="2018-11-02T15:21:00Z">
              <w:r w:rsidRPr="00F84D4A">
                <w:rPr>
                  <w:sz w:val="22"/>
                  <w:szCs w:val="22"/>
                </w:rPr>
                <w:t xml:space="preserve">The EPDP team </w:t>
              </w:r>
              <w:proofErr w:type="spellStart"/>
              <w:r w:rsidRPr="00F84D4A">
                <w:rPr>
                  <w:sz w:val="22"/>
                  <w:szCs w:val="22"/>
                </w:rPr>
                <w:t>recognises</w:t>
              </w:r>
              <w:proofErr w:type="spellEnd"/>
              <w:r w:rsidRPr="00F84D4A">
                <w:rPr>
                  <w:sz w:val="22"/>
                  <w:szCs w:val="22"/>
                </w:rPr>
                <w:t xml:space="preserve"> that registration data would not necessarily be subject to data protection requirements law, should such data relate purely to a legal person. It, should be noted, </w:t>
              </w:r>
              <w:proofErr w:type="gramStart"/>
              <w:r w:rsidRPr="00F84D4A">
                <w:rPr>
                  <w:sz w:val="22"/>
                  <w:szCs w:val="22"/>
                </w:rPr>
                <w:t>however,  that</w:t>
              </w:r>
              <w:proofErr w:type="gramEnd"/>
              <w:r w:rsidRPr="00F84D4A">
                <w:rPr>
                  <w:sz w:val="22"/>
                  <w:szCs w:val="22"/>
                </w:rPr>
                <w:t xml:space="preserve"> there are many situations where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 </w:t>
              </w:r>
              <w:proofErr w:type="gramStart"/>
              <w:r w:rsidRPr="00F84D4A">
                <w:rPr>
                  <w:sz w:val="22"/>
                  <w:szCs w:val="22"/>
                </w:rPr>
                <w:t>( “</w:t>
              </w:r>
              <w:proofErr w:type="gramEnd"/>
              <w:r w:rsidRPr="00F84D4A">
                <w:rPr>
                  <w:sz w:val="22"/>
                  <w:szCs w:val="22"/>
                </w:rPr>
                <w:t xml:space="preserve">john.doe@company.example.com” as opposed to “info@company.example.com”). The tendency to consider much company-related data as having an impact on the data protection rights of individuals can be seen in judgments of the Court of Justice of the EU (the “CJEU”) (e.g., the Bavarian Lager case, Case C-28/08 P, concerning the names of participants in a business meeting; and the Bara case, Case C201/14, concerning the processing of tax data of an </w:t>
              </w:r>
              <w:r w:rsidRPr="00F84D4A">
                <w:rPr>
                  <w:sz w:val="22"/>
                  <w:szCs w:val="22"/>
                </w:rPr>
                <w:lastRenderedPageBreak/>
                <w:t>individual by a public administrative body). Thus, it could be difficult in practice for ICANN to implement a policy that clearly separates the data of legal entities from personal data.</w:t>
              </w:r>
            </w:ins>
          </w:p>
          <w:p w14:paraId="337A3E5A" w14:textId="77777777" w:rsidR="00F84D4A" w:rsidRPr="00F84D4A" w:rsidRDefault="00F84D4A" w:rsidP="00F84D4A">
            <w:pPr>
              <w:jc w:val="both"/>
              <w:rPr>
                <w:ins w:id="217" w:author="Author" w:date="2018-11-02T15:21:00Z"/>
                <w:sz w:val="22"/>
                <w:szCs w:val="22"/>
              </w:rPr>
            </w:pPr>
          </w:p>
          <w:p w14:paraId="73B6D005" w14:textId="77777777" w:rsidR="00F84D4A" w:rsidRPr="00F84D4A" w:rsidRDefault="00F84D4A" w:rsidP="00F84D4A">
            <w:pPr>
              <w:jc w:val="both"/>
              <w:rPr>
                <w:ins w:id="218" w:author="Author" w:date="2018-11-02T15:21:00Z"/>
                <w:sz w:val="22"/>
                <w:szCs w:val="22"/>
              </w:rPr>
            </w:pPr>
            <w:ins w:id="219" w:author="Author" w:date="2018-11-02T15:21:00Z">
              <w:r w:rsidRPr="00F84D4A">
                <w:rPr>
                  <w:sz w:val="22"/>
                  <w:szCs w:val="22"/>
                </w:rPr>
                <w:t>The EPDP has discussed whether t</w:t>
              </w:r>
              <w:r w:rsidRPr="00F84D4A">
                <w:rPr>
                  <w:color w:val="000000"/>
                  <w:sz w:val="22"/>
                  <w:szCs w:val="22"/>
                </w:rPr>
                <w:t xml:space="preserve">his risk may be somewhat mitigated through educational resources </w:t>
              </w:r>
              <w:r w:rsidRPr="00F84D4A">
                <w:rPr>
                  <w:sz w:val="22"/>
                  <w:szCs w:val="22"/>
                </w:rPr>
                <w:t xml:space="preserve">(see </w:t>
              </w:r>
              <w:r w:rsidRPr="00F84D4A">
                <w:rPr>
                  <w:color w:val="000000"/>
                  <w:sz w:val="22"/>
                  <w:szCs w:val="22"/>
                </w:rPr>
                <w:t>recommendat</w:t>
              </w:r>
              <w:r w:rsidRPr="00F84D4A">
                <w:rPr>
                  <w:sz w:val="22"/>
                  <w:szCs w:val="22"/>
                </w:rPr>
                <w:t>ions)</w:t>
              </w:r>
              <w:r w:rsidRPr="00F84D4A">
                <w:rPr>
                  <w:color w:val="000000"/>
                  <w:sz w:val="22"/>
                  <w:szCs w:val="22"/>
                </w:rPr>
                <w:t xml:space="preserve">. </w:t>
              </w:r>
              <w:r w:rsidRPr="00F84D4A">
                <w:rPr>
                  <w:sz w:val="22"/>
                  <w:szCs w:val="22"/>
                </w:rPr>
                <w:t xml:space="preserve"> Caution has been advised, as a stated necessity to rely </w:t>
              </w:r>
              <w:proofErr w:type="gramStart"/>
              <w:r w:rsidRPr="00F84D4A">
                <w:rPr>
                  <w:sz w:val="22"/>
                  <w:szCs w:val="22"/>
                </w:rPr>
                <w:t>on  educational</w:t>
              </w:r>
              <w:proofErr w:type="gramEnd"/>
              <w:r w:rsidRPr="00F84D4A">
                <w:rPr>
                  <w:sz w:val="22"/>
                  <w:szCs w:val="22"/>
                </w:rPr>
                <w:t xml:space="preserve"> resources may not be considered to be compatible with the concepts of privacy by default or privacy by design i.e. where additional ‘educational resources’ are deemed necessary, the process itself is likely not established or presented in a sufficiently clear manner. </w:t>
              </w:r>
            </w:ins>
          </w:p>
          <w:p w14:paraId="47573B0A" w14:textId="77777777" w:rsidR="00F84D4A" w:rsidRPr="00F84D4A" w:rsidRDefault="00F84D4A" w:rsidP="00F84D4A">
            <w:pPr>
              <w:jc w:val="both"/>
              <w:rPr>
                <w:ins w:id="220" w:author="Author" w:date="2018-11-02T15:21:00Z"/>
                <w:sz w:val="22"/>
                <w:szCs w:val="22"/>
              </w:rPr>
            </w:pPr>
          </w:p>
          <w:p w14:paraId="7880C5C5" w14:textId="77777777" w:rsidR="00F84D4A" w:rsidRPr="00F84D4A" w:rsidRDefault="00F84D4A" w:rsidP="00F84D4A">
            <w:pPr>
              <w:jc w:val="both"/>
              <w:rPr>
                <w:ins w:id="221" w:author="Author" w:date="2018-11-02T15:21:00Z"/>
                <w:sz w:val="22"/>
                <w:szCs w:val="22"/>
              </w:rPr>
            </w:pPr>
            <w:ins w:id="222" w:author="Author" w:date="2018-11-02T15:21:00Z">
              <w:r w:rsidRPr="00F84D4A">
                <w:rPr>
                  <w:sz w:val="22"/>
                  <w:szCs w:val="22"/>
                </w:rPr>
                <w:t xml:space="preserve">The EPDP should also avoid making recommendations where it is perceived that the issue of the data subject rights can be addressed by further contractual language to be enforced against the Contracted Parties. The EPDP should focus on vindicating the rights of the data subjects and not contriving a legal mechanism to maintain a flawed delineation, where it remains clear that certainty, both legal and technological, simply doesn’t currently exist. </w:t>
              </w:r>
            </w:ins>
          </w:p>
          <w:p w14:paraId="7F302048" w14:textId="77777777" w:rsidR="00F84D4A" w:rsidRPr="00F84D4A" w:rsidRDefault="00F84D4A" w:rsidP="00F84D4A">
            <w:pPr>
              <w:jc w:val="both"/>
              <w:rPr>
                <w:ins w:id="223" w:author="Author" w:date="2018-11-02T15:21:00Z"/>
                <w:sz w:val="22"/>
                <w:szCs w:val="22"/>
              </w:rPr>
            </w:pPr>
          </w:p>
          <w:p w14:paraId="745364F6" w14:textId="77777777" w:rsidR="00F84D4A" w:rsidRPr="00F84D4A" w:rsidRDefault="00F84D4A" w:rsidP="00F84D4A">
            <w:pPr>
              <w:jc w:val="both"/>
              <w:rPr>
                <w:ins w:id="224" w:author="Author" w:date="2018-11-02T15:21:00Z"/>
                <w:sz w:val="22"/>
                <w:szCs w:val="22"/>
              </w:rPr>
            </w:pPr>
            <w:ins w:id="225" w:author="Author" w:date="2018-11-02T15:21:00Z">
              <w:r w:rsidRPr="00F84D4A">
                <w:rPr>
                  <w:sz w:val="22"/>
                  <w:szCs w:val="22"/>
                </w:rPr>
                <w:t xml:space="preserve">It is furthermore wrong to suggest that such an approach is considered to be ‘over-compliance’. It submitted that current expert opinion (i.e. the opinion of the contracted parties who are objectively the best placed to appreciate the inbuilt limitations of the current system which  they themselves maintain) is that in order to ensure minimum compliance with the GDPR, we must ensure adequate controls are in place to prevent breaches (such as accidental and inadvertent publication of personal data under the false assumption that it is data of a ‘legal person’ ). It is the opinion of the contracted parties that this can currently only be achieved by applying protections to all registrants, until such a time as there are substantial advancements in the state of the art, and even then, such an imposition would only be acceptable with a full and due regard to the cost and feasibility of implementation.  </w:t>
              </w:r>
            </w:ins>
          </w:p>
          <w:p w14:paraId="3E55267B" w14:textId="77777777" w:rsidR="00F84D4A" w:rsidRPr="00F84D4A" w:rsidRDefault="00F84D4A" w:rsidP="00F84D4A">
            <w:pPr>
              <w:jc w:val="both"/>
              <w:rPr>
                <w:ins w:id="226" w:author="Author" w:date="2018-11-02T15:21:00Z"/>
                <w:sz w:val="22"/>
                <w:szCs w:val="22"/>
              </w:rPr>
            </w:pPr>
          </w:p>
          <w:p w14:paraId="63B212ED" w14:textId="77777777" w:rsidR="00F84D4A" w:rsidRPr="00F84D4A" w:rsidRDefault="00F84D4A" w:rsidP="00F84D4A">
            <w:pPr>
              <w:jc w:val="both"/>
              <w:rPr>
                <w:ins w:id="227" w:author="Author" w:date="2018-11-02T15:21:00Z"/>
                <w:sz w:val="22"/>
                <w:szCs w:val="22"/>
              </w:rPr>
            </w:pPr>
            <w:ins w:id="228" w:author="Author" w:date="2018-11-02T15:21:00Z">
              <w:r w:rsidRPr="00F84D4A">
                <w:rPr>
                  <w:sz w:val="22"/>
                  <w:szCs w:val="22"/>
                </w:rPr>
                <w:t xml:space="preserve">It is, in the interim, acceptable were the minimum ICANN policy to make the implementation of such a delineation optional (as is currently allowed by the temporary specification); however, such a choice should rest with individual Contracted Party, and should be based on all the factors that they themselves may discern as applicable to their business model, to voluntarily assume such risk. </w:t>
              </w:r>
            </w:ins>
          </w:p>
          <w:p w14:paraId="418CEA8F" w14:textId="77777777" w:rsidR="00F84D4A" w:rsidRPr="00F84D4A" w:rsidRDefault="00F84D4A" w:rsidP="00F84D4A">
            <w:pPr>
              <w:jc w:val="both"/>
              <w:rPr>
                <w:ins w:id="229" w:author="Author" w:date="2018-11-02T15:21:00Z"/>
                <w:sz w:val="22"/>
                <w:szCs w:val="22"/>
              </w:rPr>
            </w:pPr>
            <w:ins w:id="230" w:author="Author" w:date="2018-11-02T15:21:00Z">
              <w:r w:rsidRPr="00F84D4A">
                <w:rPr>
                  <w:sz w:val="22"/>
                  <w:szCs w:val="22"/>
                </w:rPr>
                <w:t>Additionally, the team continues to discuss what data elements are required to be collected.  If data elements are required to be collected only solely to make a distinction between natural and legal persons, that represents a higher risk as that determination isn’t necessary to effect and manage a domain name registration and does not adhere to the principle of data minimization.</w:t>
              </w:r>
            </w:ins>
          </w:p>
          <w:p w14:paraId="560F4F55" w14:textId="77777777" w:rsidR="00F84D4A" w:rsidRPr="00F84D4A" w:rsidRDefault="00F84D4A" w:rsidP="00F84D4A">
            <w:pPr>
              <w:jc w:val="both"/>
              <w:rPr>
                <w:sz w:val="22"/>
                <w:szCs w:val="22"/>
              </w:rPr>
            </w:pPr>
          </w:p>
          <w:p w14:paraId="2463527D" w14:textId="77777777" w:rsidR="00F84D4A" w:rsidRPr="00F84D4A" w:rsidRDefault="00F84D4A" w:rsidP="00F84D4A">
            <w:pPr>
              <w:jc w:val="both"/>
              <w:rPr>
                <w:color w:val="000000"/>
                <w:sz w:val="22"/>
                <w:szCs w:val="22"/>
              </w:rPr>
            </w:pPr>
            <w:r w:rsidRPr="00F84D4A">
              <w:rPr>
                <w:b/>
                <w:color w:val="000000"/>
                <w:sz w:val="22"/>
                <w:szCs w:val="22"/>
              </w:rPr>
              <w:t>Proposed Preliminary Policy Recommendation for inclusion in the Initial Report</w:t>
            </w:r>
          </w:p>
          <w:p w14:paraId="11603A63" w14:textId="77777777" w:rsidR="00F84D4A" w:rsidRPr="00F84D4A" w:rsidRDefault="00F84D4A" w:rsidP="00F84D4A">
            <w:pPr>
              <w:jc w:val="both"/>
              <w:rPr>
                <w:color w:val="000000"/>
                <w:sz w:val="22"/>
                <w:szCs w:val="22"/>
              </w:rPr>
            </w:pPr>
            <w:r w:rsidRPr="00F84D4A">
              <w:rPr>
                <w:color w:val="000000"/>
                <w:sz w:val="22"/>
                <w:szCs w:val="22"/>
              </w:rPr>
              <w:t> </w:t>
            </w:r>
          </w:p>
          <w:p w14:paraId="33ACAB8D" w14:textId="77777777" w:rsidR="00F84D4A" w:rsidRPr="00F84D4A" w:rsidRDefault="00F84D4A" w:rsidP="00F84D4A">
            <w:pPr>
              <w:jc w:val="both"/>
              <w:rPr>
                <w:color w:val="000000"/>
                <w:sz w:val="22"/>
                <w:szCs w:val="22"/>
              </w:rPr>
            </w:pPr>
            <w:r w:rsidRPr="00F84D4A">
              <w:rPr>
                <w:color w:val="000000"/>
                <w:sz w:val="22"/>
                <w:szCs w:val="22"/>
              </w:rPr>
              <w:t>The EPDP Team recommends that:</w:t>
            </w:r>
          </w:p>
          <w:p w14:paraId="023E13EC" w14:textId="77777777" w:rsidR="00F84D4A" w:rsidRPr="00F84D4A" w:rsidRDefault="00F84D4A" w:rsidP="00F84D4A">
            <w:pPr>
              <w:jc w:val="both"/>
              <w:rPr>
                <w:ins w:id="231" w:author="Author" w:date="2018-11-02T15:21:00Z"/>
                <w:sz w:val="22"/>
                <w:szCs w:val="22"/>
              </w:rPr>
            </w:pPr>
            <w:del w:id="232" w:author="Author" w:date="2018-11-02T15:21:00Z">
              <w:r w:rsidRPr="00F84D4A">
                <w:rPr>
                  <w:color w:val="000000"/>
                  <w:sz w:val="22"/>
                  <w:szCs w:val="22"/>
                </w:rPr>
                <w:delText xml:space="preserve">The </w:delText>
              </w:r>
            </w:del>
          </w:p>
          <w:p w14:paraId="228EF417" w14:textId="77777777" w:rsidR="00F84D4A" w:rsidRPr="00F84D4A" w:rsidRDefault="00F84D4A" w:rsidP="00F84D4A">
            <w:pPr>
              <w:numPr>
                <w:ilvl w:val="0"/>
                <w:numId w:val="21"/>
              </w:numPr>
              <w:ind w:left="360"/>
              <w:contextualSpacing/>
              <w:jc w:val="both"/>
              <w:rPr>
                <w:ins w:id="233" w:author="Author" w:date="2018-11-02T15:21:00Z"/>
                <w:sz w:val="22"/>
                <w:szCs w:val="22"/>
              </w:rPr>
            </w:pPr>
            <w:ins w:id="234" w:author="Author" w:date="2018-11-02T15:21:00Z">
              <w:r w:rsidRPr="00F84D4A">
                <w:rPr>
                  <w:sz w:val="22"/>
                  <w:szCs w:val="22"/>
                </w:rPr>
                <w:t xml:space="preserve">Subject to any substantial and material conclusions as a result of research as recommended below, the current temp spec wording should be generally retained. </w:t>
              </w:r>
            </w:ins>
          </w:p>
          <w:p w14:paraId="6136E867" w14:textId="77777777" w:rsidR="00F84D4A" w:rsidRPr="00F84D4A" w:rsidRDefault="00F84D4A" w:rsidP="00F84D4A">
            <w:pPr>
              <w:ind w:left="720"/>
              <w:jc w:val="both"/>
              <w:rPr>
                <w:ins w:id="235" w:author="Author" w:date="2018-11-02T15:21:00Z"/>
                <w:sz w:val="22"/>
                <w:szCs w:val="22"/>
              </w:rPr>
            </w:pPr>
          </w:p>
          <w:p w14:paraId="127EA44B" w14:textId="77777777" w:rsidR="00F84D4A" w:rsidRPr="00F84D4A" w:rsidRDefault="00F84D4A" w:rsidP="00F84D4A">
            <w:pPr>
              <w:numPr>
                <w:ilvl w:val="0"/>
                <w:numId w:val="22"/>
              </w:numPr>
              <w:ind w:left="360"/>
              <w:jc w:val="both"/>
              <w:rPr>
                <w:color w:val="000000"/>
                <w:sz w:val="22"/>
                <w:szCs w:val="22"/>
              </w:rPr>
            </w:pPr>
            <w:ins w:id="236" w:author="Author" w:date="2018-11-02T15:21:00Z">
              <w:r w:rsidRPr="00F84D4A">
                <w:rPr>
                  <w:sz w:val="22"/>
                  <w:szCs w:val="22"/>
                </w:rPr>
                <w:t xml:space="preserve">Although noting a </w:t>
              </w:r>
            </w:ins>
            <w:r w:rsidRPr="00F84D4A">
              <w:rPr>
                <w:color w:val="000000"/>
                <w:sz w:val="22"/>
                <w:szCs w:val="22"/>
              </w:rPr>
              <w:t xml:space="preserve">distinction </w:t>
            </w:r>
            <w:ins w:id="237" w:author="Author" w:date="2018-11-02T15:21:00Z">
              <w:r w:rsidRPr="00F84D4A">
                <w:rPr>
                  <w:sz w:val="22"/>
                  <w:szCs w:val="22"/>
                </w:rPr>
                <w:t>exists</w:t>
              </w:r>
              <w:r w:rsidRPr="00F84D4A">
                <w:rPr>
                  <w:color w:val="000000"/>
                  <w:sz w:val="22"/>
                  <w:szCs w:val="22"/>
                </w:rPr>
                <w:t xml:space="preserve"> </w:t>
              </w:r>
            </w:ins>
            <w:r w:rsidRPr="00F84D4A">
              <w:rPr>
                <w:color w:val="000000"/>
                <w:sz w:val="22"/>
                <w:szCs w:val="22"/>
              </w:rPr>
              <w:t xml:space="preserve">between legal and natural persons </w:t>
            </w:r>
            <w:del w:id="238" w:author="Author" w:date="2018-11-02T15:21:00Z">
              <w:r w:rsidRPr="00F84D4A">
                <w:rPr>
                  <w:color w:val="000000"/>
                  <w:sz w:val="22"/>
                  <w:szCs w:val="22"/>
                </w:rPr>
                <w:delText>is useful and necessary for</w:delText>
              </w:r>
            </w:del>
            <w:ins w:id="239" w:author="Author" w:date="2018-11-02T15:21:00Z">
              <w:r w:rsidRPr="00F84D4A">
                <w:rPr>
                  <w:color w:val="000000"/>
                  <w:sz w:val="22"/>
                  <w:szCs w:val="22"/>
                </w:rPr>
                <w:t>under</w:t>
              </w:r>
            </w:ins>
            <w:r w:rsidRPr="00F84D4A">
              <w:rPr>
                <w:color w:val="000000"/>
                <w:sz w:val="22"/>
                <w:szCs w:val="22"/>
              </w:rPr>
              <w:t xml:space="preserve"> GDPR </w:t>
            </w:r>
            <w:ins w:id="240" w:author="Author" w:date="2018-11-02T15:21:00Z">
              <w:r w:rsidRPr="00F84D4A">
                <w:rPr>
                  <w:color w:val="000000"/>
                  <w:sz w:val="22"/>
                  <w:szCs w:val="22"/>
                </w:rPr>
                <w:t>(</w:t>
              </w:r>
            </w:ins>
            <w:r w:rsidRPr="00F84D4A">
              <w:rPr>
                <w:color w:val="000000"/>
                <w:sz w:val="22"/>
                <w:szCs w:val="22"/>
              </w:rPr>
              <w:t xml:space="preserve">and </w:t>
            </w:r>
            <w:del w:id="241" w:author="Author" w:date="2018-11-02T15:21:00Z">
              <w:r w:rsidRPr="00F84D4A">
                <w:rPr>
                  <w:color w:val="000000"/>
                  <w:sz w:val="22"/>
                  <w:szCs w:val="22"/>
                </w:rPr>
                <w:delText xml:space="preserve">some </w:delText>
              </w:r>
            </w:del>
            <w:r w:rsidRPr="00F84D4A">
              <w:rPr>
                <w:color w:val="000000"/>
                <w:sz w:val="22"/>
                <w:szCs w:val="22"/>
              </w:rPr>
              <w:t>other data protection laws</w:t>
            </w:r>
            <w:del w:id="242" w:author="Author" w:date="2018-11-02T15:21:00Z">
              <w:r w:rsidRPr="00F84D4A">
                <w:rPr>
                  <w:color w:val="000000"/>
                  <w:sz w:val="22"/>
                  <w:szCs w:val="22"/>
                </w:rPr>
                <w:delText>.</w:delText>
              </w:r>
            </w:del>
            <w:ins w:id="243" w:author="Author" w:date="2018-11-02T15:21:00Z">
              <w:r w:rsidRPr="00F84D4A">
                <w:rPr>
                  <w:color w:val="000000"/>
                  <w:sz w:val="22"/>
                  <w:szCs w:val="22"/>
                </w:rPr>
                <w:t>):</w:t>
              </w:r>
            </w:ins>
          </w:p>
          <w:p w14:paraId="5FB310FA" w14:textId="37189DEA" w:rsidR="00F84D4A" w:rsidRPr="00F84D4A" w:rsidRDefault="00F84D4A" w:rsidP="00F84D4A">
            <w:pPr>
              <w:numPr>
                <w:ilvl w:val="1"/>
                <w:numId w:val="22"/>
              </w:numPr>
              <w:ind w:left="720"/>
              <w:jc w:val="both"/>
              <w:rPr>
                <w:color w:val="000000"/>
                <w:sz w:val="22"/>
                <w:szCs w:val="22"/>
              </w:rPr>
            </w:pPr>
            <w:del w:id="244" w:author="Author" w:date="2018-11-02T15:21:00Z">
              <w:r w:rsidRPr="00F84D4A">
                <w:rPr>
                  <w:color w:val="000000"/>
                  <w:sz w:val="22"/>
                  <w:szCs w:val="22"/>
                </w:rPr>
                <w:delText>However, the</w:delText>
              </w:r>
            </w:del>
            <w:ins w:id="245" w:author="Author" w:date="2018-11-02T15:21:00Z">
              <w:r w:rsidRPr="00F84D4A">
                <w:rPr>
                  <w:sz w:val="22"/>
                  <w:szCs w:val="22"/>
                </w:rPr>
                <w:t>T</w:t>
              </w:r>
              <w:r w:rsidRPr="00F84D4A">
                <w:rPr>
                  <w:color w:val="000000"/>
                  <w:sz w:val="22"/>
                  <w:szCs w:val="22"/>
                </w:rPr>
                <w:t>he</w:t>
              </w:r>
            </w:ins>
            <w:r w:rsidRPr="00F84D4A">
              <w:rPr>
                <w:color w:val="000000"/>
                <w:sz w:val="22"/>
                <w:szCs w:val="22"/>
              </w:rPr>
              <w:t xml:space="preserve"> EPDP Team recognizes that there are </w:t>
            </w:r>
            <w:ins w:id="246" w:author="Author" w:date="2018-11-02T15:21:00Z">
              <w:r w:rsidRPr="00F84D4A">
                <w:rPr>
                  <w:color w:val="000000"/>
                  <w:sz w:val="22"/>
                  <w:szCs w:val="22"/>
                </w:rPr>
                <w:t>technical</w:t>
              </w:r>
              <w:r w:rsidRPr="00F84D4A">
                <w:rPr>
                  <w:sz w:val="22"/>
                  <w:szCs w:val="22"/>
                </w:rPr>
                <w:t xml:space="preserve"> and </w:t>
              </w:r>
              <w:r w:rsidRPr="00F84D4A">
                <w:rPr>
                  <w:color w:val="000000"/>
                  <w:sz w:val="22"/>
                  <w:szCs w:val="22"/>
                </w:rPr>
                <w:t xml:space="preserve">financial </w:t>
              </w:r>
            </w:ins>
            <w:r w:rsidRPr="00F84D4A">
              <w:rPr>
                <w:color w:val="000000"/>
                <w:sz w:val="22"/>
                <w:szCs w:val="22"/>
              </w:rPr>
              <w:t xml:space="preserve">challenges in </w:t>
            </w:r>
            <w:ins w:id="247" w:author="Author" w:date="2018-11-02T15:21:00Z">
              <w:r w:rsidRPr="00F84D4A">
                <w:rPr>
                  <w:color w:val="000000"/>
                  <w:sz w:val="22"/>
                  <w:szCs w:val="22"/>
                </w:rPr>
                <w:t xml:space="preserve">effectively </w:t>
              </w:r>
            </w:ins>
            <w:r w:rsidRPr="00F84D4A">
              <w:rPr>
                <w:color w:val="000000"/>
                <w:sz w:val="22"/>
                <w:szCs w:val="22"/>
              </w:rPr>
              <w:t xml:space="preserve">making this distinction in the context of domain name </w:t>
            </w:r>
            <w:del w:id="248" w:author="Author" w:date="2018-11-02T15:21:00Z">
              <w:r w:rsidRPr="00F84D4A">
                <w:rPr>
                  <w:color w:val="000000"/>
                  <w:sz w:val="22"/>
                  <w:szCs w:val="22"/>
                </w:rPr>
                <w:delText>registrations</w:delText>
              </w:r>
            </w:del>
            <w:ins w:id="249" w:author="Author" w:date="2018-11-02T15:21:00Z">
              <w:r w:rsidRPr="00F84D4A">
                <w:rPr>
                  <w:color w:val="000000"/>
                  <w:sz w:val="22"/>
                  <w:szCs w:val="22"/>
                </w:rPr>
                <w:t xml:space="preserve">registration and </w:t>
              </w:r>
              <w:r w:rsidRPr="00F84D4A">
                <w:rPr>
                  <w:sz w:val="22"/>
                  <w:szCs w:val="22"/>
                </w:rPr>
                <w:t>in the ongoing</w:t>
              </w:r>
              <w:r w:rsidRPr="00F84D4A">
                <w:rPr>
                  <w:color w:val="000000"/>
                  <w:sz w:val="22"/>
                  <w:szCs w:val="22"/>
                </w:rPr>
                <w:t xml:space="preserve"> maintenance of such domains,</w:t>
              </w:r>
            </w:ins>
            <w:r w:rsidRPr="00F84D4A">
              <w:rPr>
                <w:color w:val="000000"/>
                <w:sz w:val="22"/>
                <w:szCs w:val="22"/>
              </w:rPr>
              <w:t xml:space="preserve"> as well as the potential implementation of any </w:t>
            </w:r>
            <w:ins w:id="250" w:author="Author" w:date="2018-11-02T15:21:00Z">
              <w:r w:rsidRPr="00F84D4A">
                <w:rPr>
                  <w:color w:val="000000"/>
                  <w:sz w:val="22"/>
                  <w:szCs w:val="22"/>
                </w:rPr>
                <w:t xml:space="preserve">such </w:t>
              </w:r>
            </w:ins>
            <w:r w:rsidRPr="00F84D4A">
              <w:rPr>
                <w:color w:val="000000"/>
                <w:sz w:val="22"/>
                <w:szCs w:val="22"/>
              </w:rPr>
              <w:t>new functionality</w:t>
            </w:r>
            <w:r w:rsidRPr="00F84D4A">
              <w:rPr>
                <w:sz w:val="22"/>
                <w:szCs w:val="22"/>
              </w:rPr>
              <w:t xml:space="preserve"> </w:t>
            </w:r>
            <w:del w:id="251" w:author="Author" w:date="2018-11-02T15:21:00Z">
              <w:r w:rsidRPr="00F84D4A">
                <w:rPr>
                  <w:color w:val="000000"/>
                  <w:sz w:val="22"/>
                  <w:szCs w:val="22"/>
                </w:rPr>
                <w:delText xml:space="preserve">that would apply </w:delText>
              </w:r>
            </w:del>
            <w:r w:rsidRPr="00F84D4A">
              <w:rPr>
                <w:color w:val="000000"/>
                <w:sz w:val="22"/>
                <w:szCs w:val="22"/>
              </w:rPr>
              <w:t>to pre-existing registrations. </w:t>
            </w:r>
          </w:p>
          <w:p w14:paraId="739F3304" w14:textId="77777777" w:rsidR="00F84D4A" w:rsidRPr="00F84D4A" w:rsidRDefault="00F84D4A" w:rsidP="00F84D4A">
            <w:pPr>
              <w:numPr>
                <w:ilvl w:val="1"/>
                <w:numId w:val="22"/>
              </w:numPr>
              <w:ind w:left="720"/>
              <w:jc w:val="both"/>
              <w:rPr>
                <w:color w:val="000000"/>
                <w:sz w:val="22"/>
                <w:szCs w:val="22"/>
              </w:rPr>
            </w:pPr>
            <w:r w:rsidRPr="00F84D4A">
              <w:rPr>
                <w:color w:val="000000"/>
                <w:sz w:val="22"/>
                <w:szCs w:val="22"/>
              </w:rPr>
              <w:lastRenderedPageBreak/>
              <w:t xml:space="preserve">Additionally, other jurisdictions may </w:t>
            </w:r>
            <w:del w:id="252" w:author="Author" w:date="2018-11-02T15:21:00Z">
              <w:r w:rsidRPr="00F84D4A">
                <w:rPr>
                  <w:color w:val="000000"/>
                  <w:sz w:val="22"/>
                  <w:szCs w:val="22"/>
                </w:rPr>
                <w:delText>have other</w:delText>
              </w:r>
            </w:del>
            <w:ins w:id="253" w:author="Author" w:date="2018-11-02T15:21:00Z">
              <w:r w:rsidRPr="00F84D4A">
                <w:rPr>
                  <w:color w:val="000000"/>
                  <w:sz w:val="22"/>
                  <w:szCs w:val="22"/>
                </w:rPr>
                <w:t>protect</w:t>
              </w:r>
            </w:ins>
            <w:r w:rsidRPr="00F84D4A">
              <w:rPr>
                <w:color w:val="000000"/>
                <w:sz w:val="22"/>
                <w:szCs w:val="22"/>
              </w:rPr>
              <w:t xml:space="preserve"> categories of </w:t>
            </w:r>
            <w:del w:id="254" w:author="Author" w:date="2018-11-02T15:21:00Z">
              <w:r w:rsidRPr="00F84D4A">
                <w:rPr>
                  <w:color w:val="000000"/>
                  <w:sz w:val="22"/>
                  <w:szCs w:val="22"/>
                </w:rPr>
                <w:delText xml:space="preserve">protected </w:delText>
              </w:r>
            </w:del>
            <w:r w:rsidRPr="00F84D4A">
              <w:rPr>
                <w:color w:val="000000"/>
                <w:sz w:val="22"/>
                <w:szCs w:val="22"/>
              </w:rPr>
              <w:t xml:space="preserve">groups </w:t>
            </w:r>
            <w:del w:id="255" w:author="Author" w:date="2018-11-02T15:21:00Z">
              <w:r w:rsidRPr="00F84D4A">
                <w:rPr>
                  <w:color w:val="000000"/>
                  <w:sz w:val="22"/>
                  <w:szCs w:val="22"/>
                </w:rPr>
                <w:delText>or other</w:delText>
              </w:r>
            </w:del>
            <w:ins w:id="256" w:author="Author" w:date="2018-11-02T15:21:00Z">
              <w:r w:rsidRPr="00F84D4A">
                <w:rPr>
                  <w:color w:val="000000"/>
                  <w:sz w:val="22"/>
                  <w:szCs w:val="22"/>
                </w:rPr>
                <w:t>in a manner similar to natural persons, and the associated</w:t>
              </w:r>
            </w:ins>
            <w:r w:rsidRPr="00F84D4A">
              <w:rPr>
                <w:color w:val="000000"/>
                <w:sz w:val="22"/>
                <w:szCs w:val="22"/>
              </w:rPr>
              <w:t xml:space="preserve"> requirements </w:t>
            </w:r>
            <w:del w:id="257" w:author="Author" w:date="2018-11-02T15:21:00Z">
              <w:r w:rsidRPr="00F84D4A">
                <w:rPr>
                  <w:color w:val="000000"/>
                  <w:sz w:val="22"/>
                  <w:szCs w:val="22"/>
                </w:rPr>
                <w:delText>that would need to be factored in.</w:delText>
              </w:r>
            </w:del>
            <w:ins w:id="258" w:author="Author" w:date="2018-11-02T15:21:00Z">
              <w:r w:rsidRPr="00F84D4A">
                <w:rPr>
                  <w:color w:val="000000"/>
                  <w:sz w:val="22"/>
                  <w:szCs w:val="22"/>
                </w:rPr>
                <w:t xml:space="preserve">may warrant further consideration. </w:t>
              </w:r>
            </w:ins>
          </w:p>
          <w:p w14:paraId="3D750562" w14:textId="77777777" w:rsidR="00F84D4A" w:rsidRPr="00F84D4A" w:rsidRDefault="00F84D4A" w:rsidP="00F84D4A">
            <w:pPr>
              <w:ind w:left="720"/>
              <w:jc w:val="both"/>
              <w:rPr>
                <w:ins w:id="259" w:author="Author" w:date="2018-11-02T15:21:00Z"/>
                <w:sz w:val="22"/>
                <w:szCs w:val="22"/>
              </w:rPr>
            </w:pPr>
          </w:p>
          <w:p w14:paraId="4D5C4DDA" w14:textId="77777777" w:rsidR="00F84D4A" w:rsidRPr="00F84D4A" w:rsidRDefault="00F84D4A" w:rsidP="00F84D4A">
            <w:pPr>
              <w:numPr>
                <w:ilvl w:val="0"/>
                <w:numId w:val="25"/>
              </w:numPr>
              <w:ind w:left="360"/>
              <w:jc w:val="both"/>
              <w:rPr>
                <w:color w:val="000000"/>
                <w:sz w:val="22"/>
                <w:szCs w:val="22"/>
              </w:rPr>
            </w:pPr>
            <w:r w:rsidRPr="00F84D4A">
              <w:rPr>
                <w:color w:val="000000"/>
                <w:sz w:val="22"/>
                <w:szCs w:val="22"/>
              </w:rPr>
              <w:t xml:space="preserve">The EPDP Team recommends that GDD staff who will </w:t>
            </w:r>
            <w:del w:id="260" w:author="Author" w:date="2018-11-02T15:21:00Z">
              <w:r w:rsidRPr="00F84D4A">
                <w:rPr>
                  <w:color w:val="000000"/>
                  <w:sz w:val="22"/>
                  <w:szCs w:val="22"/>
                </w:rPr>
                <w:delText>be tasked with</w:delText>
              </w:r>
            </w:del>
            <w:ins w:id="261" w:author="Author" w:date="2018-11-02T15:21:00Z">
              <w:r w:rsidRPr="00F84D4A">
                <w:rPr>
                  <w:color w:val="000000"/>
                  <w:sz w:val="22"/>
                  <w:szCs w:val="22"/>
                </w:rPr>
                <w:t>design</w:t>
              </w:r>
            </w:ins>
            <w:r w:rsidRPr="00F84D4A">
              <w:rPr>
                <w:color w:val="000000"/>
                <w:sz w:val="22"/>
                <w:szCs w:val="22"/>
              </w:rPr>
              <w:t xml:space="preserve"> the implementation of these policy recommendations</w:t>
            </w:r>
            <w:ins w:id="262" w:author="Author" w:date="2018-11-02T15:21:00Z">
              <w:r w:rsidRPr="00F84D4A">
                <w:rPr>
                  <w:color w:val="000000"/>
                  <w:sz w:val="22"/>
                  <w:szCs w:val="22"/>
                </w:rPr>
                <w:t xml:space="preserve"> should</w:t>
              </w:r>
            </w:ins>
            <w:r w:rsidRPr="00F84D4A">
              <w:rPr>
                <w:color w:val="000000"/>
                <w:sz w:val="22"/>
                <w:szCs w:val="22"/>
              </w:rPr>
              <w:t xml:space="preserve"> commence research by investigating how ccTLDs and contracted parties currently distinguish between natural and legal persons to inform the EPDP Team.</w:t>
            </w:r>
            <w:ins w:id="263" w:author="Author" w:date="2018-11-02T15:21:00Z">
              <w:r w:rsidRPr="00F84D4A">
                <w:rPr>
                  <w:color w:val="000000"/>
                  <w:sz w:val="22"/>
                  <w:szCs w:val="22"/>
                </w:rPr>
                <w:t xml:space="preserve"> </w:t>
              </w:r>
              <w:r w:rsidRPr="00F84D4A">
                <w:rPr>
                  <w:sz w:val="22"/>
                  <w:szCs w:val="22"/>
                </w:rPr>
                <w:t xml:space="preserve"> The EPDP however cautions that such research should not be seen as an indicator as to the actual legality of such implementations, but is merely indicative as to the technology available, and the related means and methods used by such operators in making such a delineation. </w:t>
              </w:r>
            </w:ins>
          </w:p>
          <w:p w14:paraId="69238872" w14:textId="77777777" w:rsidR="00F84D4A" w:rsidRPr="00F84D4A" w:rsidRDefault="00F84D4A" w:rsidP="00F84D4A">
            <w:pPr>
              <w:jc w:val="both"/>
              <w:rPr>
                <w:color w:val="000000"/>
                <w:sz w:val="22"/>
                <w:szCs w:val="22"/>
              </w:rPr>
            </w:pPr>
            <w:r w:rsidRPr="00F84D4A">
              <w:rPr>
                <w:color w:val="000000"/>
                <w:sz w:val="22"/>
                <w:szCs w:val="22"/>
              </w:rPr>
              <w:t> </w:t>
            </w:r>
          </w:p>
          <w:p w14:paraId="13367EF8" w14:textId="77777777" w:rsidR="00F84D4A" w:rsidRPr="00F84D4A" w:rsidRDefault="00F84D4A" w:rsidP="00F84D4A">
            <w:pPr>
              <w:numPr>
                <w:ilvl w:val="0"/>
                <w:numId w:val="23"/>
              </w:numPr>
              <w:ind w:left="360"/>
              <w:jc w:val="both"/>
              <w:rPr>
                <w:color w:val="000000"/>
                <w:sz w:val="22"/>
                <w:szCs w:val="22"/>
              </w:rPr>
            </w:pPr>
            <w:del w:id="264" w:author="Author" w:date="2018-11-02T15:21:00Z">
              <w:r w:rsidRPr="00F84D4A">
                <w:rPr>
                  <w:color w:val="000000"/>
                  <w:sz w:val="22"/>
                  <w:szCs w:val="22"/>
                </w:rPr>
                <w:delText xml:space="preserve">Following the receipt of the </w:delText>
              </w:r>
            </w:del>
            <w:ins w:id="265" w:author="Author" w:date="2018-11-02T15:21:00Z">
              <w:r w:rsidRPr="00F84D4A">
                <w:rPr>
                  <w:color w:val="000000"/>
                  <w:sz w:val="22"/>
                  <w:szCs w:val="22"/>
                </w:rPr>
                <w:t xml:space="preserve">After receiving and analyzing this </w:t>
              </w:r>
            </w:ins>
            <w:r w:rsidRPr="00F84D4A">
              <w:rPr>
                <w:color w:val="000000"/>
                <w:sz w:val="22"/>
                <w:szCs w:val="22"/>
              </w:rPr>
              <w:t xml:space="preserve">research, the EPDP Team will explore in a timely manner </w:t>
            </w:r>
            <w:del w:id="266" w:author="Author" w:date="2018-11-02T15:21:00Z">
              <w:r w:rsidRPr="00F84D4A">
                <w:rPr>
                  <w:color w:val="000000"/>
                  <w:sz w:val="22"/>
                  <w:szCs w:val="22"/>
                </w:rPr>
                <w:delText>how</w:delText>
              </w:r>
            </w:del>
            <w:proofErr w:type="gramStart"/>
            <w:ins w:id="267" w:author="Author" w:date="2018-11-02T15:21:00Z">
              <w:r w:rsidRPr="00F84D4A">
                <w:rPr>
                  <w:color w:val="000000"/>
                  <w:sz w:val="22"/>
                  <w:szCs w:val="22"/>
                </w:rPr>
                <w:t xml:space="preserve">if </w:t>
              </w:r>
            </w:ins>
            <w:r w:rsidRPr="00F84D4A">
              <w:rPr>
                <w:color w:val="000000"/>
                <w:sz w:val="22"/>
                <w:szCs w:val="22"/>
              </w:rPr>
              <w:t xml:space="preserve"> this</w:t>
            </w:r>
            <w:proofErr w:type="gramEnd"/>
            <w:r w:rsidRPr="00F84D4A">
              <w:rPr>
                <w:color w:val="000000"/>
                <w:sz w:val="22"/>
                <w:szCs w:val="22"/>
              </w:rPr>
              <w:t xml:space="preserve"> distinction can</w:t>
            </w:r>
            <w:ins w:id="268" w:author="Author" w:date="2018-11-02T15:21:00Z">
              <w:r w:rsidRPr="00F84D4A">
                <w:rPr>
                  <w:color w:val="000000"/>
                  <w:sz w:val="22"/>
                  <w:szCs w:val="22"/>
                </w:rPr>
                <w:t xml:space="preserve">, or should, </w:t>
              </w:r>
            </w:ins>
            <w:r w:rsidRPr="00F84D4A">
              <w:rPr>
                <w:color w:val="000000"/>
                <w:sz w:val="22"/>
                <w:szCs w:val="22"/>
              </w:rPr>
              <w:t xml:space="preserve"> be made in the context of domain name registrations in a </w:t>
            </w:r>
            <w:del w:id="269" w:author="Author" w:date="2018-11-02T15:21:00Z">
              <w:r w:rsidRPr="00F84D4A">
                <w:rPr>
                  <w:color w:val="000000"/>
                  <w:sz w:val="22"/>
                  <w:szCs w:val="22"/>
                </w:rPr>
                <w:delText>satisfactory</w:delText>
              </w:r>
            </w:del>
            <w:ins w:id="270" w:author="Author" w:date="2018-11-02T15:21:00Z">
              <w:r w:rsidRPr="00F84D4A">
                <w:rPr>
                  <w:color w:val="000000"/>
                  <w:sz w:val="22"/>
                  <w:szCs w:val="22"/>
                </w:rPr>
                <w:t>commercially reasonable and implementable</w:t>
              </w:r>
            </w:ins>
            <w:r w:rsidRPr="00F84D4A">
              <w:rPr>
                <w:color w:val="000000"/>
                <w:sz w:val="22"/>
                <w:szCs w:val="22"/>
              </w:rPr>
              <w:t xml:space="preserve"> way</w:t>
            </w:r>
            <w:ins w:id="271" w:author="Author" w:date="2018-11-02T15:21:00Z">
              <w:r w:rsidRPr="00F84D4A">
                <w:rPr>
                  <w:color w:val="000000"/>
                  <w:sz w:val="22"/>
                  <w:szCs w:val="22"/>
                </w:rPr>
                <w:t xml:space="preserve"> that does not result in increased liability for contracted parties</w:t>
              </w:r>
            </w:ins>
            <w:r w:rsidRPr="00F84D4A">
              <w:rPr>
                <w:color w:val="000000"/>
                <w:sz w:val="22"/>
                <w:szCs w:val="22"/>
              </w:rPr>
              <w:t>.</w:t>
            </w:r>
          </w:p>
          <w:p w14:paraId="2CB1A5BE" w14:textId="77777777" w:rsidR="00F84D4A" w:rsidRPr="00F84D4A" w:rsidRDefault="00F84D4A" w:rsidP="00F84D4A">
            <w:pPr>
              <w:numPr>
                <w:ilvl w:val="1"/>
                <w:numId w:val="23"/>
              </w:numPr>
              <w:ind w:left="720"/>
              <w:jc w:val="both"/>
              <w:rPr>
                <w:moveFrom w:id="272" w:author="Author" w:date="2018-11-02T15:21:00Z"/>
                <w:sz w:val="22"/>
                <w:szCs w:val="22"/>
              </w:rPr>
            </w:pPr>
            <w:del w:id="273" w:author="Author" w:date="2018-11-02T15:21:00Z">
              <w:r w:rsidRPr="00F84D4A">
                <w:rPr>
                  <w:color w:val="000000"/>
                  <w:sz w:val="22"/>
                  <w:szCs w:val="22"/>
                </w:rPr>
                <w:delText>The EPDP Team</w:delText>
              </w:r>
            </w:del>
            <w:ins w:id="274" w:author="Author" w:date="2018-11-02T15:21:00Z">
              <w:r w:rsidRPr="00F84D4A">
                <w:rPr>
                  <w:color w:val="000000"/>
                  <w:sz w:val="22"/>
                  <w:szCs w:val="22"/>
                </w:rPr>
                <w:t>If the EPDP Team concludes that the distinction can be made in such a way, it</w:t>
              </w:r>
            </w:ins>
            <w:r w:rsidRPr="00F84D4A">
              <w:rPr>
                <w:color w:val="000000"/>
                <w:sz w:val="22"/>
                <w:szCs w:val="22"/>
              </w:rPr>
              <w:t xml:space="preserve"> should also consider </w:t>
            </w:r>
            <w:del w:id="275" w:author="Author" w:date="2018-11-02T15:21:00Z">
              <w:r w:rsidRPr="00F84D4A">
                <w:rPr>
                  <w:color w:val="000000"/>
                  <w:sz w:val="22"/>
                  <w:szCs w:val="22"/>
                </w:rPr>
                <w:delText>the timeline needed to implement, which could follow</w:delText>
              </w:r>
            </w:del>
            <w:ins w:id="276" w:author="Author" w:date="2018-11-02T15:21:00Z">
              <w:r w:rsidRPr="00F84D4A">
                <w:rPr>
                  <w:color w:val="000000"/>
                  <w:sz w:val="22"/>
                  <w:szCs w:val="22"/>
                </w:rPr>
                <w:t>two implementation considerations, namely, if</w:t>
              </w:r>
            </w:ins>
            <w:r w:rsidRPr="00F84D4A">
              <w:rPr>
                <w:color w:val="000000"/>
                <w:sz w:val="22"/>
                <w:szCs w:val="22"/>
              </w:rPr>
              <w:t xml:space="preserve"> a phased approach </w:t>
            </w:r>
            <w:del w:id="277" w:author="Author" w:date="2018-11-02T15:21:00Z">
              <w:r w:rsidRPr="00F84D4A">
                <w:rPr>
                  <w:color w:val="000000"/>
                  <w:sz w:val="22"/>
                  <w:szCs w:val="22"/>
                </w:rPr>
                <w:delText>whereby implementation would start immediately following completion of the further work and agreement on a satisfactory manner to distinguish between legal and natural persons for new registrations while existing registrations would be phased in upon renewal or by other means.</w:delText>
              </w:r>
            </w:del>
            <w:ins w:id="278" w:author="Author" w:date="2018-11-02T15:21:00Z">
              <w:r w:rsidRPr="00F84D4A">
                <w:rPr>
                  <w:color w:val="000000"/>
                  <w:sz w:val="22"/>
                  <w:szCs w:val="22"/>
                </w:rPr>
                <w:t>is helpful and</w:t>
              </w:r>
            </w:ins>
            <w:moveFromRangeStart w:id="279" w:author="Author" w:date="2018-11-02T15:21:00Z" w:name="move528935437"/>
          </w:p>
          <w:p w14:paraId="363045F6" w14:textId="77777777" w:rsidR="00F84D4A" w:rsidRPr="00F84D4A" w:rsidRDefault="00F84D4A" w:rsidP="00F84D4A">
            <w:pPr>
              <w:numPr>
                <w:ilvl w:val="1"/>
                <w:numId w:val="23"/>
              </w:numPr>
              <w:ind w:left="720"/>
              <w:jc w:val="both"/>
              <w:rPr>
                <w:sz w:val="22"/>
                <w:szCs w:val="22"/>
              </w:rPr>
            </w:pPr>
            <w:moveFrom w:id="280" w:author="Author" w:date="2018-11-02T15:21:00Z">
              <w:r w:rsidRPr="00F84D4A">
                <w:rPr>
                  <w:color w:val="000000"/>
                  <w:sz w:val="22"/>
                  <w:szCs w:val="22"/>
                </w:rPr>
                <w:t xml:space="preserve">The EPDP Team </w:t>
              </w:r>
            </w:moveFrom>
            <w:moveFromRangeEnd w:id="279"/>
            <w:del w:id="281" w:author="Author" w:date="2018-11-02T15:21:00Z">
              <w:r w:rsidRPr="00F84D4A">
                <w:rPr>
                  <w:color w:val="000000"/>
                  <w:sz w:val="22"/>
                  <w:szCs w:val="22"/>
                </w:rPr>
                <w:delText>should also consider</w:delText>
              </w:r>
            </w:del>
            <w:r w:rsidRPr="00F84D4A">
              <w:rPr>
                <w:color w:val="000000"/>
                <w:sz w:val="22"/>
                <w:szCs w:val="22"/>
              </w:rPr>
              <w:t xml:space="preserve"> which data fields (if any) need to be added to accomplish this distinction. </w:t>
            </w:r>
            <w:ins w:id="282" w:author="Author" w:date="2018-11-02T15:21:00Z">
              <w:r w:rsidRPr="00F84D4A">
                <w:rPr>
                  <w:color w:val="000000"/>
                  <w:sz w:val="22"/>
                  <w:szCs w:val="22"/>
                </w:rPr>
                <w:t>(</w:t>
              </w:r>
            </w:ins>
            <w:r w:rsidRPr="00F84D4A">
              <w:rPr>
                <w:color w:val="000000"/>
                <w:sz w:val="22"/>
                <w:szCs w:val="22"/>
              </w:rPr>
              <w:t>This could require further liaising with the IETF if data fields in RDAP need to be added or changed</w:t>
            </w:r>
            <w:del w:id="283" w:author="Author" w:date="2018-11-02T15:21:00Z">
              <w:r w:rsidRPr="00F84D4A">
                <w:rPr>
                  <w:color w:val="000000"/>
                  <w:sz w:val="22"/>
                  <w:szCs w:val="22"/>
                </w:rPr>
                <w:delText>.</w:delText>
              </w:r>
            </w:del>
            <w:ins w:id="284" w:author="Author" w:date="2018-11-02T15:21:00Z">
              <w:r w:rsidRPr="00F84D4A">
                <w:rPr>
                  <w:color w:val="000000"/>
                  <w:sz w:val="22"/>
                  <w:szCs w:val="22"/>
                </w:rPr>
                <w:t>.)</w:t>
              </w:r>
            </w:ins>
          </w:p>
          <w:p w14:paraId="74F8C355" w14:textId="77777777" w:rsidR="00F84D4A" w:rsidRPr="00F84D4A" w:rsidRDefault="00F84D4A" w:rsidP="00F84D4A">
            <w:pPr>
              <w:jc w:val="both"/>
              <w:rPr>
                <w:color w:val="000000"/>
                <w:sz w:val="22"/>
                <w:szCs w:val="22"/>
              </w:rPr>
            </w:pPr>
            <w:r w:rsidRPr="00F84D4A">
              <w:rPr>
                <w:color w:val="000000"/>
                <w:sz w:val="22"/>
                <w:szCs w:val="22"/>
              </w:rPr>
              <w:t> </w:t>
            </w:r>
          </w:p>
          <w:p w14:paraId="066A9356" w14:textId="77777777" w:rsidR="00F84D4A" w:rsidRPr="00F84D4A" w:rsidRDefault="00F84D4A" w:rsidP="00F84D4A">
            <w:pPr>
              <w:numPr>
                <w:ilvl w:val="0"/>
                <w:numId w:val="24"/>
              </w:numPr>
              <w:ind w:left="360"/>
              <w:jc w:val="both"/>
              <w:rPr>
                <w:color w:val="000000"/>
                <w:sz w:val="22"/>
                <w:szCs w:val="22"/>
              </w:rPr>
            </w:pPr>
            <w:r w:rsidRPr="00F84D4A">
              <w:rPr>
                <w:color w:val="000000"/>
                <w:sz w:val="22"/>
                <w:szCs w:val="22"/>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ins w:id="285" w:author="Author" w:date="2018-11-02T15:21:00Z">
              <w:r w:rsidRPr="00F84D4A">
                <w:rPr>
                  <w:color w:val="000000"/>
                  <w:sz w:val="22"/>
                  <w:szCs w:val="22"/>
                </w:rPr>
                <w:t xml:space="preserve"> </w:t>
              </w:r>
              <w:r w:rsidRPr="00F84D4A">
                <w:rPr>
                  <w:sz w:val="22"/>
                  <w:szCs w:val="22"/>
                </w:rPr>
                <w:t xml:space="preserve">It should be noted that additional or supplemental educational resources alone should not be seen as an adequate remedy for a process that that does not clearly or adequately support the basic protect the privacy rights of a registrant. </w:t>
              </w:r>
            </w:ins>
          </w:p>
          <w:p w14:paraId="41A2FCAB" w14:textId="77777777" w:rsidR="00F84D4A" w:rsidRPr="00F84D4A" w:rsidRDefault="00F84D4A" w:rsidP="00F84D4A">
            <w:pPr>
              <w:jc w:val="both"/>
              <w:rPr>
                <w:ins w:id="286" w:author="Author" w:date="2018-11-02T15:21:00Z"/>
                <w:sz w:val="22"/>
                <w:szCs w:val="22"/>
              </w:rPr>
            </w:pPr>
          </w:p>
          <w:p w14:paraId="52BE9C6E" w14:textId="026B2DF9" w:rsidR="00F84D4A" w:rsidRPr="00F84D4A" w:rsidRDefault="00F84D4A" w:rsidP="00F84D4A">
            <w:pPr>
              <w:numPr>
                <w:ilvl w:val="0"/>
                <w:numId w:val="21"/>
              </w:numPr>
              <w:ind w:left="360"/>
              <w:contextualSpacing/>
              <w:jc w:val="both"/>
              <w:rPr>
                <w:sz w:val="22"/>
                <w:szCs w:val="22"/>
              </w:rPr>
            </w:pPr>
            <w:ins w:id="287" w:author="Author" w:date="2018-11-02T15:21:00Z">
              <w:r w:rsidRPr="00F84D4A">
                <w:rPr>
                  <w:sz w:val="22"/>
                  <w:szCs w:val="22"/>
                </w:rPr>
                <w:t>The EPDP team further recommends the future technical and policy creation with due regard to the preceding recommendations.</w:t>
              </w:r>
            </w:ins>
          </w:p>
        </w:tc>
      </w:tr>
    </w:tbl>
    <w:p w14:paraId="1359986F" w14:textId="77777777" w:rsidR="00F84D4A" w:rsidRDefault="00F84D4A"/>
    <w:sectPr w:rsidR="00F84D4A"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Milton Mueller" w:date="2018-10-29T13:44:00Z" w:initials="">
    <w:p w14:paraId="08B70848" w14:textId="77777777" w:rsidR="00507D38" w:rsidRDefault="00507D38" w:rsidP="00507D38">
      <w:pPr>
        <w:pStyle w:val="Normal1"/>
        <w:widowControl w:val="0"/>
        <w:pBdr>
          <w:top w:val="nil"/>
          <w:left w:val="nil"/>
          <w:bottom w:val="nil"/>
          <w:right w:val="nil"/>
          <w:between w:val="nil"/>
        </w:pBdr>
        <w:spacing w:line="240" w:lineRule="auto"/>
        <w:contextualSpacing w:val="0"/>
        <w:rPr>
          <w:color w:val="000000"/>
        </w:rPr>
      </w:pPr>
      <w:r>
        <w:rPr>
          <w:color w:val="000000"/>
        </w:rPr>
        <w:t>I proposed deleting all of this because "This bullet point assumes that we will require registrars to make the distinction."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708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70848" w16cid:durableId="1F85AB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num>
  <w:num w:numId="6">
    <w:abstractNumId w:val="17"/>
  </w:num>
  <w:num w:numId="7">
    <w:abstractNumId w:val="17"/>
    <w:lvlOverride w:ilvl="1">
      <w:lvl w:ilvl="1">
        <w:numFmt w:val="bullet"/>
        <w:lvlText w:val=""/>
        <w:lvlJc w:val="left"/>
        <w:pPr>
          <w:tabs>
            <w:tab w:val="num" w:pos="1440"/>
          </w:tabs>
          <w:ind w:left="1440" w:hanging="360"/>
        </w:pPr>
        <w:rPr>
          <w:rFonts w:ascii="Symbol" w:hAnsi="Symbol" w:hint="default"/>
          <w:sz w:val="20"/>
        </w:rPr>
      </w:lvl>
    </w:lvlOverride>
  </w:num>
  <w:num w:numId="8">
    <w:abstractNumId w:val="18"/>
  </w:num>
  <w:num w:numId="9">
    <w:abstractNumId w:val="7"/>
  </w:num>
  <w:num w:numId="10">
    <w:abstractNumId w:val="21"/>
  </w:num>
  <w:num w:numId="11">
    <w:abstractNumId w:val="19"/>
  </w:num>
  <w:num w:numId="12">
    <w:abstractNumId w:val="8"/>
  </w:num>
  <w:num w:numId="13">
    <w:abstractNumId w:val="14"/>
  </w:num>
  <w:num w:numId="14">
    <w:abstractNumId w:val="6"/>
  </w:num>
  <w:num w:numId="15">
    <w:abstractNumId w:val="16"/>
  </w:num>
  <w:num w:numId="16">
    <w:abstractNumId w:val="3"/>
  </w:num>
  <w:num w:numId="17">
    <w:abstractNumId w:val="23"/>
  </w:num>
  <w:num w:numId="18">
    <w:abstractNumId w:val="22"/>
  </w:num>
  <w:num w:numId="19">
    <w:abstractNumId w:val="13"/>
  </w:num>
  <w:num w:numId="20">
    <w:abstractNumId w:val="9"/>
  </w:num>
  <w:num w:numId="21">
    <w:abstractNumId w:val="5"/>
  </w:num>
  <w:num w:numId="22">
    <w:abstractNumId w:val="11"/>
  </w:num>
  <w:num w:numId="23">
    <w:abstractNumId w:val="24"/>
  </w:num>
  <w:num w:numId="24">
    <w:abstractNumId w:val="12"/>
  </w:num>
  <w:num w:numId="25">
    <w:abstractNumId w:val="1"/>
  </w:num>
  <w:num w:numId="26">
    <w:abstractNumId w:val="2"/>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Plaut, Diane">
    <w15:presenceInfo w15:providerId="Windows Live" w15:userId="08b71095-23db-4acd-b12e-8332aa8f8790"/>
  </w15:person>
  <w15:person w15:author="Plaut, Diane [2]">
    <w15:presenceInfo w15:providerId="AD" w15:userId="S::diane.plaut@corsearch.com::08b71095-23db-4acd-b12e-8332aa8f8790"/>
  </w15:person>
  <w15:person w15:author="Kapin, Laureen">
    <w15:presenceInfo w15:providerId="AD" w15:userId="S-1-5-21-53694668-1738168808-273882866-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E6"/>
    <w:rsid w:val="00040CEC"/>
    <w:rsid w:val="000741A0"/>
    <w:rsid w:val="000B1681"/>
    <w:rsid w:val="001D0CBA"/>
    <w:rsid w:val="001E6287"/>
    <w:rsid w:val="002236E4"/>
    <w:rsid w:val="00507D38"/>
    <w:rsid w:val="005C4300"/>
    <w:rsid w:val="007325B2"/>
    <w:rsid w:val="00796F19"/>
    <w:rsid w:val="007F1FED"/>
    <w:rsid w:val="0089134A"/>
    <w:rsid w:val="008A3DE6"/>
    <w:rsid w:val="0095434F"/>
    <w:rsid w:val="00A06A53"/>
    <w:rsid w:val="00A30FB9"/>
    <w:rsid w:val="00D33B1C"/>
    <w:rsid w:val="00DA3C1E"/>
    <w:rsid w:val="00DC25A7"/>
    <w:rsid w:val="00DC2DF7"/>
    <w:rsid w:val="00DF2DD9"/>
    <w:rsid w:val="00E3072D"/>
    <w:rsid w:val="00F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5359</Words>
  <Characters>29906</Characters>
  <Application>Microsoft Office Word</Application>
  <DocSecurity>0</DocSecurity>
  <Lines>467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7</cp:revision>
  <dcterms:created xsi:type="dcterms:W3CDTF">2018-11-08T00:04:00Z</dcterms:created>
  <dcterms:modified xsi:type="dcterms:W3CDTF">2018-11-08T02:27:00Z</dcterms:modified>
</cp:coreProperties>
</file>