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0A3251"/>
          <w:left w:val="single" w:sz="18" w:space="0" w:color="0A3251"/>
          <w:bottom w:val="single" w:sz="18" w:space="0" w:color="0A3251"/>
          <w:right w:val="single" w:sz="18" w:space="0" w:color="0A3251"/>
          <w:insideH w:val="single" w:sz="18" w:space="0" w:color="0A3251"/>
          <w:insideV w:val="single" w:sz="18" w:space="0" w:color="0A3251"/>
        </w:tblBorders>
        <w:tblLook w:val="04A0" w:firstRow="1" w:lastRow="0" w:firstColumn="1" w:lastColumn="0" w:noHBand="0" w:noVBand="1"/>
      </w:tblPr>
      <w:tblGrid>
        <w:gridCol w:w="2438"/>
        <w:gridCol w:w="9298"/>
      </w:tblGrid>
      <w:tr w:rsidR="00F93968" w14:paraId="1C772F89" w14:textId="77777777" w:rsidTr="00672F41">
        <w:tc>
          <w:tcPr>
            <w:tcW w:w="2003" w:type="dxa"/>
            <w:shd w:val="clear" w:color="auto" w:fill="0A3251"/>
          </w:tcPr>
          <w:p w14:paraId="58E602FA" w14:textId="11491DF2" w:rsidR="00F93968" w:rsidRDefault="003E4345" w:rsidP="00C01075">
            <w:pPr>
              <w:rPr>
                <w:rFonts w:ascii="Arial Rounded MT Bold" w:hAnsi="Arial Rounded MT Bold" w:cs="Times New Roman"/>
                <w:b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Arial Rounded MT Bold" w:hAnsi="Arial Rounded MT Bold" w:cs="Times New Roman"/>
                <w:b/>
                <w:sz w:val="96"/>
                <w:szCs w:val="96"/>
              </w:rPr>
              <w:t>O</w:t>
            </w:r>
          </w:p>
          <w:p w14:paraId="085212E3" w14:textId="544D9D58" w:rsidR="00195BBC" w:rsidRPr="00195BBC" w:rsidRDefault="00195BBC" w:rsidP="005162E1">
            <w:pPr>
              <w:rPr>
                <w:rFonts w:ascii="Arial Rounded MT Bold" w:hAnsi="Arial Rounded MT Bold" w:cs="Times New Roman"/>
                <w:b/>
                <w:sz w:val="20"/>
                <w:szCs w:val="20"/>
              </w:rPr>
            </w:pPr>
            <w:r w:rsidRPr="00195BBC">
              <w:rPr>
                <w:rFonts w:ascii="Arial Rounded MT Bold" w:hAnsi="Arial Rounded MT Bold" w:cs="Times New Roman"/>
                <w:b/>
                <w:sz w:val="20"/>
                <w:szCs w:val="20"/>
              </w:rPr>
              <w:t>2</w:t>
            </w:r>
            <w:r w:rsidR="00CA6659">
              <w:rPr>
                <w:rFonts w:ascii="Arial Rounded MT Bold" w:hAnsi="Arial Rounded MT Bold" w:cs="Times New Roman"/>
                <w:b/>
                <w:sz w:val="20"/>
                <w:szCs w:val="20"/>
              </w:rPr>
              <w:t xml:space="preserve">4 </w:t>
            </w:r>
            <w:r w:rsidRPr="00195BBC">
              <w:rPr>
                <w:rFonts w:ascii="Arial Rounded MT Bold" w:hAnsi="Arial Rounded MT Bold" w:cs="Times New Roman"/>
                <w:b/>
                <w:sz w:val="20"/>
                <w:szCs w:val="20"/>
              </w:rPr>
              <w:t>October</w:t>
            </w:r>
          </w:p>
        </w:tc>
        <w:tc>
          <w:tcPr>
            <w:tcW w:w="9733" w:type="dxa"/>
            <w:shd w:val="clear" w:color="auto" w:fill="F2F2F2" w:themeFill="background1" w:themeFillShade="F2"/>
          </w:tcPr>
          <w:p w14:paraId="06BA798C" w14:textId="38383AE2" w:rsidR="00E75E7E" w:rsidRDefault="007614A8" w:rsidP="0029311D">
            <w:pPr>
              <w:rPr>
                <w:rFonts w:ascii="Calibri" w:eastAsia="Times New Roman" w:hAnsi="Calibri" w:cs="Times New Roman"/>
                <w:color w:val="0070C0"/>
                <w:sz w:val="24"/>
                <w:szCs w:val="24"/>
              </w:rPr>
            </w:pPr>
            <w:r w:rsidRPr="00794093">
              <w:rPr>
                <w:b/>
                <w:sz w:val="28"/>
                <w:szCs w:val="28"/>
                <w:u w:val="single"/>
              </w:rPr>
              <w:t>ICANN PURPOSE</w:t>
            </w:r>
            <w:r w:rsidRPr="00794093">
              <w:rPr>
                <w:b/>
                <w:sz w:val="28"/>
                <w:szCs w:val="28"/>
              </w:rPr>
              <w:t>:</w:t>
            </w:r>
            <w:r w:rsidRPr="00794093">
              <w:rPr>
                <w:sz w:val="28"/>
                <w:szCs w:val="28"/>
              </w:rPr>
              <w:t xml:space="preserve"> </w:t>
            </w:r>
          </w:p>
          <w:p w14:paraId="1EBB8F5A" w14:textId="24AB9679" w:rsidR="00BE4C1A" w:rsidRPr="00CA6659" w:rsidRDefault="007D66DC" w:rsidP="007614A8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7D66D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research </w:t>
            </w:r>
            <w:r w:rsidRPr="005710B4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and publish</w:t>
            </w:r>
            <w:r w:rsidRPr="007D66D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 reports on threats </w:t>
            </w:r>
            <w:r w:rsidR="00CA665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to </w:t>
            </w:r>
            <w:r w:rsidRPr="007D66DC">
              <w:rPr>
                <w:rFonts w:ascii="Calibri" w:eastAsia="Times New Roman" w:hAnsi="Calibri" w:cs="Times New Roman"/>
                <w:bCs/>
                <w:color w:val="000000" w:themeColor="text1"/>
                <w:sz w:val="24"/>
                <w:szCs w:val="24"/>
              </w:rPr>
              <w:t>the</w:t>
            </w:r>
            <w:r w:rsidRPr="007D66D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 </w:t>
            </w:r>
            <w:r w:rsidR="00CA6659" w:rsidRPr="00CA665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operational stability, reliability, security, global interoperability, resilience, and openness</w:t>
            </w:r>
            <w:r w:rsidR="00CA6659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 xml:space="preserve"> of the DNS</w:t>
            </w:r>
            <w:r w:rsidRPr="007D66DC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A0568" w14:paraId="1D771AFA" w14:textId="77777777" w:rsidTr="00710138">
        <w:tc>
          <w:tcPr>
            <w:tcW w:w="11736" w:type="dxa"/>
            <w:gridSpan w:val="2"/>
            <w:shd w:val="clear" w:color="auto" w:fill="F2F2F2" w:themeFill="background1" w:themeFillShade="F2"/>
          </w:tcPr>
          <w:p w14:paraId="23676B52" w14:textId="77777777" w:rsidR="00794093" w:rsidRPr="00794093" w:rsidRDefault="00794093" w:rsidP="00E1392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u w:val="single"/>
              </w:rPr>
            </w:pPr>
          </w:p>
          <w:p w14:paraId="518CE661" w14:textId="77777777" w:rsidR="00170383" w:rsidRPr="00794093" w:rsidRDefault="00170383" w:rsidP="00170383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Purpose</w:t>
            </w:r>
            <w:r w:rsidRPr="007940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Rationale</w:t>
            </w:r>
            <w:r w:rsidRPr="007940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: </w:t>
            </w:r>
          </w:p>
          <w:tbl>
            <w:tblPr>
              <w:tblStyle w:val="TableGrid"/>
              <w:tblW w:w="11515" w:type="dxa"/>
              <w:tblBorders>
                <w:top w:val="single" w:sz="12" w:space="0" w:color="0A3251"/>
                <w:left w:val="single" w:sz="12" w:space="0" w:color="0A3251"/>
                <w:bottom w:val="single" w:sz="12" w:space="0" w:color="0A3251"/>
                <w:right w:val="single" w:sz="12" w:space="0" w:color="0A3251"/>
                <w:insideH w:val="single" w:sz="12" w:space="0" w:color="0A3251"/>
                <w:insideV w:val="single" w:sz="12" w:space="0" w:color="0A3251"/>
              </w:tblBorders>
              <w:tblLook w:val="04A0" w:firstRow="1" w:lastRow="0" w:firstColumn="1" w:lastColumn="0" w:noHBand="0" w:noVBand="1"/>
            </w:tblPr>
            <w:tblGrid>
              <w:gridCol w:w="11515"/>
            </w:tblGrid>
            <w:tr w:rsidR="00170383" w14:paraId="435198BB" w14:textId="77777777" w:rsidTr="005E5906">
              <w:tc>
                <w:tcPr>
                  <w:tcW w:w="11515" w:type="dxa"/>
                  <w:shd w:val="clear" w:color="auto" w:fill="FFFFFF" w:themeFill="background1"/>
                </w:tcPr>
                <w:p w14:paraId="256EFCEB" w14:textId="77777777" w:rsidR="00170383" w:rsidRPr="00C0626B" w:rsidRDefault="00170383" w:rsidP="00113EE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0626B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1) If the purpose is based on an ICANN contract, is this lawful as tested against GDPR and other laws?</w:t>
                  </w:r>
                </w:p>
                <w:p w14:paraId="2DE98981" w14:textId="77777777" w:rsidR="00170383" w:rsidRPr="00C0626B" w:rsidRDefault="00170383" w:rsidP="00113EE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349579F" w14:textId="51646745" w:rsidR="00686CC2" w:rsidRPr="00686CC2" w:rsidRDefault="00686CC2" w:rsidP="00686CC2">
                  <w:pPr>
                    <w:ind w:right="131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Research is a legitimate basis for processing </w:t>
                  </w:r>
                  <w:r w:rsidR="00CA6659">
                    <w:rPr>
                      <w:color w:val="000000" w:themeColor="text1"/>
                      <w:sz w:val="24"/>
                      <w:szCs w:val="24"/>
                    </w:rPr>
                    <w:t>per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GDPR Article 6(1)f</w:t>
                  </w:r>
                  <w:r w:rsidR="00CA6659">
                    <w:rPr>
                      <w:color w:val="000000" w:themeColor="text1"/>
                      <w:sz w:val="24"/>
                      <w:szCs w:val="24"/>
                    </w:rPr>
                    <w:t>, with specific safeguards defined in Article 89.</w:t>
                  </w:r>
                </w:p>
                <w:p w14:paraId="40BA3A0B" w14:textId="78E77727" w:rsidR="00170383" w:rsidRPr="00710138" w:rsidRDefault="00170383" w:rsidP="00FE758E">
                  <w:pPr>
                    <w:ind w:right="131"/>
                    <w:rPr>
                      <w:color w:val="000000" w:themeColor="text1"/>
                    </w:rPr>
                  </w:pPr>
                </w:p>
              </w:tc>
            </w:tr>
            <w:tr w:rsidR="00170383" w14:paraId="54B05BAB" w14:textId="77777777" w:rsidTr="005E5906">
              <w:tc>
                <w:tcPr>
                  <w:tcW w:w="11515" w:type="dxa"/>
                  <w:shd w:val="clear" w:color="auto" w:fill="FFFFFF" w:themeFill="background1"/>
                </w:tcPr>
                <w:p w14:paraId="2C5D0484" w14:textId="539E6E96" w:rsidR="00170383" w:rsidRPr="00C0626B" w:rsidRDefault="00170383" w:rsidP="00113EE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0626B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2) Is the purpose in violation with ICANN's bylaws?</w:t>
                  </w:r>
                </w:p>
                <w:p w14:paraId="078319D8" w14:textId="77777777" w:rsidR="00170383" w:rsidRPr="00C0626B" w:rsidRDefault="00170383" w:rsidP="00113EE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0EC31F2" w14:textId="1C904F79" w:rsidR="005710B4" w:rsidRDefault="00020256" w:rsidP="00405CD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No. </w:t>
                  </w:r>
                  <w:r w:rsidR="00CE61E8">
                    <w:rPr>
                      <w:color w:val="000000" w:themeColor="text1"/>
                      <w:sz w:val="24"/>
                      <w:szCs w:val="24"/>
                    </w:rPr>
                    <w:t>The requirement for r</w:t>
                  </w:r>
                  <w:r w:rsidR="005710B4">
                    <w:rPr>
                      <w:color w:val="000000" w:themeColor="text1"/>
                      <w:sz w:val="24"/>
                      <w:szCs w:val="24"/>
                    </w:rPr>
                    <w:t xml:space="preserve">esearch derives from Section 1.2a </w:t>
                  </w:r>
                  <w:r w:rsidR="007F15D8">
                    <w:rPr>
                      <w:color w:val="000000" w:themeColor="text1"/>
                      <w:sz w:val="24"/>
                      <w:szCs w:val="24"/>
                    </w:rPr>
                    <w:t>(</w:t>
                  </w:r>
                  <w:r w:rsidR="005710B4">
                    <w:rPr>
                      <w:color w:val="000000" w:themeColor="text1"/>
                      <w:sz w:val="24"/>
                      <w:szCs w:val="24"/>
                    </w:rPr>
                    <w:t>Commitments</w:t>
                  </w:r>
                  <w:r w:rsidR="007F15D8">
                    <w:rPr>
                      <w:color w:val="000000" w:themeColor="text1"/>
                      <w:sz w:val="24"/>
                      <w:szCs w:val="24"/>
                    </w:rPr>
                    <w:t>)</w:t>
                  </w:r>
                  <w:r w:rsidR="005710B4">
                    <w:rPr>
                      <w:color w:val="000000" w:themeColor="text1"/>
                      <w:sz w:val="24"/>
                      <w:szCs w:val="24"/>
                    </w:rPr>
                    <w:t xml:space="preserve"> of the ICANN bylaws:</w:t>
                  </w:r>
                </w:p>
                <w:p w14:paraId="6CBF8548" w14:textId="77777777" w:rsidR="005710B4" w:rsidRDefault="005710B4" w:rsidP="00405CD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4D36E52" w14:textId="1E594683" w:rsidR="005710B4" w:rsidRDefault="005710B4" w:rsidP="005710B4">
                  <w:pPr>
                    <w:ind w:left="72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5710B4">
                    <w:rPr>
                      <w:i/>
                      <w:color w:val="000000" w:themeColor="text1"/>
                      <w:sz w:val="24"/>
                      <w:szCs w:val="24"/>
                    </w:rPr>
                    <w:t>(i) Preserve and enhance the administration of </w:t>
                  </w:r>
                  <w:bookmarkStart w:id="1" w:name="_Ref444423099"/>
                  <w:bookmarkEnd w:id="1"/>
                  <w:r w:rsidRPr="005710B4">
                    <w:rPr>
                      <w:i/>
                      <w:color w:val="000000" w:themeColor="text1"/>
                      <w:sz w:val="24"/>
                      <w:szCs w:val="24"/>
                    </w:rPr>
                    <w:t>the DNS and the operational stability, reliability, security, global interoperability, resilience, and openness of the DNS and the Internet;</w:t>
                  </w:r>
                </w:p>
                <w:p w14:paraId="61F2D93E" w14:textId="77777777" w:rsidR="005710B4" w:rsidRPr="005710B4" w:rsidRDefault="005710B4" w:rsidP="005710B4">
                  <w:pPr>
                    <w:ind w:left="72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5E3BF4E9" w14:textId="77777777" w:rsidR="005710B4" w:rsidRPr="005710B4" w:rsidRDefault="005710B4" w:rsidP="005710B4">
                  <w:pPr>
                    <w:ind w:left="72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5710B4">
                    <w:rPr>
                      <w:i/>
                      <w:color w:val="000000" w:themeColor="text1"/>
                      <w:sz w:val="24"/>
                      <w:szCs w:val="24"/>
                    </w:rPr>
                    <w:t>(ii) Maintain the capacity and ability to coordinate the DNS at the overall level and work for the maintenance of a single, interoperable Internet;</w:t>
                  </w:r>
                </w:p>
                <w:p w14:paraId="47B03534" w14:textId="77777777" w:rsidR="005710B4" w:rsidRDefault="005710B4" w:rsidP="00405CD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661A945" w14:textId="459D8D44" w:rsidR="007250A9" w:rsidRDefault="00CE61E8" w:rsidP="00405CD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This purpose </w:t>
                  </w:r>
                  <w:r w:rsidR="005710B4">
                    <w:rPr>
                      <w:color w:val="000000" w:themeColor="text1"/>
                      <w:sz w:val="24"/>
                      <w:szCs w:val="24"/>
                    </w:rPr>
                    <w:t xml:space="preserve">exists to </w:t>
                  </w:r>
                  <w:r w:rsidR="00F07974">
                    <w:rPr>
                      <w:color w:val="000000" w:themeColor="text1"/>
                      <w:sz w:val="24"/>
                      <w:szCs w:val="24"/>
                    </w:rPr>
                    <w:t xml:space="preserve">ensure that ICANN </w:t>
                  </w:r>
                  <w:r w:rsidR="00A75FFC">
                    <w:rPr>
                      <w:color w:val="000000" w:themeColor="text1"/>
                      <w:sz w:val="24"/>
                      <w:szCs w:val="24"/>
                    </w:rPr>
                    <w:t xml:space="preserve">may continue to use registration data in 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 xml:space="preserve">support </w:t>
                  </w:r>
                  <w:r w:rsidR="00A75FFC">
                    <w:rPr>
                      <w:color w:val="000000" w:themeColor="text1"/>
                      <w:sz w:val="24"/>
                      <w:szCs w:val="24"/>
                    </w:rPr>
                    <w:t xml:space="preserve">of 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>its mission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A75FFC">
                    <w:rPr>
                      <w:color w:val="000000" w:themeColor="text1"/>
                      <w:sz w:val="24"/>
                      <w:szCs w:val="24"/>
                    </w:rPr>
                    <w:t xml:space="preserve">whilst maintaining the privacy of data subjects through </w:t>
                  </w:r>
                  <w:r w:rsidR="00B4799C">
                    <w:rPr>
                      <w:color w:val="000000" w:themeColor="text1"/>
                      <w:sz w:val="24"/>
                      <w:szCs w:val="24"/>
                    </w:rPr>
                    <w:t>appropriate safeguards</w:t>
                  </w:r>
                  <w:r w:rsidR="006804DB">
                    <w:rPr>
                      <w:color w:val="000000" w:themeColor="text1"/>
                      <w:sz w:val="24"/>
                      <w:szCs w:val="24"/>
                    </w:rPr>
                    <w:t xml:space="preserve"> such as pseudonymisation</w:t>
                  </w:r>
                  <w:r w:rsidR="00A75FFC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2340A438" w14:textId="77777777" w:rsidR="007250A9" w:rsidRDefault="007250A9" w:rsidP="00405CD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79D32BE" w14:textId="556F78AC" w:rsidR="00DD3059" w:rsidRPr="007250A9" w:rsidRDefault="005710B4" w:rsidP="00405CD9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Within 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>ICANN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>OCTO (Office of the CTO)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is responsible for </w:t>
                  </w:r>
                  <w:r w:rsidR="00BF0A6B">
                    <w:rPr>
                      <w:color w:val="000000" w:themeColor="text1"/>
                      <w:sz w:val="24"/>
                      <w:szCs w:val="24"/>
                    </w:rPr>
                    <w:t>carrying out</w:t>
                  </w:r>
                  <w:r w:rsidR="00CE61E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research. T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 xml:space="preserve">he goal of OCTO </w:t>
                  </w:r>
                  <w:r w:rsidR="00F07974">
                    <w:rPr>
                      <w:color w:val="000000" w:themeColor="text1"/>
                      <w:sz w:val="24"/>
                      <w:szCs w:val="24"/>
                    </w:rPr>
                    <w:t xml:space="preserve">Research 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 xml:space="preserve">and Analytics </w:t>
                  </w:r>
                  <w:r w:rsidR="00F07974">
                    <w:rPr>
                      <w:color w:val="000000" w:themeColor="text1"/>
                      <w:sz w:val="24"/>
                      <w:szCs w:val="24"/>
                    </w:rPr>
                    <w:t>is “</w:t>
                  </w:r>
                  <w:r w:rsidR="00F07974" w:rsidRPr="00F07974">
                    <w:rPr>
                      <w:color w:val="000000" w:themeColor="text1"/>
                      <w:sz w:val="24"/>
                      <w:szCs w:val="24"/>
                    </w:rPr>
                    <w:t>to provide trusted and verifiable information to the Internet community regarding the Internet's system of unique identifiers</w:t>
                  </w:r>
                  <w:r w:rsidR="00F07974">
                    <w:rPr>
                      <w:color w:val="000000" w:themeColor="text1"/>
                      <w:sz w:val="24"/>
                      <w:szCs w:val="24"/>
                    </w:rPr>
                    <w:t>”</w:t>
                  </w:r>
                  <w:r>
                    <w:rPr>
                      <w:rStyle w:val="FootnoteReference"/>
                      <w:color w:val="000000" w:themeColor="text1"/>
                      <w:sz w:val="24"/>
                      <w:szCs w:val="24"/>
                    </w:rPr>
                    <w:footnoteReference w:id="1"/>
                  </w:r>
                  <w:r w:rsidR="00F07974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 xml:space="preserve"> Similarly, the </w:t>
                  </w:r>
                  <w:r w:rsidR="007250A9" w:rsidRPr="007250A9">
                    <w:rPr>
                      <w:color w:val="000000" w:themeColor="text1"/>
                      <w:sz w:val="24"/>
                      <w:szCs w:val="24"/>
                    </w:rPr>
                    <w:t xml:space="preserve">goal of OCTO-SSR is 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>“</w:t>
                  </w:r>
                  <w:r w:rsidR="007250A9" w:rsidRPr="007250A9">
                    <w:rPr>
                      <w:color w:val="000000" w:themeColor="text1"/>
                      <w:sz w:val="24"/>
                      <w:szCs w:val="24"/>
                    </w:rPr>
                    <w:t>to ensure the security, stability and resiliency of the Internet's Identifier systems</w:t>
                  </w:r>
                  <w:r w:rsidR="007250A9">
                    <w:rPr>
                      <w:color w:val="000000" w:themeColor="text1"/>
                      <w:sz w:val="24"/>
                      <w:szCs w:val="24"/>
                    </w:rPr>
                    <w:t>”</w:t>
                  </w:r>
                  <w:r w:rsidR="007250A9" w:rsidRPr="007250A9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  <w:r>
                    <w:rPr>
                      <w:rStyle w:val="FootnoteReference"/>
                      <w:color w:val="000000" w:themeColor="text1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170383" w14:paraId="12B2120D" w14:textId="77777777" w:rsidTr="00C0626B">
              <w:trPr>
                <w:trHeight w:val="510"/>
              </w:trPr>
              <w:tc>
                <w:tcPr>
                  <w:tcW w:w="11515" w:type="dxa"/>
                  <w:shd w:val="clear" w:color="auto" w:fill="FFFFFF" w:themeFill="background1"/>
                </w:tcPr>
                <w:p w14:paraId="0CB99540" w14:textId="77777777" w:rsidR="00170383" w:rsidRPr="00C0626B" w:rsidRDefault="00170383" w:rsidP="00113EE8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0626B">
                    <w:rPr>
                      <w:rFonts w:ascii="Calibri" w:eastAsia="Times New Roman" w:hAnsi="Calibri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3) Are there any “picket fence” considerations related to this purpose?</w:t>
                  </w:r>
                </w:p>
                <w:p w14:paraId="469F81D4" w14:textId="77777777" w:rsidR="00170383" w:rsidRPr="00C0626B" w:rsidRDefault="00170383" w:rsidP="00113EE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3C3F98B" w14:textId="1CBBB081" w:rsidR="00170383" w:rsidRDefault="007A6710" w:rsidP="00113EE8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No. </w:t>
                  </w:r>
                  <w:r w:rsidR="00DD3059" w:rsidRPr="00C0626B">
                    <w:rPr>
                      <w:color w:val="000000" w:themeColor="text1"/>
                      <w:sz w:val="24"/>
                      <w:szCs w:val="24"/>
                    </w:rPr>
                    <w:t xml:space="preserve">This purpose is related to </w:t>
                  </w:r>
                  <w:r w:rsidR="00CA6659">
                    <w:rPr>
                      <w:color w:val="000000" w:themeColor="text1"/>
                      <w:sz w:val="24"/>
                      <w:szCs w:val="24"/>
                    </w:rPr>
                    <w:t>WHOIS</w:t>
                  </w:r>
                  <w:r w:rsidR="00DD3059" w:rsidRPr="00C0626B">
                    <w:rPr>
                      <w:color w:val="000000" w:themeColor="text1"/>
                      <w:sz w:val="24"/>
                      <w:szCs w:val="24"/>
                    </w:rPr>
                    <w:t>, which is within the Picket Fence.</w:t>
                  </w:r>
                </w:p>
                <w:p w14:paraId="107279A9" w14:textId="07A4231C" w:rsidR="00FE758E" w:rsidRPr="00794093" w:rsidRDefault="00FE758E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</w:tc>
            </w:tr>
          </w:tbl>
          <w:p w14:paraId="546B4567" w14:textId="77777777" w:rsidR="005A0568" w:rsidRPr="00E37F69" w:rsidRDefault="005A0568">
            <w:pPr>
              <w:rPr>
                <w:sz w:val="8"/>
                <w:szCs w:val="8"/>
              </w:rPr>
            </w:pPr>
          </w:p>
          <w:p w14:paraId="3252619A" w14:textId="77777777" w:rsidR="00E37F69" w:rsidRPr="002346C0" w:rsidRDefault="00E37F69">
            <w:pPr>
              <w:rPr>
                <w:sz w:val="8"/>
                <w:szCs w:val="8"/>
              </w:rPr>
            </w:pPr>
          </w:p>
        </w:tc>
      </w:tr>
    </w:tbl>
    <w:p w14:paraId="7D52ADFA" w14:textId="77777777" w:rsidR="00672F41" w:rsidRDefault="00672F41">
      <w:r>
        <w:br w:type="page"/>
      </w:r>
    </w:p>
    <w:tbl>
      <w:tblPr>
        <w:tblStyle w:val="TableGrid"/>
        <w:tblW w:w="0" w:type="auto"/>
        <w:tblBorders>
          <w:top w:val="single" w:sz="18" w:space="0" w:color="0A3251"/>
          <w:left w:val="single" w:sz="18" w:space="0" w:color="0A3251"/>
          <w:bottom w:val="single" w:sz="18" w:space="0" w:color="0A3251"/>
          <w:right w:val="single" w:sz="18" w:space="0" w:color="0A3251"/>
          <w:insideH w:val="single" w:sz="18" w:space="0" w:color="0A3251"/>
          <w:insideV w:val="single" w:sz="18" w:space="0" w:color="0A3251"/>
        </w:tblBorders>
        <w:tblLook w:val="04A0" w:firstRow="1" w:lastRow="0" w:firstColumn="1" w:lastColumn="0" w:noHBand="0" w:noVBand="1"/>
      </w:tblPr>
      <w:tblGrid>
        <w:gridCol w:w="11736"/>
      </w:tblGrid>
      <w:tr w:rsidR="008D01AD" w14:paraId="0EAC353A" w14:textId="77777777" w:rsidTr="00710138">
        <w:tc>
          <w:tcPr>
            <w:tcW w:w="11736" w:type="dxa"/>
            <w:shd w:val="clear" w:color="auto" w:fill="F2F2F2" w:themeFill="background1" w:themeFillShade="F2"/>
          </w:tcPr>
          <w:p w14:paraId="67E942C2" w14:textId="77777777" w:rsidR="008D01AD" w:rsidRPr="00794093" w:rsidRDefault="008D01AD" w:rsidP="00113E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u w:val="single"/>
              </w:rPr>
            </w:pPr>
          </w:p>
          <w:p w14:paraId="7AB2FEE4" w14:textId="77777777" w:rsidR="007030B7" w:rsidRPr="00794093" w:rsidRDefault="00170383" w:rsidP="00170383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7940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Lawfulness of Processing Test</w:t>
            </w:r>
            <w:r w:rsidRPr="007940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: </w:t>
            </w: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02"/>
              <w:gridCol w:w="2423"/>
              <w:gridCol w:w="6465"/>
            </w:tblGrid>
            <w:tr w:rsidR="00170383" w14:paraId="3BD0C374" w14:textId="77777777" w:rsidTr="006E4B48">
              <w:trPr>
                <w:trHeight w:val="485"/>
              </w:trPr>
              <w:tc>
                <w:tcPr>
                  <w:tcW w:w="2602" w:type="dxa"/>
                  <w:shd w:val="clear" w:color="auto" w:fill="1768B1"/>
                  <w:vAlign w:val="center"/>
                </w:tcPr>
                <w:p w14:paraId="3FE958AE" w14:textId="77777777" w:rsidR="00170383" w:rsidRPr="00794093" w:rsidRDefault="00170383" w:rsidP="00113EE8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94093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Processing Activity:</w:t>
                  </w:r>
                </w:p>
              </w:tc>
              <w:tc>
                <w:tcPr>
                  <w:tcW w:w="2423" w:type="dxa"/>
                  <w:shd w:val="clear" w:color="auto" w:fill="1768B1"/>
                  <w:vAlign w:val="center"/>
                </w:tcPr>
                <w:p w14:paraId="75FBDBC2" w14:textId="77777777" w:rsidR="00170383" w:rsidRDefault="00170383" w:rsidP="00113EE8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94093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Responsible Party:</w:t>
                  </w:r>
                </w:p>
                <w:p w14:paraId="5A2A856E" w14:textId="77777777" w:rsidR="007030B7" w:rsidRPr="007030B7" w:rsidRDefault="007030B7" w:rsidP="00113EE8">
                  <w:pPr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7030B7"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16"/>
                      <w:szCs w:val="16"/>
                    </w:rPr>
                    <w:t>(Charter Questions 3k, 3l, 3m)</w:t>
                  </w:r>
                </w:p>
              </w:tc>
              <w:tc>
                <w:tcPr>
                  <w:tcW w:w="6465" w:type="dxa"/>
                  <w:shd w:val="clear" w:color="auto" w:fill="1768B1"/>
                  <w:vAlign w:val="center"/>
                </w:tcPr>
                <w:p w14:paraId="2C4DB2CA" w14:textId="77777777" w:rsidR="00170383" w:rsidRPr="009029C6" w:rsidRDefault="007030B7" w:rsidP="00113EE8">
                  <w:pPr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9029C6"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70383" w:rsidRPr="009029C6"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24"/>
                      <w:szCs w:val="24"/>
                    </w:rPr>
                    <w:t>Lawful Basis</w:t>
                  </w:r>
                  <w:r w:rsidR="00170383" w:rsidRPr="009029C6"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18"/>
                      <w:szCs w:val="18"/>
                    </w:rPr>
                    <w:t>:</w:t>
                  </w:r>
                  <w:r w:rsidR="0061607B" w:rsidRPr="009029C6"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4826CC" w:rsidRPr="009029C6">
                    <w:rPr>
                      <w:rFonts w:ascii="Calibri" w:eastAsia="Times New Roman" w:hAnsi="Calibri" w:cs="Times New Roman"/>
                      <w:bCs/>
                      <w:color w:val="FFFFFF" w:themeColor="background1"/>
                      <w:sz w:val="18"/>
                      <w:szCs w:val="18"/>
                    </w:rPr>
                    <w:t>(Is the processing necessary to achieve the purpose?)</w:t>
                  </w:r>
                </w:p>
              </w:tc>
            </w:tr>
            <w:tr w:rsidR="000A7644" w14:paraId="1012D797" w14:textId="77777777" w:rsidTr="006E4B48">
              <w:tc>
                <w:tcPr>
                  <w:tcW w:w="2602" w:type="dxa"/>
                  <w:shd w:val="clear" w:color="auto" w:fill="FFFFFF" w:themeFill="background1"/>
                </w:tcPr>
                <w:p w14:paraId="52E70B56" w14:textId="1A3291FB" w:rsidR="00170383" w:rsidRPr="00DE5304" w:rsidRDefault="00CA6659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-PA1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170383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C4996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Collection of registration data </w:t>
                  </w:r>
                  <w:r w:rsidR="00C7591C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for research purposes</w:t>
                  </w:r>
                </w:p>
                <w:p w14:paraId="04AAC60D" w14:textId="77777777" w:rsidR="00170383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  <w:p w14:paraId="267C921A" w14:textId="6348C011" w:rsidR="00170383" w:rsidRPr="00794093" w:rsidRDefault="00170383" w:rsidP="001C4996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 xml:space="preserve">(Charter Question </w:t>
                  </w:r>
                  <w:r w:rsidR="001C499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2b</w:t>
                  </w: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14:paraId="13FDBDD3" w14:textId="6297C330" w:rsidR="00170383" w:rsidRPr="00DE5304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ICANN </w:t>
                  </w:r>
                  <w:r w:rsidR="006E4B48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="00CA6659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Controller</w:t>
                  </w:r>
                </w:p>
                <w:p w14:paraId="181432EC" w14:textId="44D9A67B" w:rsidR="00DD3059" w:rsidRPr="006B7F28" w:rsidRDefault="00170383" w:rsidP="00DD3059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Registrar </w:t>
                  </w:r>
                  <w:r w:rsidR="00DD3059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C388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Processor</w:t>
                  </w:r>
                </w:p>
              </w:tc>
              <w:tc>
                <w:tcPr>
                  <w:tcW w:w="6465" w:type="dxa"/>
                  <w:shd w:val="clear" w:color="auto" w:fill="FFFFFF" w:themeFill="background1"/>
                </w:tcPr>
                <w:p w14:paraId="64579C44" w14:textId="1570275F" w:rsidR="007F3627" w:rsidRPr="00FE758E" w:rsidRDefault="00B36CC6" w:rsidP="00C63D6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ICANN has a legitimate interest in </w:t>
                  </w:r>
                  <w:r w:rsidR="00607673">
                    <w:rPr>
                      <w:rFonts w:ascii="Calibri" w:hAnsi="Calibri" w:cs="Calibri"/>
                      <w:sz w:val="24"/>
                      <w:szCs w:val="24"/>
                    </w:rPr>
                    <w:t xml:space="preserve">performing </w:t>
                  </w:r>
                  <w:r w:rsidR="000D0C73">
                    <w:rPr>
                      <w:rFonts w:ascii="Calibri" w:hAnsi="Calibri" w:cs="Calibri"/>
                      <w:sz w:val="24"/>
                      <w:szCs w:val="24"/>
                    </w:rPr>
                    <w:t>research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, </w:t>
                  </w:r>
                  <w:r w:rsidR="00607673">
                    <w:rPr>
                      <w:rFonts w:ascii="Calibri" w:hAnsi="Calibri" w:cs="Calibri"/>
                      <w:sz w:val="24"/>
                      <w:szCs w:val="24"/>
                    </w:rPr>
                    <w:t xml:space="preserve">and collection of registration data is a necessary first step. Collection is not required </w:t>
                  </w:r>
                  <w:r w:rsidR="00607673" w:rsidRPr="00607673">
                    <w:rPr>
                      <w:rFonts w:ascii="Calibri" w:hAnsi="Calibri" w:cs="Calibri"/>
                      <w:sz w:val="24"/>
                      <w:szCs w:val="24"/>
                    </w:rPr>
                    <w:t>for the performance of a contract with the data subject</w:t>
                  </w:r>
                  <w:r w:rsidR="00607673">
                    <w:rPr>
                      <w:rFonts w:ascii="Calibri" w:hAnsi="Calibri" w:cs="Calibri"/>
                      <w:sz w:val="24"/>
                      <w:szCs w:val="24"/>
                    </w:rPr>
                    <w:t xml:space="preserve">, thus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the basis </w:t>
                  </w:r>
                  <w:r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is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Article </w:t>
                  </w:r>
                  <w:r w:rsidRPr="00484570">
                    <w:rPr>
                      <w:rFonts w:ascii="Calibri" w:hAnsi="Calibri" w:cs="Calibri"/>
                      <w:sz w:val="24"/>
                      <w:szCs w:val="24"/>
                    </w:rPr>
                    <w:t>6(1)f</w:t>
                  </w:r>
                  <w:r w:rsidRPr="00DE5304"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</w:p>
              </w:tc>
            </w:tr>
            <w:tr w:rsidR="000A7644" w14:paraId="7F88620A" w14:textId="77777777" w:rsidTr="006E4B48">
              <w:tc>
                <w:tcPr>
                  <w:tcW w:w="2602" w:type="dxa"/>
                  <w:shd w:val="clear" w:color="auto" w:fill="FFFFFF" w:themeFill="background1"/>
                </w:tcPr>
                <w:p w14:paraId="3DE56B23" w14:textId="05CEA3E4" w:rsidR="00170383" w:rsidRPr="00DE5304" w:rsidRDefault="00B54A6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-PA2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170383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E4B48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Transmission of registration data </w:t>
                  </w:r>
                  <w:r w:rsidR="00DD3059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from Registrar to Registry</w:t>
                  </w:r>
                </w:p>
                <w:p w14:paraId="254BE8CC" w14:textId="77777777" w:rsidR="00170383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  <w:p w14:paraId="6C2E8DBC" w14:textId="416F64E8" w:rsidR="00170383" w:rsidRPr="00170383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(Charter Question 2c)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14:paraId="72958692" w14:textId="097894CC" w:rsidR="005241BD" w:rsidRPr="00DE5304" w:rsidRDefault="005241BD" w:rsidP="005241BD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ICANN –</w:t>
                  </w:r>
                  <w:r w:rsidR="00C63D6B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Controller</w:t>
                  </w:r>
                </w:p>
                <w:p w14:paraId="6D588F3D" w14:textId="03362C6C" w:rsidR="005241BD" w:rsidRPr="00DE5304" w:rsidRDefault="005241BD" w:rsidP="005241BD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Registrar – </w:t>
                  </w:r>
                  <w:r w:rsidR="006B7F28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Processor</w:t>
                  </w:r>
                </w:p>
                <w:p w14:paraId="484EEEE6" w14:textId="30153CBD" w:rsidR="006E4B48" w:rsidRPr="00794093" w:rsidRDefault="005241BD" w:rsidP="005241BD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Registr</w:t>
                  </w:r>
                  <w:r w:rsidR="001025C1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y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–</w:t>
                  </w:r>
                  <w:r w:rsidR="00C63D6B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Processor</w:t>
                  </w:r>
                </w:p>
              </w:tc>
              <w:tc>
                <w:tcPr>
                  <w:tcW w:w="6465" w:type="dxa"/>
                  <w:shd w:val="clear" w:color="auto" w:fill="FFFFFF" w:themeFill="background1"/>
                </w:tcPr>
                <w:p w14:paraId="7705329D" w14:textId="464CBA59" w:rsidR="00FF54DF" w:rsidRDefault="000D0C73" w:rsidP="00FF54DF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Domain </w:t>
                  </w:r>
                  <w:r w:rsidR="001222D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name and </w:t>
                  </w:r>
                  <w:r w:rsidR="00A5362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registration metadata (i.e. </w:t>
                  </w:r>
                  <w:r w:rsidR="007F0461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nameservers</w:t>
                  </w:r>
                  <w:r w:rsidR="00A5362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and, </w:t>
                  </w:r>
                  <w:r w:rsidR="001222D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optional</w:t>
                  </w:r>
                  <w:r w:rsidR="00A5362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ly,</w:t>
                  </w:r>
                  <w:r w:rsidR="001222D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DNSSEC </w:t>
                  </w:r>
                  <w:r w:rsidR="00563CF9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and</w:t>
                  </w:r>
                  <w:r w:rsidR="00A5362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nameserver IP</w:t>
                  </w:r>
                  <w:r w:rsidR="007F0461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 w:rsidR="00D14C90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0767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are </w:t>
                  </w:r>
                  <w:r w:rsidR="00D14C90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transferred from </w:t>
                  </w:r>
                  <w:r w:rsidR="00C622A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="00D14C90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egistrar to </w:t>
                  </w:r>
                  <w:r w:rsidR="00C622A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="00D14C90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egistr</w:t>
                  </w:r>
                  <w:r w:rsidR="0060767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y in order to perform the contract</w:t>
                  </w:r>
                  <w:r w:rsidR="00A75FFC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420F6B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These</w:t>
                  </w:r>
                  <w:r w:rsidR="0060767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data elements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are not currently processed as personal data and thus may be freely transmitted. If in future it is determined that the</w:t>
                  </w:r>
                  <w:r w:rsidR="0060767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y should 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be treated as personal data</w:t>
                  </w:r>
                  <w:r w:rsidR="003079C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420F6B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trans</w:t>
                  </w:r>
                  <w:r w:rsidR="00A75FFC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mi</w:t>
                  </w:r>
                  <w:r w:rsidR="0060767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ssion would</w:t>
                  </w:r>
                  <w:r w:rsidR="00A5362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still</w:t>
                  </w:r>
                  <w:r w:rsidR="00EE4471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0767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take place </w:t>
                  </w:r>
                  <w:r w:rsidR="00420F6B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under </w:t>
                  </w:r>
                  <w:r w:rsidR="0020550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Article </w:t>
                  </w:r>
                  <w:r w:rsidR="00FF54DF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6(1)b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14:paraId="2F4FE5AF" w14:textId="77777777" w:rsidR="007F0461" w:rsidRPr="00DE5304" w:rsidRDefault="007F0461" w:rsidP="006E4B4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14:paraId="0C2B988F" w14:textId="5B72758E" w:rsidR="00E233EC" w:rsidRPr="00C63D6B" w:rsidRDefault="003079C7" w:rsidP="005241B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P</w:t>
                  </w:r>
                  <w:r w:rsidR="00A75FFC">
                    <w:rPr>
                      <w:rFonts w:ascii="Calibri" w:hAnsi="Calibri" w:cs="Calibri"/>
                      <w:sz w:val="24"/>
                      <w:szCs w:val="24"/>
                    </w:rPr>
                    <w:t xml:space="preserve">ersonal 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>registration dat</w:t>
                  </w:r>
                  <w:r w:rsidR="00A75FFC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(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data elements 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such as Registrant name</w:t>
                  </w:r>
                  <w:r w:rsidR="00A5362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, address and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email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are also transferred 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from </w:t>
                  </w:r>
                  <w:r w:rsidR="00791FB6">
                    <w:rPr>
                      <w:rFonts w:ascii="Calibri" w:hAnsi="Calibri" w:cs="Calibri"/>
                      <w:sz w:val="24"/>
                      <w:szCs w:val="24"/>
                    </w:rPr>
                    <w:t>R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egistrar to </w:t>
                  </w:r>
                  <w:r w:rsidR="00C622A4">
                    <w:rPr>
                      <w:rFonts w:ascii="Calibri" w:hAnsi="Calibri" w:cs="Calibri"/>
                      <w:sz w:val="24"/>
                      <w:szCs w:val="24"/>
                    </w:rPr>
                    <w:t>R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>egistry</w:t>
                  </w:r>
                  <w:r w:rsidR="007A6710">
                    <w:rPr>
                      <w:rFonts w:ascii="Calibri" w:hAnsi="Calibri" w:cs="Calibri"/>
                      <w:sz w:val="24"/>
                      <w:szCs w:val="24"/>
                    </w:rPr>
                    <w:t xml:space="preserve"> under Article 6(1)f, but only</w:t>
                  </w:r>
                  <w:r w:rsidR="00A75FFC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607673">
                    <w:rPr>
                      <w:rFonts w:ascii="Calibri" w:hAnsi="Calibri" w:cs="Calibri"/>
                      <w:sz w:val="24"/>
                      <w:szCs w:val="24"/>
                    </w:rPr>
                    <w:t xml:space="preserve">in cases 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>whe</w:t>
                  </w:r>
                  <w:r w:rsidR="00607673">
                    <w:rPr>
                      <w:rFonts w:ascii="Calibri" w:hAnsi="Calibri" w:cs="Calibri"/>
                      <w:sz w:val="24"/>
                      <w:szCs w:val="24"/>
                    </w:rPr>
                    <w:t xml:space="preserve">re 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the </w:t>
                  </w:r>
                  <w:r w:rsidR="00C622A4">
                    <w:rPr>
                      <w:rFonts w:ascii="Calibri" w:hAnsi="Calibri" w:cs="Calibri"/>
                      <w:sz w:val="24"/>
                      <w:szCs w:val="24"/>
                    </w:rPr>
                    <w:t>R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egistry operates a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t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hick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w</w:t>
                  </w:r>
                  <w:r w:rsidR="007F0461" w:rsidRPr="00DE5304">
                    <w:rPr>
                      <w:rFonts w:ascii="Calibri" w:hAnsi="Calibri" w:cs="Calibri"/>
                      <w:sz w:val="24"/>
                      <w:szCs w:val="24"/>
                    </w:rPr>
                    <w:t>hois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service.</w:t>
                  </w:r>
                  <w:r w:rsidR="000D0C73">
                    <w:rPr>
                      <w:rFonts w:ascii="Calibri" w:hAnsi="Calibri" w:cs="Calibri"/>
                      <w:sz w:val="24"/>
                      <w:szCs w:val="24"/>
                    </w:rPr>
                    <w:t xml:space="preserve"> This is necessary to achieve </w:t>
                  </w:r>
                  <w:r w:rsidR="00607673">
                    <w:rPr>
                      <w:rFonts w:ascii="Calibri" w:hAnsi="Calibri" w:cs="Calibri"/>
                      <w:sz w:val="24"/>
                      <w:szCs w:val="24"/>
                    </w:rPr>
                    <w:t xml:space="preserve">the research purpose, as </w:t>
                  </w:r>
                  <w:r w:rsidR="007A6710">
                    <w:rPr>
                      <w:rFonts w:ascii="Calibri" w:hAnsi="Calibri" w:cs="Calibri"/>
                      <w:sz w:val="24"/>
                      <w:szCs w:val="24"/>
                    </w:rPr>
                    <w:t>(</w:t>
                  </w:r>
                  <w:r w:rsidR="004C00A3">
                    <w:rPr>
                      <w:rFonts w:ascii="Calibri" w:hAnsi="Calibri" w:cs="Calibri"/>
                      <w:sz w:val="24"/>
                      <w:szCs w:val="24"/>
                    </w:rPr>
                    <w:t>thick</w:t>
                  </w:r>
                  <w:r w:rsidR="007A6710">
                    <w:rPr>
                      <w:rFonts w:ascii="Calibri" w:hAnsi="Calibri" w:cs="Calibri"/>
                      <w:sz w:val="24"/>
                      <w:szCs w:val="24"/>
                    </w:rPr>
                    <w:t>)</w:t>
                  </w:r>
                  <w:r w:rsidR="004C00A3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911ABE">
                    <w:rPr>
                      <w:rFonts w:ascii="Calibri" w:hAnsi="Calibri" w:cs="Calibri"/>
                      <w:sz w:val="24"/>
                      <w:szCs w:val="24"/>
                    </w:rPr>
                    <w:t xml:space="preserve">registries </w:t>
                  </w:r>
                  <w:r w:rsidR="007A6710">
                    <w:rPr>
                      <w:rFonts w:ascii="Calibri" w:hAnsi="Calibri" w:cs="Calibri"/>
                      <w:sz w:val="24"/>
                      <w:szCs w:val="24"/>
                    </w:rPr>
                    <w:t>are able to apply appropriate safeguards.</w:t>
                  </w:r>
                </w:p>
              </w:tc>
            </w:tr>
            <w:tr w:rsidR="000A7644" w14:paraId="4D8E1770" w14:textId="77777777" w:rsidTr="006E4B48">
              <w:trPr>
                <w:trHeight w:val="368"/>
              </w:trPr>
              <w:tc>
                <w:tcPr>
                  <w:tcW w:w="2602" w:type="dxa"/>
                  <w:shd w:val="clear" w:color="auto" w:fill="FFFFFF" w:themeFill="background1"/>
                </w:tcPr>
                <w:p w14:paraId="2E260D66" w14:textId="49D5D1C0" w:rsidR="00170383" w:rsidRPr="00DE5304" w:rsidRDefault="00C7591C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bookmarkStart w:id="2" w:name="OLE_LINK1"/>
                  <w:bookmarkStart w:id="3" w:name="OLE_LINK2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-PA</w:t>
                  </w:r>
                  <w:r w:rsidR="00F019B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3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170383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025C1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Transmission of </w:t>
                  </w:r>
                  <w:r w:rsidR="00A45A6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pseudonymised </w:t>
                  </w:r>
                  <w:r w:rsidR="001025C1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data </w:t>
                  </w:r>
                  <w:r w:rsidR="000C4D4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from Registry </w:t>
                  </w:r>
                  <w:r w:rsidR="001025C1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to ICANN</w:t>
                  </w:r>
                </w:p>
                <w:bookmarkEnd w:id="2"/>
                <w:bookmarkEnd w:id="3"/>
                <w:p w14:paraId="04DCCDF6" w14:textId="77777777" w:rsidR="00170383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  <w:p w14:paraId="25D609EB" w14:textId="109D3BEA" w:rsidR="00170383" w:rsidRPr="00170383" w:rsidRDefault="00170383" w:rsidP="007030B7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(Charter Question 2</w:t>
                  </w:r>
                  <w:r w:rsidR="002C7F0A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14:paraId="1F475503" w14:textId="6FCA1D83" w:rsidR="00170383" w:rsidRPr="00DE5304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ICANN </w:t>
                  </w:r>
                  <w:r w:rsidR="00911AB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Controller</w:t>
                  </w:r>
                </w:p>
                <w:p w14:paraId="0B607D06" w14:textId="6EC616E7" w:rsidR="00170383" w:rsidRPr="00794093" w:rsidRDefault="00170383" w:rsidP="003A57A1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Registr</w:t>
                  </w:r>
                  <w:r w:rsidR="00A75FFC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y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911ABE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Processor</w:t>
                  </w:r>
                </w:p>
              </w:tc>
              <w:tc>
                <w:tcPr>
                  <w:tcW w:w="6465" w:type="dxa"/>
                  <w:shd w:val="clear" w:color="auto" w:fill="FFFFFF" w:themeFill="background1"/>
                </w:tcPr>
                <w:p w14:paraId="47DEE899" w14:textId="28A73767" w:rsidR="00170383" w:rsidRPr="00DE5304" w:rsidRDefault="00F019B2" w:rsidP="00672F41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Registry</w:t>
                  </w:r>
                  <w:r w:rsidR="00A45A6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pseudonymises registration data using industry best practice techniques, and</w:t>
                  </w:r>
                  <w:r w:rsidR="002E0805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transmit</w:t>
                  </w:r>
                  <w:r w:rsidR="003079C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="002E0805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45A6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it </w:t>
                  </w:r>
                  <w:r w:rsidR="002E0805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to ICANN.</w:t>
                  </w:r>
                  <w:r w:rsidR="000C4D43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033F7" w:rsidRPr="003033F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ICANN has a legitimate interest in performing research </w:t>
                  </w:r>
                  <w:r w:rsidR="003033F7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using this data, and </w:t>
                  </w:r>
                  <w:r w:rsidR="000C4D43">
                    <w:rPr>
                      <w:rFonts w:ascii="Calibri" w:hAnsi="Calibri" w:cs="Calibri"/>
                      <w:sz w:val="24"/>
                      <w:szCs w:val="24"/>
                    </w:rPr>
                    <w:t xml:space="preserve">lawful basis </w:t>
                  </w:r>
                  <w:r w:rsidR="000C4D43" w:rsidRPr="00DE5304">
                    <w:rPr>
                      <w:rFonts w:ascii="Calibri" w:hAnsi="Calibri" w:cs="Calibri"/>
                      <w:sz w:val="24"/>
                      <w:szCs w:val="24"/>
                    </w:rPr>
                    <w:t xml:space="preserve">is </w:t>
                  </w:r>
                  <w:r w:rsidR="000C4D43">
                    <w:rPr>
                      <w:rFonts w:ascii="Calibri" w:hAnsi="Calibri" w:cs="Calibri"/>
                      <w:sz w:val="24"/>
                      <w:szCs w:val="24"/>
                    </w:rPr>
                    <w:t xml:space="preserve">Article </w:t>
                  </w:r>
                  <w:r w:rsidR="000C4D43" w:rsidRPr="00DE5304">
                    <w:rPr>
                      <w:rFonts w:ascii="Calibri" w:hAnsi="Calibri" w:cs="Calibri"/>
                      <w:sz w:val="24"/>
                      <w:szCs w:val="24"/>
                    </w:rPr>
                    <w:t>6(1)</w:t>
                  </w:r>
                  <w:r w:rsidR="000C4D43">
                    <w:rPr>
                      <w:rFonts w:ascii="Calibri" w:hAnsi="Calibri" w:cs="Calibri"/>
                      <w:sz w:val="24"/>
                      <w:szCs w:val="24"/>
                    </w:rPr>
                    <w:t>f.</w:t>
                  </w:r>
                </w:p>
              </w:tc>
            </w:tr>
            <w:tr w:rsidR="00170383" w14:paraId="3CD4354C" w14:textId="77777777" w:rsidTr="006E4B48">
              <w:trPr>
                <w:trHeight w:val="368"/>
              </w:trPr>
              <w:tc>
                <w:tcPr>
                  <w:tcW w:w="2602" w:type="dxa"/>
                  <w:shd w:val="clear" w:color="auto" w:fill="FFFFFF" w:themeFill="background1"/>
                </w:tcPr>
                <w:p w14:paraId="5F260611" w14:textId="5AD088E6" w:rsidR="00170383" w:rsidRPr="00DE5304" w:rsidRDefault="00420F6B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O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-PA</w:t>
                  </w:r>
                  <w:r w:rsidR="000E573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4</w:t>
                  </w:r>
                  <w:r w:rsidR="00170383" w:rsidRPr="00DE530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170383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Retention of </w:t>
                  </w:r>
                  <w:r w:rsidR="008771D8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data by </w:t>
                  </w:r>
                  <w:r w:rsidR="00791FB6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="007F0461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egistr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y</w:t>
                  </w:r>
                </w:p>
                <w:p w14:paraId="50C3A6F9" w14:textId="77777777" w:rsidR="00170383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  <w:p w14:paraId="7CE96E67" w14:textId="12255F20" w:rsidR="00170383" w:rsidRPr="00794093" w:rsidRDefault="00170383" w:rsidP="006A3EF7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 xml:space="preserve">(Charter Question </w:t>
                  </w:r>
                  <w:r w:rsidR="006A3EF7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2g</w:t>
                  </w:r>
                  <w:r w:rsidRPr="00170383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</w:tcPr>
                <w:p w14:paraId="223D5E5B" w14:textId="77777777" w:rsidR="00170383" w:rsidRPr="00DE5304" w:rsidRDefault="00170383" w:rsidP="00113EE8">
                  <w:pPr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ICANN - Controller</w:t>
                  </w:r>
                </w:p>
                <w:p w14:paraId="30085A10" w14:textId="6634AC16" w:rsidR="008771D8" w:rsidRPr="00794093" w:rsidRDefault="007F0461" w:rsidP="003A57A1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Registr</w:t>
                  </w:r>
                  <w:r w:rsidR="00420F6B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>y</w:t>
                  </w:r>
                  <w:r w:rsidR="008771D8" w:rsidRPr="00DE5304">
                    <w:rPr>
                      <w:rFonts w:ascii="Calibri" w:eastAsia="Times New Roman" w:hAnsi="Calibri" w:cs="Times New Roman"/>
                      <w:bCs/>
                      <w:color w:val="000000"/>
                      <w:sz w:val="24"/>
                      <w:szCs w:val="24"/>
                    </w:rPr>
                    <w:t xml:space="preserve"> - Processor</w:t>
                  </w:r>
                </w:p>
              </w:tc>
              <w:tc>
                <w:tcPr>
                  <w:tcW w:w="6465" w:type="dxa"/>
                  <w:shd w:val="clear" w:color="auto" w:fill="FFFFFF" w:themeFill="background1"/>
                </w:tcPr>
                <w:p w14:paraId="49E04C19" w14:textId="48259600" w:rsidR="00170383" w:rsidRPr="007A6710" w:rsidRDefault="007A6710" w:rsidP="007A6710">
                  <w:pPr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 xml:space="preserve">Once registration data has been successfully </w:t>
                  </w:r>
                  <w:r w:rsidR="008F292B"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>transmitted to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</w:rPr>
                    <w:t xml:space="preserve"> ICANN, the Registry should not retain the registration data for this purpose.</w:t>
                  </w:r>
                </w:p>
              </w:tc>
            </w:tr>
          </w:tbl>
          <w:p w14:paraId="340D72C3" w14:textId="77777777" w:rsidR="008D01AD" w:rsidRDefault="008D01AD" w:rsidP="00113EE8">
            <w:pPr>
              <w:rPr>
                <w:sz w:val="8"/>
                <w:szCs w:val="8"/>
              </w:rPr>
            </w:pPr>
          </w:p>
          <w:p w14:paraId="02F867A1" w14:textId="77777777" w:rsidR="000A7644" w:rsidRPr="00710138" w:rsidRDefault="000A7644" w:rsidP="00113EE8">
            <w:pPr>
              <w:rPr>
                <w:sz w:val="8"/>
                <w:szCs w:val="8"/>
              </w:rPr>
            </w:pPr>
          </w:p>
        </w:tc>
      </w:tr>
    </w:tbl>
    <w:p w14:paraId="7F82AC37" w14:textId="66A2DBB3" w:rsidR="003B07FF" w:rsidRDefault="003B07FF"/>
    <w:p w14:paraId="5315A906" w14:textId="77777777" w:rsidR="007255B0" w:rsidRDefault="007255B0">
      <w:r>
        <w:br w:type="page"/>
      </w:r>
    </w:p>
    <w:tbl>
      <w:tblPr>
        <w:tblStyle w:val="TableGrid"/>
        <w:tblW w:w="0" w:type="auto"/>
        <w:tblBorders>
          <w:top w:val="single" w:sz="18" w:space="0" w:color="0A3251"/>
          <w:left w:val="single" w:sz="18" w:space="0" w:color="0A3251"/>
          <w:bottom w:val="single" w:sz="18" w:space="0" w:color="0A3251"/>
          <w:right w:val="single" w:sz="18" w:space="0" w:color="0A3251"/>
          <w:insideH w:val="single" w:sz="18" w:space="0" w:color="0A3251"/>
          <w:insideV w:val="single" w:sz="18" w:space="0" w:color="0A3251"/>
        </w:tblBorders>
        <w:tblLook w:val="04A0" w:firstRow="1" w:lastRow="0" w:firstColumn="1" w:lastColumn="0" w:noHBand="0" w:noVBand="1"/>
      </w:tblPr>
      <w:tblGrid>
        <w:gridCol w:w="11736"/>
      </w:tblGrid>
      <w:tr w:rsidR="00DE070F" w14:paraId="7DF55E0C" w14:textId="77777777" w:rsidTr="00710138">
        <w:tc>
          <w:tcPr>
            <w:tcW w:w="11736" w:type="dxa"/>
            <w:shd w:val="clear" w:color="auto" w:fill="F2F2F2" w:themeFill="background1" w:themeFillShade="F2"/>
          </w:tcPr>
          <w:p w14:paraId="01022C84" w14:textId="77777777" w:rsidR="00DE070F" w:rsidRDefault="00DE070F" w:rsidP="00113E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u w:val="single"/>
              </w:rPr>
            </w:pPr>
          </w:p>
          <w:p w14:paraId="11123C71" w14:textId="6336958C" w:rsidR="00DE070F" w:rsidRPr="00A75FFC" w:rsidRDefault="00DE070F" w:rsidP="00113EE8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Data Elements Map</w:t>
            </w:r>
            <w:r w:rsidRPr="007940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="00A75FFC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tbc</w:t>
            </w:r>
          </w:p>
          <w:p w14:paraId="03A577E6" w14:textId="77777777" w:rsidR="003B07FF" w:rsidRPr="00794093" w:rsidRDefault="003B07FF" w:rsidP="00113E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</w:tr>
    </w:tbl>
    <w:p w14:paraId="4925F05A" w14:textId="77777777" w:rsidR="009668E3" w:rsidRPr="003B07FF" w:rsidRDefault="009668E3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8" w:space="0" w:color="0A3251"/>
          <w:left w:val="single" w:sz="18" w:space="0" w:color="0A3251"/>
          <w:bottom w:val="single" w:sz="18" w:space="0" w:color="0A3251"/>
          <w:right w:val="single" w:sz="18" w:space="0" w:color="0A3251"/>
          <w:insideH w:val="single" w:sz="18" w:space="0" w:color="0A3251"/>
          <w:insideV w:val="single" w:sz="18" w:space="0" w:color="0A3251"/>
        </w:tblBorders>
        <w:tblLook w:val="04A0" w:firstRow="1" w:lastRow="0" w:firstColumn="1" w:lastColumn="0" w:noHBand="0" w:noVBand="1"/>
      </w:tblPr>
      <w:tblGrid>
        <w:gridCol w:w="11736"/>
      </w:tblGrid>
      <w:tr w:rsidR="008D01AD" w14:paraId="0D06FA44" w14:textId="77777777" w:rsidTr="00FE26CD">
        <w:tc>
          <w:tcPr>
            <w:tcW w:w="11736" w:type="dxa"/>
            <w:shd w:val="clear" w:color="auto" w:fill="F2F2F2" w:themeFill="background1" w:themeFillShade="F2"/>
          </w:tcPr>
          <w:p w14:paraId="4F8283D6" w14:textId="77777777" w:rsidR="00E02BF2" w:rsidRPr="00794093" w:rsidRDefault="00E02BF2" w:rsidP="00E02BF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8"/>
                <w:u w:val="single"/>
              </w:rPr>
            </w:pPr>
          </w:p>
          <w:p w14:paraId="5D088C18" w14:textId="77777777" w:rsidR="00E02BF2" w:rsidRDefault="00FE26CD" w:rsidP="00E02BF2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Data Elements Matrix</w:t>
            </w:r>
            <w:r w:rsidR="00E02BF2" w:rsidRPr="007940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: </w:t>
            </w:r>
          </w:p>
          <w:p w14:paraId="2BF36F61" w14:textId="77777777" w:rsidR="00FE26CD" w:rsidRDefault="00996BC2" w:rsidP="009668E3">
            <w:pPr>
              <w:ind w:left="288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“</w:t>
            </w:r>
            <w:r w:rsidR="00113EE8"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</w:t>
            </w: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” </w:t>
            </w:r>
            <w:r w:rsidR="00113EE8"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=</w:t>
            </w: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13EE8"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Required   </w:t>
            </w: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“</w:t>
            </w:r>
            <w:r w:rsidR="00113EE8"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(1)</w:t>
            </w: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” </w:t>
            </w:r>
            <w:r w:rsidR="00113EE8"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=</w:t>
            </w: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13EE8"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Optional  </w:t>
            </w:r>
            <w:r w:rsidRPr="00996B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“-“ = Not Required</w:t>
            </w:r>
            <w:r w:rsidR="00D13F3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or Optional</w:t>
            </w:r>
          </w:p>
          <w:p w14:paraId="35049CFA" w14:textId="77777777" w:rsidR="009668E3" w:rsidRPr="009668E3" w:rsidRDefault="009668E3" w:rsidP="009668E3">
            <w:pPr>
              <w:ind w:left="2880"/>
              <w:rPr>
                <w:rFonts w:ascii="Calibri" w:eastAsia="Times New Roman" w:hAnsi="Calibri" w:cs="Times New Roman"/>
                <w:bCs/>
                <w:color w:val="000000"/>
                <w:sz w:val="8"/>
                <w:szCs w:val="8"/>
              </w:rPr>
            </w:pPr>
          </w:p>
        </w:tc>
      </w:tr>
    </w:tbl>
    <w:p w14:paraId="5FBBB534" w14:textId="77777777" w:rsidR="00755EA6" w:rsidRPr="009668E3" w:rsidRDefault="00755EA6" w:rsidP="0058517A">
      <w:pPr>
        <w:spacing w:after="0" w:line="240" w:lineRule="auto"/>
        <w:rPr>
          <w:sz w:val="8"/>
          <w:szCs w:val="8"/>
        </w:rPr>
      </w:pPr>
    </w:p>
    <w:tbl>
      <w:tblPr>
        <w:tblW w:w="3168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745"/>
        <w:gridCol w:w="1530"/>
        <w:gridCol w:w="1417"/>
        <w:gridCol w:w="1417"/>
        <w:gridCol w:w="1344"/>
        <w:gridCol w:w="1329"/>
        <w:gridCol w:w="1329"/>
        <w:gridCol w:w="8267"/>
        <w:gridCol w:w="8267"/>
        <w:gridCol w:w="4035"/>
      </w:tblGrid>
      <w:tr w:rsidR="009668E3" w14:paraId="438CFA99" w14:textId="77777777" w:rsidTr="00515633">
        <w:trPr>
          <w:gridAfter w:val="3"/>
          <w:wAfter w:w="20569" w:type="dxa"/>
          <w:trHeight w:val="332"/>
          <w:tblHeader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68B1"/>
            <w:vAlign w:val="center"/>
          </w:tcPr>
          <w:p w14:paraId="3F237610" w14:textId="77777777" w:rsidR="009668E3" w:rsidRPr="00FE26CD" w:rsidRDefault="009668E3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Data Element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68B1"/>
            <w:noWrap/>
            <w:vAlign w:val="center"/>
          </w:tcPr>
          <w:p w14:paraId="4E752C69" w14:textId="77777777" w:rsidR="009668E3" w:rsidRPr="00FE26CD" w:rsidRDefault="009668E3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Collection</w:t>
            </w:r>
          </w:p>
          <w:p w14:paraId="0035A7DE" w14:textId="5C5D7C50" w:rsidR="009668E3" w:rsidRPr="00FE26CD" w:rsidRDefault="00A75FFC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O</w:t>
            </w:r>
            <w:r w:rsidR="009668E3"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-PA1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68B1"/>
            <w:vAlign w:val="center"/>
          </w:tcPr>
          <w:p w14:paraId="25759C75" w14:textId="77777777" w:rsidR="009668E3" w:rsidRPr="00FE26CD" w:rsidRDefault="009668E3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Transmission</w:t>
            </w:r>
          </w:p>
          <w:p w14:paraId="2BFFFFCF" w14:textId="50A3FA43" w:rsidR="009668E3" w:rsidRPr="00FE26CD" w:rsidRDefault="00FF5EBE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A</w:t>
            </w:r>
            <w:r w:rsidR="009668E3"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-PA2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68B1"/>
            <w:vAlign w:val="center"/>
          </w:tcPr>
          <w:p w14:paraId="17057F1E" w14:textId="481F5DAB" w:rsidR="009668E3" w:rsidRPr="00FE26CD" w:rsidRDefault="000E573A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Transmission</w:t>
            </w:r>
          </w:p>
          <w:p w14:paraId="48EA7059" w14:textId="3ECD118A" w:rsidR="009668E3" w:rsidRPr="00FE26CD" w:rsidRDefault="00FF5EBE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A</w:t>
            </w:r>
            <w:r w:rsidR="009668E3"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-PA3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68B1"/>
            <w:vAlign w:val="center"/>
          </w:tcPr>
          <w:p w14:paraId="64E4E6FD" w14:textId="77777777" w:rsidR="009668E3" w:rsidRPr="00FE26CD" w:rsidRDefault="009668E3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Retention</w:t>
            </w:r>
          </w:p>
          <w:p w14:paraId="3C7E5DE3" w14:textId="51D19EF5" w:rsidR="009668E3" w:rsidRPr="00FE26CD" w:rsidRDefault="00FF5EBE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A</w:t>
            </w:r>
            <w:r w:rsidR="009668E3"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-PA4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68B1"/>
            <w:vAlign w:val="center"/>
          </w:tcPr>
          <w:p w14:paraId="56E4AF78" w14:textId="77777777" w:rsidR="009668E3" w:rsidRPr="00FE26CD" w:rsidRDefault="009668E3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TBD</w:t>
            </w:r>
          </w:p>
          <w:p w14:paraId="1E2C7EEA" w14:textId="3C502588" w:rsidR="009668E3" w:rsidRPr="00FE26CD" w:rsidRDefault="00FF5EBE" w:rsidP="00C01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A</w:t>
            </w:r>
            <w:r w:rsidR="009668E3"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-PA5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68B1"/>
          </w:tcPr>
          <w:p w14:paraId="2C0D9533" w14:textId="77777777" w:rsidR="009668E3" w:rsidRPr="00FE26CD" w:rsidRDefault="009668E3" w:rsidP="0096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FE26CD">
              <w:rPr>
                <w:rFonts w:ascii="Calibri" w:eastAsia="Times New Roman" w:hAnsi="Calibri" w:cs="Times New Roman"/>
                <w:b/>
                <w:color w:val="FFFFFF" w:themeColor="background1"/>
              </w:rPr>
              <w:t>TBD</w:t>
            </w:r>
          </w:p>
          <w:p w14:paraId="2021963A" w14:textId="07A42D7E" w:rsidR="009668E3" w:rsidRPr="00FE26CD" w:rsidRDefault="00FF5EBE" w:rsidP="00966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</w:rPr>
              <w:t>A</w:t>
            </w:r>
            <w:r w:rsidR="009668E3">
              <w:rPr>
                <w:rFonts w:ascii="Calibri" w:eastAsia="Times New Roman" w:hAnsi="Calibri" w:cs="Times New Roman"/>
                <w:b/>
                <w:color w:val="FFFFFF" w:themeColor="background1"/>
              </w:rPr>
              <w:t>-PA6</w:t>
            </w:r>
          </w:p>
        </w:tc>
      </w:tr>
      <w:tr w:rsidR="00DF64A6" w14:paraId="12945AF2" w14:textId="77777777" w:rsidTr="00515633">
        <w:trPr>
          <w:gridAfter w:val="3"/>
          <w:wAfter w:w="20569" w:type="dxa"/>
          <w:trHeight w:val="33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769D05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Domain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28FB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996D" w14:textId="5798536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DA484" w14:textId="341D237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D4574" w14:textId="4BDCD14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E4364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1B69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34DAEE34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71BA8C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Registry Domain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E7563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A1959" w14:textId="6A2F6B3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B68FD" w14:textId="2543D53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77CEA" w14:textId="20E5860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FF00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82046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3A76E148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F11363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 Whois Server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19648" w14:textId="5189C61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F0F69" w14:textId="1F9EBAC8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F2562" w14:textId="529301B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9EC33" w14:textId="2AC4AA6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76B4C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C055E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5278356E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DAD63FD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 URL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1E322" w14:textId="4FFBD4D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383DE" w14:textId="17F850EE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6A082" w14:textId="1DC08BC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724A" w14:textId="25A5282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583A1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7B645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7CE10102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A697EC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Updated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1F2634" w14:textId="198E60C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98130" w14:textId="02D8D0D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E08A6" w14:textId="6D2A317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E85AB" w14:textId="69CE9FA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AE841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FEA0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1FA4361E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F0B577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Creation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E8D4A" w14:textId="777F15C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F41C6" w14:textId="30369E2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B265D" w14:textId="4769525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AB07" w14:textId="31F4CBB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D254E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CDB4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4E41ABAB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BCD23F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Registry Expiry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DAA150" w14:textId="7B71590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B5F96" w14:textId="74EDDB4C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F026A" w14:textId="4C6FE03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C7F56" w14:textId="444054AC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F67C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5D0A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0EA9174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63B0A3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 Registration Expiration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7C3E2C" w14:textId="5135053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9F979" w14:textId="6548723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4687B" w14:textId="50035EA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90223" w14:textId="76FF57F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CF2E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00915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71CBA32B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EF2F41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F47B05" w14:textId="5D192AB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067AD" w14:textId="0BA5775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313D" w14:textId="5E5CDC8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BBF63" w14:textId="27C8080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A04B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3D2D1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6555111B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3FA394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 IANA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734174" w14:textId="06ABA08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CD12" w14:textId="468009AD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1DB6C" w14:textId="0BE9390A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B7455" w14:textId="41A6A35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CBC4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7D221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2F6BD784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7E1FD7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 Abuse Contact 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82538" w14:textId="3C29A1B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88BF7" w14:textId="518DF37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6C87" w14:textId="1DC72BC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66EA2" w14:textId="6595E8BA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EEC6F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11EEA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13CD18E8" w14:textId="77777777" w:rsidTr="00515633">
        <w:trPr>
          <w:gridAfter w:val="3"/>
          <w:wAfter w:w="20569" w:type="dxa"/>
          <w:trHeight w:val="323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37BAFE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Registrar Abuse Contact Phone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0D8C86" w14:textId="6618FBC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4B9E2" w14:textId="15D0119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BFEB2" w14:textId="46BA566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6EC93" w14:textId="0B95481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E8B30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E645D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20CCD8C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413CF2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Reseller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CBE063" w14:textId="67412968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C12F4" w14:textId="10523A8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FDE14" w14:textId="3DEAFEB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76B06" w14:textId="715ADEE8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1A323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C6D60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49B80EF8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A579D9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Domain Status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06A14" w14:textId="3E226A95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238A3" w14:textId="1F33968A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3A7F9" w14:textId="4BDA206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FCCC1" w14:textId="4920BC3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EE506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4FA03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:rsidRPr="00B77266" w14:paraId="7261D52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231DAE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Registry Registrant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367108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B0B10" w14:textId="69C0F72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41F69" w14:textId="75DC15D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5B446" w14:textId="4BE19B7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18C9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B484F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:rsidRPr="00B77266" w14:paraId="32FE5E24" w14:textId="77777777" w:rsidTr="00515633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3B9DA0" w14:textId="77777777" w:rsidR="00515633" w:rsidRPr="00EC1282" w:rsidRDefault="00515633" w:rsidP="00515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Registrant Fields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1AD63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267" w:type="dxa"/>
          </w:tcPr>
          <w:p w14:paraId="60990D0A" w14:textId="77777777" w:rsidR="00515633" w:rsidRPr="00B77266" w:rsidRDefault="00515633" w:rsidP="00515633"/>
        </w:tc>
        <w:tc>
          <w:tcPr>
            <w:tcW w:w="8267" w:type="dxa"/>
            <w:vAlign w:val="center"/>
          </w:tcPr>
          <w:p w14:paraId="6A962BA5" w14:textId="77777777" w:rsidR="00515633" w:rsidRPr="00B77266" w:rsidRDefault="00515633" w:rsidP="00515633"/>
        </w:tc>
        <w:tc>
          <w:tcPr>
            <w:tcW w:w="4035" w:type="dxa"/>
            <w:vAlign w:val="center"/>
          </w:tcPr>
          <w:p w14:paraId="1E15522E" w14:textId="77777777" w:rsidR="00515633" w:rsidRPr="00B77266" w:rsidRDefault="00515633" w:rsidP="00515633"/>
        </w:tc>
      </w:tr>
      <w:tr w:rsidR="00DF64A6" w14:paraId="71F68B87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6E6417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02BE78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1BB97" w14:textId="170E169E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659F6" w14:textId="02B69C8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5FE7F" w14:textId="7D357DC5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1698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C917E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5FA795C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53A485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Organization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DB3A24" w14:textId="2129E7F4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236EB" w14:textId="7C7E2B7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1A5EB" w14:textId="60E4EC4E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70C54" w14:textId="39B2607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0B1FB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8BE4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24E0C9BD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2B0A01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BA01A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9FA30" w14:textId="0D4680AC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FB6EA" w14:textId="40E92C65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900AF" w14:textId="06CAA65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BEC9A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09E2B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08669259" w14:textId="77777777" w:rsidTr="00515633">
        <w:trPr>
          <w:gridAfter w:val="3"/>
          <w:wAfter w:w="20569" w:type="dxa"/>
          <w:trHeight w:val="341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A823A3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6C0518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C649B" w14:textId="282436B8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C3D98" w14:textId="09916A1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394EF" w14:textId="26E4BBA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56ED0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90CA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791CF34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091E98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State/province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E7AB40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17DA8" w14:textId="02BA924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E73D8" w14:textId="76A1259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E8D4" w14:textId="19A803F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F22C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53DB4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0ECC6C06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AF247E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Postal code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7ED48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6D87E" w14:textId="51C6F11D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C44D9" w14:textId="76CF317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020A" w14:textId="5922242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CFEDD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A5E3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5D386B93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358DD13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5F2E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448F5" w14:textId="60D2A3F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FABF5" w14:textId="2D82D50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9E63" w14:textId="2013A61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D014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B4F1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58876BC1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83C124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55AA5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33A3D" w14:textId="03C1E50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2F40" w14:textId="6A16682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74BBF" w14:textId="793D274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19948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23BA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0FDAB656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DAF24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Phone ext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4E4B8" w14:textId="1740C6A1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77595" w14:textId="4299252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6B003" w14:textId="3A821186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(1)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B6FF4" w14:textId="5BD9C553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2D010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4C94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4C61D14E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91B95D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Fax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81007F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CEE90" w14:textId="5D79A7A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8EFD7" w14:textId="311CF235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5E9BE" w14:textId="178A871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4E14F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471E3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505C14A2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A76DE2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Fax ext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F5B0F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0DC3" w14:textId="747C18E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DDE56" w14:textId="03D96EC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763AF" w14:textId="3751A8EC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7ED44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6287D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44E59C4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79060CB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DE32B2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BC6AE" w14:textId="0F8A1DD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F055" w14:textId="49475FCC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DAEBD" w14:textId="32B0EAB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57BE7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F0E56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14:paraId="08BCCE2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AA5CD7" w14:textId="77777777" w:rsidR="00DF64A6" w:rsidRPr="00EC1282" w:rsidRDefault="00DF64A6" w:rsidP="00DF64A6">
            <w:pPr>
              <w:spacing w:after="0" w:line="240" w:lineRule="auto"/>
              <w:ind w:firstLineChars="400" w:firstLine="6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2nd E-Mail address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86B4A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8BECA" w14:textId="7D59B4C2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C1B1B" w14:textId="072270A9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8BED6" w14:textId="4B44EA8F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E0464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B327C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DF64A6" w:rsidRPr="00B77266" w14:paraId="71B3075C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3DD256" w14:textId="77777777" w:rsidR="00DF64A6" w:rsidRPr="00EC1282" w:rsidRDefault="00DF64A6" w:rsidP="00DF6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Admin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B061C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23FC" w14:textId="281D722A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F3CC8" w14:textId="331DE060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BB460" w14:textId="1D0F3BAB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39A0B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989A9" w14:textId="77777777" w:rsidR="00DF64A6" w:rsidRDefault="00DF64A6" w:rsidP="00DF6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:rsidRPr="00B77266" w14:paraId="63B879C9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C2E5512" w14:textId="77777777" w:rsidR="00515633" w:rsidRPr="00EC1282" w:rsidRDefault="00515633" w:rsidP="00515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Admin Fields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8828F1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5633" w14:paraId="0C64A8C6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250DB4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B8BA2" w14:textId="420FCD0C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8862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E71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38F2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6CCEA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00460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30A028F2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AB7BDD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Organization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B8F26" w14:textId="733A24AA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F71A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907FD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43E5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869BE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D8B9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0FDB249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4F9BA4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2A03F" w14:textId="189D8FC3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A572B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EF4F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9B57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DC4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AB33D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6AD43C66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18AC2B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91E79A" w14:textId="6FA0E502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EF40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5B9B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197C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7F33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AB44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1EF612E2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1DFF13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State/province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F7D00" w14:textId="0A7E6E46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B680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1C3B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CC5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504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7F88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0F6232B7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3F38A6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Postal code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6D1C42" w14:textId="2F59202A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1F5A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F42A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8C9B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94B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C35A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5759B993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540460F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lastRenderedPageBreak/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C9466" w14:textId="0933AF99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5FCE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4CAD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6838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0C1A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3492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6D39DB20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3131E4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53CA7A" w14:textId="1EE426DF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B6B3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CB5A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0EF7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FFD40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369AD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3166DCF3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984D30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Phone ext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D6204C" w14:textId="31B40BE2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1F91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E06BB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4F4D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01AA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9CDB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14916C86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371178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Fax 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6157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24D2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6794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6935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F83EB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85E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087B8CAD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FD0B5A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Fax ext (opt.)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A937C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E0DC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3A3E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6EA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5AEF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54F30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6BDE18E9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D09115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A8A01" w14:textId="6338B2E5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D04C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C496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83CA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C66EE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5872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:rsidRPr="00B77266" w14:paraId="3D98594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26EA29F" w14:textId="77777777" w:rsidR="00515633" w:rsidRPr="00EC1282" w:rsidRDefault="00515633" w:rsidP="00515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 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190E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0609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6013A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A0AC0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B4B2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FFF0D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:rsidRPr="00B77266" w14:paraId="0176DD32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A6FF66" w14:textId="77777777" w:rsidR="00515633" w:rsidRPr="00EC1282" w:rsidRDefault="00515633" w:rsidP="00515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Tech Fields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9A09B6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15633" w14:paraId="2A02089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1076AB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55E1B" w14:textId="1133D436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80AE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6F24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91D4E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603D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D318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774502EC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1189EA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Organization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E49ACA" w14:textId="0C60C701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2DD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297F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29D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BC73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78C10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2E24D72B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8E1205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Street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560E14" w14:textId="77BF2B5B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DAF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A734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4F37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DB89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F127B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55E9E229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5F6855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26B4F" w14:textId="7BEF3286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B74CB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C40F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774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D00E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8ADA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3C75485F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963596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State/province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92642F" w14:textId="2272313F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  <w:r w:rsidDel="0083073F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A046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73556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0940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D8A0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52E1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1BF26E2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664A90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Postal code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475F4A" w14:textId="11D80D64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F5FCA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AB44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2F736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2B04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16F9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198790E2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78FC3A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11509" w14:textId="28865E1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DD8E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0378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FE11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AB9B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2BE34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229EA1F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CDE63A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5F46B" w14:textId="45D46B00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E934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5BBAD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DB95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CCC4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568B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266DA96B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B8B815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Phone ext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7AC350" w14:textId="0119C641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3AB0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60D8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0EA66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D316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D414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1DD72B75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092DEF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Fax 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340F46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AEE6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80C7B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38D39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D8293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71B1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5A65F000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AAE2C5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Fax ext (opt.)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CA936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5CF95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92F97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390FF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E31A6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6AD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15633" w14:paraId="5887F1F8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3B5178E" w14:textId="77777777" w:rsidR="00515633" w:rsidRPr="00EC1282" w:rsidRDefault="00515633" w:rsidP="00515633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55571D" w14:textId="54D76AA1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BB3AC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B9E8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0CCC1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BC8EE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80A82" w14:textId="77777777" w:rsidR="00515633" w:rsidRDefault="00515633" w:rsidP="00515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2036E" w14:paraId="17A5B6C6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5AA1A4" w14:textId="77777777" w:rsidR="0052036E" w:rsidRPr="00EC1282" w:rsidRDefault="0052036E" w:rsidP="005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NameServer(s)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F7F5A9" w14:textId="29057005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0938" w14:textId="3C7193A0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6855B" w14:textId="7987BD01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6CFFF" w14:textId="7B6162A0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63E9C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C9965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2036E" w14:paraId="633903D8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617FCE" w14:textId="77777777" w:rsidR="0052036E" w:rsidRPr="00EC1282" w:rsidRDefault="0052036E" w:rsidP="005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DNSSEC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0CC50" w14:textId="30B46D12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</w:t>
            </w:r>
            <w:r w:rsidR="0052036E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B0808" w14:textId="3C3AF4F9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FF532" w14:textId="4423D08F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E5448" w14:textId="58D2DC7C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4352E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1C8C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2036E" w14:paraId="65359F3E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555F45" w14:textId="77777777" w:rsidR="0052036E" w:rsidRPr="00EC1282" w:rsidRDefault="0052036E" w:rsidP="005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Name Server IP Address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49FD2" w14:textId="5CB100BA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(</w:t>
            </w:r>
            <w:r w:rsidR="0052036E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43F9D" w14:textId="4CDDF58E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93B7B" w14:textId="2EC8A731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BC888" w14:textId="2E4763DF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8E3FF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F7843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2036E" w14:paraId="4EF74B08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2B05EF" w14:textId="77777777" w:rsidR="0052036E" w:rsidRPr="00EC1282" w:rsidRDefault="0052036E" w:rsidP="005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Last Update of Whois Database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F77B1" w14:textId="796386C2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FA14A" w14:textId="0A39452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B3B38" w14:textId="68639393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BBB0B" w14:textId="3D04B0BA" w:rsidR="0052036E" w:rsidRDefault="00DF64A6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37DD2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EBF8C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2036E" w:rsidRPr="00B77266" w14:paraId="23F6FE6A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063E56" w14:textId="77777777" w:rsidR="0052036E" w:rsidRPr="00EC1282" w:rsidRDefault="0052036E" w:rsidP="005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 Data: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A922736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52036E" w:rsidRPr="00B77266" w14:paraId="23C31847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8AE7B1" w14:textId="77777777" w:rsidR="0052036E" w:rsidRPr="00EC1282" w:rsidRDefault="0052036E" w:rsidP="0052036E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Field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E747FE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1BB2E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6C0BC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CAACA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0CD97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BFB43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  <w:tr w:rsidR="0052036E" w:rsidRPr="00B77266" w14:paraId="3993AE9B" w14:textId="77777777" w:rsidTr="00515633">
        <w:trPr>
          <w:gridAfter w:val="3"/>
          <w:wAfter w:w="20569" w:type="dxa"/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871498" w14:textId="77777777" w:rsidR="0052036E" w:rsidRPr="00EC1282" w:rsidRDefault="0052036E" w:rsidP="0052036E">
            <w:pPr>
              <w:spacing w:after="0" w:line="240" w:lineRule="auto"/>
              <w:ind w:firstLineChars="400" w:firstLine="640"/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</w:pPr>
            <w:r w:rsidRPr="00EC1282">
              <w:rPr>
                <w:rFonts w:ascii="Symbol" w:eastAsia="Times New Roman" w:hAnsi="Symbol" w:cs="Times New Roman"/>
                <w:color w:val="000000"/>
                <w:sz w:val="16"/>
                <w:szCs w:val="16"/>
              </w:rPr>
              <w:t></w:t>
            </w:r>
            <w:r w:rsidRPr="00EC12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 </w:t>
            </w:r>
            <w:r w:rsidRPr="00EC12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Field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2DB28E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7D949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7AE58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8443B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E523D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5E0F3" w14:textId="77777777" w:rsidR="0052036E" w:rsidRDefault="0052036E" w:rsidP="005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</w:tr>
    </w:tbl>
    <w:p w14:paraId="109E22A6" w14:textId="77777777" w:rsidR="0078687B" w:rsidRDefault="0078687B" w:rsidP="0078687B">
      <w:pPr>
        <w:spacing w:after="0" w:line="240" w:lineRule="auto"/>
      </w:pPr>
      <w:r>
        <w:t>Chain of Custody:</w:t>
      </w:r>
    </w:p>
    <w:p w14:paraId="1DA3E58A" w14:textId="77777777" w:rsidR="0078687B" w:rsidRDefault="0078687B" w:rsidP="0078687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RAA - </w:t>
      </w:r>
      <w:hyperlink r:id="rId8" w:history="1">
        <w:r w:rsidRPr="002053CF">
          <w:rPr>
            <w:rStyle w:val="Hyperlink"/>
          </w:rPr>
          <w:t>https://www.icann.org/resources/pages/approved-with-specs-2013-09-17-en</w:t>
        </w:r>
      </w:hyperlink>
      <w:r>
        <w:t xml:space="preserve"> </w:t>
      </w:r>
    </w:p>
    <w:p w14:paraId="33A9B18E" w14:textId="77777777" w:rsidR="0078687B" w:rsidRDefault="0078687B" w:rsidP="0078687B">
      <w:pPr>
        <w:pStyle w:val="ListParagraph"/>
        <w:numPr>
          <w:ilvl w:val="0"/>
          <w:numId w:val="4"/>
        </w:numPr>
        <w:spacing w:after="0" w:line="240" w:lineRule="auto"/>
      </w:pPr>
      <w:r>
        <w:t>Temp Spec: Section 4.4.1</w:t>
      </w:r>
    </w:p>
    <w:p w14:paraId="3ED1D501" w14:textId="77777777" w:rsidR="003A57A1" w:rsidRDefault="003A57A1"/>
    <w:sectPr w:rsidR="003A57A1" w:rsidSect="00996BC2">
      <w:foot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35369" w14:textId="77777777" w:rsidR="00585498" w:rsidRDefault="00585498" w:rsidP="005241BD">
      <w:pPr>
        <w:spacing w:after="0" w:line="240" w:lineRule="auto"/>
      </w:pPr>
      <w:r>
        <w:separator/>
      </w:r>
    </w:p>
  </w:endnote>
  <w:endnote w:type="continuationSeparator" w:id="0">
    <w:p w14:paraId="36CB9CB6" w14:textId="77777777" w:rsidR="00585498" w:rsidRDefault="00585498" w:rsidP="0052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E43E" w14:textId="6102981F" w:rsidR="005710B4" w:rsidRDefault="00571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8E97" w14:textId="77777777" w:rsidR="00585498" w:rsidRDefault="00585498" w:rsidP="005241BD">
      <w:pPr>
        <w:spacing w:after="0" w:line="240" w:lineRule="auto"/>
      </w:pPr>
      <w:r>
        <w:separator/>
      </w:r>
    </w:p>
  </w:footnote>
  <w:footnote w:type="continuationSeparator" w:id="0">
    <w:p w14:paraId="30D098E3" w14:textId="77777777" w:rsidR="00585498" w:rsidRDefault="00585498" w:rsidP="005241BD">
      <w:pPr>
        <w:spacing w:after="0" w:line="240" w:lineRule="auto"/>
      </w:pPr>
      <w:r>
        <w:continuationSeparator/>
      </w:r>
    </w:p>
  </w:footnote>
  <w:footnote w:id="1">
    <w:p w14:paraId="68C27036" w14:textId="31535841" w:rsidR="005710B4" w:rsidRDefault="005710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67F9C">
          <w:rPr>
            <w:rStyle w:val="Hyperlink"/>
          </w:rPr>
          <w:t>https://www.icann.org/octo-research</w:t>
        </w:r>
      </w:hyperlink>
    </w:p>
  </w:footnote>
  <w:footnote w:id="2">
    <w:p w14:paraId="735BA7BC" w14:textId="1348A66F" w:rsidR="005710B4" w:rsidRDefault="005710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67F9C">
          <w:rPr>
            <w:rStyle w:val="Hyperlink"/>
          </w:rPr>
          <w:t>https://www.icann.org/octo-ssr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0B80"/>
    <w:multiLevelType w:val="hybridMultilevel"/>
    <w:tmpl w:val="C30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159A"/>
    <w:multiLevelType w:val="hybridMultilevel"/>
    <w:tmpl w:val="B000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101D"/>
    <w:multiLevelType w:val="hybridMultilevel"/>
    <w:tmpl w:val="A14A0D8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FB421D0"/>
    <w:multiLevelType w:val="hybridMultilevel"/>
    <w:tmpl w:val="B0D8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F1502"/>
    <w:multiLevelType w:val="hybridMultilevel"/>
    <w:tmpl w:val="2B1C5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8610C"/>
    <w:multiLevelType w:val="hybridMultilevel"/>
    <w:tmpl w:val="CF68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933B8"/>
    <w:multiLevelType w:val="multilevel"/>
    <w:tmpl w:val="B84C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01EF8"/>
    <w:multiLevelType w:val="hybridMultilevel"/>
    <w:tmpl w:val="0E2AA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9188E"/>
    <w:multiLevelType w:val="hybridMultilevel"/>
    <w:tmpl w:val="D4F68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BF"/>
    <w:rsid w:val="000059F0"/>
    <w:rsid w:val="00007D3D"/>
    <w:rsid w:val="00013709"/>
    <w:rsid w:val="00013FFC"/>
    <w:rsid w:val="00014AAC"/>
    <w:rsid w:val="0001654C"/>
    <w:rsid w:val="00020256"/>
    <w:rsid w:val="00021250"/>
    <w:rsid w:val="000221F5"/>
    <w:rsid w:val="00022277"/>
    <w:rsid w:val="00022424"/>
    <w:rsid w:val="00023C5D"/>
    <w:rsid w:val="00030BA9"/>
    <w:rsid w:val="000310DF"/>
    <w:rsid w:val="0003219B"/>
    <w:rsid w:val="0003390C"/>
    <w:rsid w:val="00034373"/>
    <w:rsid w:val="00036C41"/>
    <w:rsid w:val="00045D1E"/>
    <w:rsid w:val="00050EC3"/>
    <w:rsid w:val="0005164A"/>
    <w:rsid w:val="00052961"/>
    <w:rsid w:val="00052DF6"/>
    <w:rsid w:val="000600D3"/>
    <w:rsid w:val="000608FB"/>
    <w:rsid w:val="000645B1"/>
    <w:rsid w:val="000658C3"/>
    <w:rsid w:val="00065DA8"/>
    <w:rsid w:val="00071F85"/>
    <w:rsid w:val="00073233"/>
    <w:rsid w:val="000745EE"/>
    <w:rsid w:val="00074DCB"/>
    <w:rsid w:val="0007535E"/>
    <w:rsid w:val="0007548C"/>
    <w:rsid w:val="00076E3D"/>
    <w:rsid w:val="0007722A"/>
    <w:rsid w:val="000775C4"/>
    <w:rsid w:val="0008540D"/>
    <w:rsid w:val="000854B1"/>
    <w:rsid w:val="000900C7"/>
    <w:rsid w:val="00091098"/>
    <w:rsid w:val="00091471"/>
    <w:rsid w:val="000916DD"/>
    <w:rsid w:val="00093AF8"/>
    <w:rsid w:val="00094F6E"/>
    <w:rsid w:val="00096B79"/>
    <w:rsid w:val="000A2F79"/>
    <w:rsid w:val="000A62B3"/>
    <w:rsid w:val="000A6E0B"/>
    <w:rsid w:val="000A7565"/>
    <w:rsid w:val="000A7644"/>
    <w:rsid w:val="000B0BC0"/>
    <w:rsid w:val="000B1632"/>
    <w:rsid w:val="000B2250"/>
    <w:rsid w:val="000B27DB"/>
    <w:rsid w:val="000B2D87"/>
    <w:rsid w:val="000B3440"/>
    <w:rsid w:val="000C0ACC"/>
    <w:rsid w:val="000C3D88"/>
    <w:rsid w:val="000C4D43"/>
    <w:rsid w:val="000C6068"/>
    <w:rsid w:val="000C6262"/>
    <w:rsid w:val="000C7835"/>
    <w:rsid w:val="000C794E"/>
    <w:rsid w:val="000D0C73"/>
    <w:rsid w:val="000D3F77"/>
    <w:rsid w:val="000D47DC"/>
    <w:rsid w:val="000D7912"/>
    <w:rsid w:val="000E0675"/>
    <w:rsid w:val="000E0FF9"/>
    <w:rsid w:val="000E25A4"/>
    <w:rsid w:val="000E542A"/>
    <w:rsid w:val="000E573A"/>
    <w:rsid w:val="000E5876"/>
    <w:rsid w:val="000E6B1B"/>
    <w:rsid w:val="000E6D8E"/>
    <w:rsid w:val="000E7685"/>
    <w:rsid w:val="000F0B71"/>
    <w:rsid w:val="000F4F7D"/>
    <w:rsid w:val="000F7557"/>
    <w:rsid w:val="00100C1F"/>
    <w:rsid w:val="001025C1"/>
    <w:rsid w:val="00102A9C"/>
    <w:rsid w:val="00104706"/>
    <w:rsid w:val="00105C90"/>
    <w:rsid w:val="00110450"/>
    <w:rsid w:val="00111B82"/>
    <w:rsid w:val="00113EE8"/>
    <w:rsid w:val="0011577F"/>
    <w:rsid w:val="00115EAF"/>
    <w:rsid w:val="001179DE"/>
    <w:rsid w:val="00117B6F"/>
    <w:rsid w:val="0012159E"/>
    <w:rsid w:val="00121B46"/>
    <w:rsid w:val="001222D7"/>
    <w:rsid w:val="00124078"/>
    <w:rsid w:val="00124DBB"/>
    <w:rsid w:val="0012520A"/>
    <w:rsid w:val="001277C6"/>
    <w:rsid w:val="00127F63"/>
    <w:rsid w:val="00133680"/>
    <w:rsid w:val="00133FB4"/>
    <w:rsid w:val="00136768"/>
    <w:rsid w:val="00141133"/>
    <w:rsid w:val="0014119C"/>
    <w:rsid w:val="0014195B"/>
    <w:rsid w:val="001512B2"/>
    <w:rsid w:val="00152380"/>
    <w:rsid w:val="001551E9"/>
    <w:rsid w:val="001554B8"/>
    <w:rsid w:val="00156322"/>
    <w:rsid w:val="00157D9C"/>
    <w:rsid w:val="001611A1"/>
    <w:rsid w:val="00164400"/>
    <w:rsid w:val="00164FA7"/>
    <w:rsid w:val="00165606"/>
    <w:rsid w:val="001664D1"/>
    <w:rsid w:val="00170383"/>
    <w:rsid w:val="0017039E"/>
    <w:rsid w:val="00170C37"/>
    <w:rsid w:val="00171E21"/>
    <w:rsid w:val="00172DB9"/>
    <w:rsid w:val="00173006"/>
    <w:rsid w:val="00174735"/>
    <w:rsid w:val="00175973"/>
    <w:rsid w:val="00177A68"/>
    <w:rsid w:val="00177EE0"/>
    <w:rsid w:val="00180964"/>
    <w:rsid w:val="00182843"/>
    <w:rsid w:val="00182DC5"/>
    <w:rsid w:val="001835B4"/>
    <w:rsid w:val="001844FE"/>
    <w:rsid w:val="00186448"/>
    <w:rsid w:val="001873CC"/>
    <w:rsid w:val="00187C2E"/>
    <w:rsid w:val="00191CAD"/>
    <w:rsid w:val="001925FE"/>
    <w:rsid w:val="00195BBC"/>
    <w:rsid w:val="001964B1"/>
    <w:rsid w:val="001A1706"/>
    <w:rsid w:val="001A1E07"/>
    <w:rsid w:val="001A4675"/>
    <w:rsid w:val="001B032B"/>
    <w:rsid w:val="001B03C8"/>
    <w:rsid w:val="001B4561"/>
    <w:rsid w:val="001B6D8F"/>
    <w:rsid w:val="001B7DA3"/>
    <w:rsid w:val="001C1441"/>
    <w:rsid w:val="001C168A"/>
    <w:rsid w:val="001C1B8B"/>
    <w:rsid w:val="001C4996"/>
    <w:rsid w:val="001D029B"/>
    <w:rsid w:val="001D327C"/>
    <w:rsid w:val="001D48A8"/>
    <w:rsid w:val="001D6025"/>
    <w:rsid w:val="001D6787"/>
    <w:rsid w:val="001E0A0F"/>
    <w:rsid w:val="001E2677"/>
    <w:rsid w:val="001E26F5"/>
    <w:rsid w:val="001E2A45"/>
    <w:rsid w:val="001E322E"/>
    <w:rsid w:val="001E3A0A"/>
    <w:rsid w:val="001E3BFD"/>
    <w:rsid w:val="001E6AB1"/>
    <w:rsid w:val="001E7663"/>
    <w:rsid w:val="001F05FA"/>
    <w:rsid w:val="001F2204"/>
    <w:rsid w:val="001F3C68"/>
    <w:rsid w:val="001F7879"/>
    <w:rsid w:val="002012ED"/>
    <w:rsid w:val="00201D39"/>
    <w:rsid w:val="00205507"/>
    <w:rsid w:val="00205AEA"/>
    <w:rsid w:val="0021290D"/>
    <w:rsid w:val="002156B8"/>
    <w:rsid w:val="00220F2F"/>
    <w:rsid w:val="00222182"/>
    <w:rsid w:val="00222FD0"/>
    <w:rsid w:val="00223606"/>
    <w:rsid w:val="00226CCF"/>
    <w:rsid w:val="002272DB"/>
    <w:rsid w:val="0023019F"/>
    <w:rsid w:val="002301A8"/>
    <w:rsid w:val="002321C3"/>
    <w:rsid w:val="002323BB"/>
    <w:rsid w:val="002323CA"/>
    <w:rsid w:val="002328A9"/>
    <w:rsid w:val="002346C0"/>
    <w:rsid w:val="0023518A"/>
    <w:rsid w:val="00241399"/>
    <w:rsid w:val="002453E9"/>
    <w:rsid w:val="002457BA"/>
    <w:rsid w:val="0025142A"/>
    <w:rsid w:val="0025563D"/>
    <w:rsid w:val="00257483"/>
    <w:rsid w:val="00257D2F"/>
    <w:rsid w:val="0026069D"/>
    <w:rsid w:val="00262088"/>
    <w:rsid w:val="00263FA5"/>
    <w:rsid w:val="00270E48"/>
    <w:rsid w:val="00271105"/>
    <w:rsid w:val="0027241E"/>
    <w:rsid w:val="00273409"/>
    <w:rsid w:val="00275DDB"/>
    <w:rsid w:val="00284739"/>
    <w:rsid w:val="00285E16"/>
    <w:rsid w:val="00290A7B"/>
    <w:rsid w:val="00291DF6"/>
    <w:rsid w:val="00292076"/>
    <w:rsid w:val="0029311D"/>
    <w:rsid w:val="002935B8"/>
    <w:rsid w:val="002974F5"/>
    <w:rsid w:val="002B190A"/>
    <w:rsid w:val="002B2402"/>
    <w:rsid w:val="002B69E8"/>
    <w:rsid w:val="002C3CC1"/>
    <w:rsid w:val="002C5E79"/>
    <w:rsid w:val="002C7F0A"/>
    <w:rsid w:val="002D3391"/>
    <w:rsid w:val="002D7145"/>
    <w:rsid w:val="002E0805"/>
    <w:rsid w:val="002E106F"/>
    <w:rsid w:val="002E19E9"/>
    <w:rsid w:val="002E4284"/>
    <w:rsid w:val="002F273B"/>
    <w:rsid w:val="002F3FFA"/>
    <w:rsid w:val="002F4A2B"/>
    <w:rsid w:val="002F5BD0"/>
    <w:rsid w:val="002F7B7B"/>
    <w:rsid w:val="002F7DA1"/>
    <w:rsid w:val="00301375"/>
    <w:rsid w:val="003033F7"/>
    <w:rsid w:val="00306E40"/>
    <w:rsid w:val="00307332"/>
    <w:rsid w:val="003079C7"/>
    <w:rsid w:val="00307E5B"/>
    <w:rsid w:val="00311509"/>
    <w:rsid w:val="00311DEC"/>
    <w:rsid w:val="00311F48"/>
    <w:rsid w:val="0031261E"/>
    <w:rsid w:val="00313890"/>
    <w:rsid w:val="00315674"/>
    <w:rsid w:val="00315CEB"/>
    <w:rsid w:val="00320A79"/>
    <w:rsid w:val="00321828"/>
    <w:rsid w:val="00321A80"/>
    <w:rsid w:val="00323704"/>
    <w:rsid w:val="00326414"/>
    <w:rsid w:val="0033151F"/>
    <w:rsid w:val="003358E9"/>
    <w:rsid w:val="003367FA"/>
    <w:rsid w:val="00336E56"/>
    <w:rsid w:val="00336F4E"/>
    <w:rsid w:val="00343DE6"/>
    <w:rsid w:val="00345C54"/>
    <w:rsid w:val="0034719F"/>
    <w:rsid w:val="003514A1"/>
    <w:rsid w:val="00352FD4"/>
    <w:rsid w:val="0035367F"/>
    <w:rsid w:val="00354E58"/>
    <w:rsid w:val="00355114"/>
    <w:rsid w:val="00355EDA"/>
    <w:rsid w:val="0036209A"/>
    <w:rsid w:val="00362EAC"/>
    <w:rsid w:val="0037085A"/>
    <w:rsid w:val="00371230"/>
    <w:rsid w:val="00373053"/>
    <w:rsid w:val="003731F9"/>
    <w:rsid w:val="00374536"/>
    <w:rsid w:val="00374C62"/>
    <w:rsid w:val="00374F6C"/>
    <w:rsid w:val="00375918"/>
    <w:rsid w:val="00383D0B"/>
    <w:rsid w:val="003846C5"/>
    <w:rsid w:val="00386028"/>
    <w:rsid w:val="003905CF"/>
    <w:rsid w:val="0039357E"/>
    <w:rsid w:val="0039548D"/>
    <w:rsid w:val="003962F1"/>
    <w:rsid w:val="00397E28"/>
    <w:rsid w:val="003A1FDE"/>
    <w:rsid w:val="003A57A1"/>
    <w:rsid w:val="003B07FF"/>
    <w:rsid w:val="003B187D"/>
    <w:rsid w:val="003B1F1B"/>
    <w:rsid w:val="003B27FE"/>
    <w:rsid w:val="003B39E6"/>
    <w:rsid w:val="003B493D"/>
    <w:rsid w:val="003B58EA"/>
    <w:rsid w:val="003B7702"/>
    <w:rsid w:val="003C4938"/>
    <w:rsid w:val="003C70BD"/>
    <w:rsid w:val="003D0F75"/>
    <w:rsid w:val="003D3C71"/>
    <w:rsid w:val="003D6237"/>
    <w:rsid w:val="003D6D1A"/>
    <w:rsid w:val="003E2E5B"/>
    <w:rsid w:val="003E33EA"/>
    <w:rsid w:val="003E4345"/>
    <w:rsid w:val="003E4379"/>
    <w:rsid w:val="003E46CB"/>
    <w:rsid w:val="003E6106"/>
    <w:rsid w:val="003F108A"/>
    <w:rsid w:val="003F3352"/>
    <w:rsid w:val="003F3660"/>
    <w:rsid w:val="003F394A"/>
    <w:rsid w:val="003F4ABE"/>
    <w:rsid w:val="003F4C6F"/>
    <w:rsid w:val="003F7690"/>
    <w:rsid w:val="0040137D"/>
    <w:rsid w:val="004053C4"/>
    <w:rsid w:val="00405CD9"/>
    <w:rsid w:val="00406672"/>
    <w:rsid w:val="00410228"/>
    <w:rsid w:val="00410E0A"/>
    <w:rsid w:val="00411109"/>
    <w:rsid w:val="00411D87"/>
    <w:rsid w:val="00413A14"/>
    <w:rsid w:val="00420F6B"/>
    <w:rsid w:val="00422DC5"/>
    <w:rsid w:val="00424956"/>
    <w:rsid w:val="00424D0D"/>
    <w:rsid w:val="00425AB3"/>
    <w:rsid w:val="00425B10"/>
    <w:rsid w:val="00435DAA"/>
    <w:rsid w:val="00436B68"/>
    <w:rsid w:val="004370D9"/>
    <w:rsid w:val="0043792F"/>
    <w:rsid w:val="00437D0D"/>
    <w:rsid w:val="00441443"/>
    <w:rsid w:val="0044178B"/>
    <w:rsid w:val="0044184A"/>
    <w:rsid w:val="00445F2C"/>
    <w:rsid w:val="00453354"/>
    <w:rsid w:val="004572DD"/>
    <w:rsid w:val="0046632C"/>
    <w:rsid w:val="00467368"/>
    <w:rsid w:val="004701F9"/>
    <w:rsid w:val="004709D5"/>
    <w:rsid w:val="00473767"/>
    <w:rsid w:val="00480295"/>
    <w:rsid w:val="00480C79"/>
    <w:rsid w:val="004826CC"/>
    <w:rsid w:val="00484570"/>
    <w:rsid w:val="004857AD"/>
    <w:rsid w:val="004873B6"/>
    <w:rsid w:val="00490427"/>
    <w:rsid w:val="0049399E"/>
    <w:rsid w:val="00495F4F"/>
    <w:rsid w:val="00497E36"/>
    <w:rsid w:val="004A0F52"/>
    <w:rsid w:val="004A3B03"/>
    <w:rsid w:val="004B418C"/>
    <w:rsid w:val="004B5607"/>
    <w:rsid w:val="004B73F3"/>
    <w:rsid w:val="004B7965"/>
    <w:rsid w:val="004B796C"/>
    <w:rsid w:val="004C00A3"/>
    <w:rsid w:val="004C05D9"/>
    <w:rsid w:val="004C33CA"/>
    <w:rsid w:val="004C3A75"/>
    <w:rsid w:val="004C437B"/>
    <w:rsid w:val="004C6134"/>
    <w:rsid w:val="004D46BF"/>
    <w:rsid w:val="004D546E"/>
    <w:rsid w:val="004D59EB"/>
    <w:rsid w:val="004D5D40"/>
    <w:rsid w:val="004D68A9"/>
    <w:rsid w:val="004D6FB6"/>
    <w:rsid w:val="004E20F4"/>
    <w:rsid w:val="004E2F02"/>
    <w:rsid w:val="004E3074"/>
    <w:rsid w:val="004E382A"/>
    <w:rsid w:val="004E3C33"/>
    <w:rsid w:val="004F2892"/>
    <w:rsid w:val="004F4C1F"/>
    <w:rsid w:val="004F5B12"/>
    <w:rsid w:val="004F5C68"/>
    <w:rsid w:val="004F6180"/>
    <w:rsid w:val="004F657B"/>
    <w:rsid w:val="005023CA"/>
    <w:rsid w:val="005111F2"/>
    <w:rsid w:val="005117F0"/>
    <w:rsid w:val="00511DE3"/>
    <w:rsid w:val="00511EB0"/>
    <w:rsid w:val="00515633"/>
    <w:rsid w:val="0051577F"/>
    <w:rsid w:val="005162E1"/>
    <w:rsid w:val="00517610"/>
    <w:rsid w:val="0052036E"/>
    <w:rsid w:val="005206DF"/>
    <w:rsid w:val="00522A91"/>
    <w:rsid w:val="005230A7"/>
    <w:rsid w:val="005241BD"/>
    <w:rsid w:val="00525B0F"/>
    <w:rsid w:val="00526841"/>
    <w:rsid w:val="0053047B"/>
    <w:rsid w:val="00534215"/>
    <w:rsid w:val="005371AA"/>
    <w:rsid w:val="00541F9C"/>
    <w:rsid w:val="00542D2E"/>
    <w:rsid w:val="00544C54"/>
    <w:rsid w:val="00545432"/>
    <w:rsid w:val="0054547A"/>
    <w:rsid w:val="0054650F"/>
    <w:rsid w:val="005512DA"/>
    <w:rsid w:val="00552A9E"/>
    <w:rsid w:val="00553E6C"/>
    <w:rsid w:val="0055616B"/>
    <w:rsid w:val="0055748A"/>
    <w:rsid w:val="00557B9D"/>
    <w:rsid w:val="00560D2F"/>
    <w:rsid w:val="00560D43"/>
    <w:rsid w:val="00560DD4"/>
    <w:rsid w:val="005626BA"/>
    <w:rsid w:val="0056338B"/>
    <w:rsid w:val="00563CF9"/>
    <w:rsid w:val="00564122"/>
    <w:rsid w:val="00567DBC"/>
    <w:rsid w:val="00570ED2"/>
    <w:rsid w:val="005710B4"/>
    <w:rsid w:val="005717EE"/>
    <w:rsid w:val="00572E9E"/>
    <w:rsid w:val="0057347E"/>
    <w:rsid w:val="0057464E"/>
    <w:rsid w:val="00575AE1"/>
    <w:rsid w:val="005764BA"/>
    <w:rsid w:val="00576C21"/>
    <w:rsid w:val="00577F7A"/>
    <w:rsid w:val="00580D06"/>
    <w:rsid w:val="005849E3"/>
    <w:rsid w:val="00584AAD"/>
    <w:rsid w:val="0058517A"/>
    <w:rsid w:val="00585498"/>
    <w:rsid w:val="00586AC1"/>
    <w:rsid w:val="00590DDF"/>
    <w:rsid w:val="00591E65"/>
    <w:rsid w:val="00593C81"/>
    <w:rsid w:val="00593D10"/>
    <w:rsid w:val="005A0568"/>
    <w:rsid w:val="005A1A94"/>
    <w:rsid w:val="005A5278"/>
    <w:rsid w:val="005B47B7"/>
    <w:rsid w:val="005B59F9"/>
    <w:rsid w:val="005B67CE"/>
    <w:rsid w:val="005B6FF0"/>
    <w:rsid w:val="005C011B"/>
    <w:rsid w:val="005C1147"/>
    <w:rsid w:val="005C2FA5"/>
    <w:rsid w:val="005C7B16"/>
    <w:rsid w:val="005D10B1"/>
    <w:rsid w:val="005D584E"/>
    <w:rsid w:val="005E5906"/>
    <w:rsid w:val="005E76CA"/>
    <w:rsid w:val="005F0DCE"/>
    <w:rsid w:val="005F1736"/>
    <w:rsid w:val="005F3D21"/>
    <w:rsid w:val="005F5133"/>
    <w:rsid w:val="005F7D62"/>
    <w:rsid w:val="00605418"/>
    <w:rsid w:val="00607673"/>
    <w:rsid w:val="00610371"/>
    <w:rsid w:val="00612425"/>
    <w:rsid w:val="006139E8"/>
    <w:rsid w:val="00614A0D"/>
    <w:rsid w:val="00615169"/>
    <w:rsid w:val="006153EC"/>
    <w:rsid w:val="0061607B"/>
    <w:rsid w:val="006165D5"/>
    <w:rsid w:val="0062023B"/>
    <w:rsid w:val="006217EB"/>
    <w:rsid w:val="00623626"/>
    <w:rsid w:val="00624898"/>
    <w:rsid w:val="00631E99"/>
    <w:rsid w:val="0063589C"/>
    <w:rsid w:val="006374F7"/>
    <w:rsid w:val="00637812"/>
    <w:rsid w:val="006420F1"/>
    <w:rsid w:val="00642B8D"/>
    <w:rsid w:val="006466C7"/>
    <w:rsid w:val="00655257"/>
    <w:rsid w:val="00656291"/>
    <w:rsid w:val="0065748A"/>
    <w:rsid w:val="00657AEC"/>
    <w:rsid w:val="0066218C"/>
    <w:rsid w:val="00662AEE"/>
    <w:rsid w:val="00663390"/>
    <w:rsid w:val="00663B11"/>
    <w:rsid w:val="00666874"/>
    <w:rsid w:val="0067014C"/>
    <w:rsid w:val="00672F41"/>
    <w:rsid w:val="00674B19"/>
    <w:rsid w:val="00677D4C"/>
    <w:rsid w:val="006804DB"/>
    <w:rsid w:val="0068124B"/>
    <w:rsid w:val="00682096"/>
    <w:rsid w:val="0068405F"/>
    <w:rsid w:val="0068412E"/>
    <w:rsid w:val="006843CD"/>
    <w:rsid w:val="00685046"/>
    <w:rsid w:val="00686840"/>
    <w:rsid w:val="00686CC2"/>
    <w:rsid w:val="00687943"/>
    <w:rsid w:val="00691EE6"/>
    <w:rsid w:val="00695080"/>
    <w:rsid w:val="00695561"/>
    <w:rsid w:val="00695E6D"/>
    <w:rsid w:val="006A002A"/>
    <w:rsid w:val="006A1449"/>
    <w:rsid w:val="006A3EF7"/>
    <w:rsid w:val="006A78FF"/>
    <w:rsid w:val="006A7AC1"/>
    <w:rsid w:val="006B0B84"/>
    <w:rsid w:val="006B6141"/>
    <w:rsid w:val="006B6721"/>
    <w:rsid w:val="006B7F28"/>
    <w:rsid w:val="006C0105"/>
    <w:rsid w:val="006C35B0"/>
    <w:rsid w:val="006C4B2B"/>
    <w:rsid w:val="006C4BB7"/>
    <w:rsid w:val="006C5CB1"/>
    <w:rsid w:val="006C6CF5"/>
    <w:rsid w:val="006D3887"/>
    <w:rsid w:val="006D69BC"/>
    <w:rsid w:val="006E2071"/>
    <w:rsid w:val="006E4B48"/>
    <w:rsid w:val="006E663E"/>
    <w:rsid w:val="006F1D6E"/>
    <w:rsid w:val="006F579F"/>
    <w:rsid w:val="006F5D64"/>
    <w:rsid w:val="006F71BC"/>
    <w:rsid w:val="006F7BA7"/>
    <w:rsid w:val="00700CF8"/>
    <w:rsid w:val="007016DF"/>
    <w:rsid w:val="00702A46"/>
    <w:rsid w:val="007030B7"/>
    <w:rsid w:val="0070574F"/>
    <w:rsid w:val="007062F1"/>
    <w:rsid w:val="007077F3"/>
    <w:rsid w:val="00710138"/>
    <w:rsid w:val="007125F0"/>
    <w:rsid w:val="00712D87"/>
    <w:rsid w:val="007136AC"/>
    <w:rsid w:val="0072360F"/>
    <w:rsid w:val="00724C9C"/>
    <w:rsid w:val="007250A9"/>
    <w:rsid w:val="007255B0"/>
    <w:rsid w:val="00726676"/>
    <w:rsid w:val="00727803"/>
    <w:rsid w:val="00730CEC"/>
    <w:rsid w:val="0073294C"/>
    <w:rsid w:val="00733764"/>
    <w:rsid w:val="0073406F"/>
    <w:rsid w:val="0073588E"/>
    <w:rsid w:val="00735C5B"/>
    <w:rsid w:val="00735D94"/>
    <w:rsid w:val="00735ED8"/>
    <w:rsid w:val="00737197"/>
    <w:rsid w:val="00737580"/>
    <w:rsid w:val="007403CB"/>
    <w:rsid w:val="00740D3A"/>
    <w:rsid w:val="00744853"/>
    <w:rsid w:val="00750707"/>
    <w:rsid w:val="00755EA6"/>
    <w:rsid w:val="00757137"/>
    <w:rsid w:val="007614A8"/>
    <w:rsid w:val="00761DE7"/>
    <w:rsid w:val="00762474"/>
    <w:rsid w:val="00765DA4"/>
    <w:rsid w:val="0076716E"/>
    <w:rsid w:val="0076781B"/>
    <w:rsid w:val="00770E79"/>
    <w:rsid w:val="00772B8C"/>
    <w:rsid w:val="00775543"/>
    <w:rsid w:val="00775C2C"/>
    <w:rsid w:val="00776F50"/>
    <w:rsid w:val="0078171C"/>
    <w:rsid w:val="00781753"/>
    <w:rsid w:val="00782432"/>
    <w:rsid w:val="00782658"/>
    <w:rsid w:val="00783FC0"/>
    <w:rsid w:val="00785158"/>
    <w:rsid w:val="0078687B"/>
    <w:rsid w:val="0078729E"/>
    <w:rsid w:val="00791FB6"/>
    <w:rsid w:val="0079234A"/>
    <w:rsid w:val="00794093"/>
    <w:rsid w:val="007951A4"/>
    <w:rsid w:val="007A6710"/>
    <w:rsid w:val="007A76D0"/>
    <w:rsid w:val="007A7F19"/>
    <w:rsid w:val="007B2836"/>
    <w:rsid w:val="007B2937"/>
    <w:rsid w:val="007B29EC"/>
    <w:rsid w:val="007B60A3"/>
    <w:rsid w:val="007D0011"/>
    <w:rsid w:val="007D66DC"/>
    <w:rsid w:val="007E5C0A"/>
    <w:rsid w:val="007E66C0"/>
    <w:rsid w:val="007F0461"/>
    <w:rsid w:val="007F0E4E"/>
    <w:rsid w:val="007F15D8"/>
    <w:rsid w:val="007F3627"/>
    <w:rsid w:val="007F5CB5"/>
    <w:rsid w:val="007F680C"/>
    <w:rsid w:val="00800722"/>
    <w:rsid w:val="0080160B"/>
    <w:rsid w:val="00803C59"/>
    <w:rsid w:val="00803C77"/>
    <w:rsid w:val="00805134"/>
    <w:rsid w:val="008051C6"/>
    <w:rsid w:val="008124CE"/>
    <w:rsid w:val="008126F2"/>
    <w:rsid w:val="00812AF5"/>
    <w:rsid w:val="008142C4"/>
    <w:rsid w:val="008145BD"/>
    <w:rsid w:val="008158D6"/>
    <w:rsid w:val="00815C16"/>
    <w:rsid w:val="008167D4"/>
    <w:rsid w:val="008204AD"/>
    <w:rsid w:val="00820884"/>
    <w:rsid w:val="00821912"/>
    <w:rsid w:val="00821C2A"/>
    <w:rsid w:val="00824642"/>
    <w:rsid w:val="00824F00"/>
    <w:rsid w:val="008254A8"/>
    <w:rsid w:val="0082565E"/>
    <w:rsid w:val="00827D24"/>
    <w:rsid w:val="0083073F"/>
    <w:rsid w:val="00831312"/>
    <w:rsid w:val="0084074B"/>
    <w:rsid w:val="00842662"/>
    <w:rsid w:val="00850BF5"/>
    <w:rsid w:val="00854E68"/>
    <w:rsid w:val="00857CB9"/>
    <w:rsid w:val="00862D73"/>
    <w:rsid w:val="00866DC5"/>
    <w:rsid w:val="00867520"/>
    <w:rsid w:val="008735E8"/>
    <w:rsid w:val="00876F82"/>
    <w:rsid w:val="008771D8"/>
    <w:rsid w:val="00882814"/>
    <w:rsid w:val="008869BE"/>
    <w:rsid w:val="00887842"/>
    <w:rsid w:val="00890553"/>
    <w:rsid w:val="00891C74"/>
    <w:rsid w:val="008929C5"/>
    <w:rsid w:val="00893539"/>
    <w:rsid w:val="008950A7"/>
    <w:rsid w:val="00897209"/>
    <w:rsid w:val="008972D8"/>
    <w:rsid w:val="00897895"/>
    <w:rsid w:val="00897DD6"/>
    <w:rsid w:val="008A33D9"/>
    <w:rsid w:val="008A3444"/>
    <w:rsid w:val="008A54D0"/>
    <w:rsid w:val="008B0C58"/>
    <w:rsid w:val="008B13D2"/>
    <w:rsid w:val="008B1582"/>
    <w:rsid w:val="008B406B"/>
    <w:rsid w:val="008C3DD1"/>
    <w:rsid w:val="008C4BFE"/>
    <w:rsid w:val="008D01AD"/>
    <w:rsid w:val="008D147A"/>
    <w:rsid w:val="008D2B2F"/>
    <w:rsid w:val="008D2BCB"/>
    <w:rsid w:val="008D4D7D"/>
    <w:rsid w:val="008D5C77"/>
    <w:rsid w:val="008D5DCF"/>
    <w:rsid w:val="008D5F5B"/>
    <w:rsid w:val="008E2E51"/>
    <w:rsid w:val="008E3F15"/>
    <w:rsid w:val="008E4653"/>
    <w:rsid w:val="008E4EC5"/>
    <w:rsid w:val="008E6B21"/>
    <w:rsid w:val="008F0150"/>
    <w:rsid w:val="008F0417"/>
    <w:rsid w:val="008F1946"/>
    <w:rsid w:val="008F292B"/>
    <w:rsid w:val="008F3485"/>
    <w:rsid w:val="008F6450"/>
    <w:rsid w:val="008F76E6"/>
    <w:rsid w:val="009001E8"/>
    <w:rsid w:val="009029C6"/>
    <w:rsid w:val="00903C7E"/>
    <w:rsid w:val="00905B3D"/>
    <w:rsid w:val="009073A4"/>
    <w:rsid w:val="00907CD3"/>
    <w:rsid w:val="009119BA"/>
    <w:rsid w:val="00911ABE"/>
    <w:rsid w:val="00917884"/>
    <w:rsid w:val="00920AE3"/>
    <w:rsid w:val="009243A0"/>
    <w:rsid w:val="00924B25"/>
    <w:rsid w:val="0092654A"/>
    <w:rsid w:val="009266B4"/>
    <w:rsid w:val="00926743"/>
    <w:rsid w:val="00930396"/>
    <w:rsid w:val="009304C7"/>
    <w:rsid w:val="00930E17"/>
    <w:rsid w:val="00932A22"/>
    <w:rsid w:val="009410A3"/>
    <w:rsid w:val="00941176"/>
    <w:rsid w:val="009448DC"/>
    <w:rsid w:val="009455DB"/>
    <w:rsid w:val="009460A8"/>
    <w:rsid w:val="00946F43"/>
    <w:rsid w:val="00947913"/>
    <w:rsid w:val="0095263B"/>
    <w:rsid w:val="00954326"/>
    <w:rsid w:val="00954BF8"/>
    <w:rsid w:val="0095619F"/>
    <w:rsid w:val="00960F5D"/>
    <w:rsid w:val="00961B97"/>
    <w:rsid w:val="00961D0A"/>
    <w:rsid w:val="00963DD3"/>
    <w:rsid w:val="0096579B"/>
    <w:rsid w:val="009668E3"/>
    <w:rsid w:val="00967FA4"/>
    <w:rsid w:val="00971BD5"/>
    <w:rsid w:val="0097339B"/>
    <w:rsid w:val="00973AB8"/>
    <w:rsid w:val="00974764"/>
    <w:rsid w:val="00974F81"/>
    <w:rsid w:val="009801B6"/>
    <w:rsid w:val="0098075A"/>
    <w:rsid w:val="00982B5B"/>
    <w:rsid w:val="00984125"/>
    <w:rsid w:val="00986046"/>
    <w:rsid w:val="009869F8"/>
    <w:rsid w:val="0099377B"/>
    <w:rsid w:val="009945AD"/>
    <w:rsid w:val="0099621C"/>
    <w:rsid w:val="00996BC2"/>
    <w:rsid w:val="009A4675"/>
    <w:rsid w:val="009B0A64"/>
    <w:rsid w:val="009B15BF"/>
    <w:rsid w:val="009B26A5"/>
    <w:rsid w:val="009B51A5"/>
    <w:rsid w:val="009B62FC"/>
    <w:rsid w:val="009B75A0"/>
    <w:rsid w:val="009B7BAA"/>
    <w:rsid w:val="009C179F"/>
    <w:rsid w:val="009C3883"/>
    <w:rsid w:val="009C4779"/>
    <w:rsid w:val="009C4F8F"/>
    <w:rsid w:val="009C5B46"/>
    <w:rsid w:val="009C68ED"/>
    <w:rsid w:val="009C7FF7"/>
    <w:rsid w:val="009D058E"/>
    <w:rsid w:val="009D3D43"/>
    <w:rsid w:val="009D6FBF"/>
    <w:rsid w:val="009D7469"/>
    <w:rsid w:val="009D74AB"/>
    <w:rsid w:val="009D7FE8"/>
    <w:rsid w:val="009E28B4"/>
    <w:rsid w:val="009E3063"/>
    <w:rsid w:val="009E4E2E"/>
    <w:rsid w:val="009E5210"/>
    <w:rsid w:val="009E74BF"/>
    <w:rsid w:val="009F1957"/>
    <w:rsid w:val="009F7524"/>
    <w:rsid w:val="00A07F60"/>
    <w:rsid w:val="00A10786"/>
    <w:rsid w:val="00A1306F"/>
    <w:rsid w:val="00A15BCD"/>
    <w:rsid w:val="00A253C6"/>
    <w:rsid w:val="00A25566"/>
    <w:rsid w:val="00A277D6"/>
    <w:rsid w:val="00A3173D"/>
    <w:rsid w:val="00A363A5"/>
    <w:rsid w:val="00A36D55"/>
    <w:rsid w:val="00A43BCD"/>
    <w:rsid w:val="00A45A64"/>
    <w:rsid w:val="00A46570"/>
    <w:rsid w:val="00A46EBD"/>
    <w:rsid w:val="00A47CCF"/>
    <w:rsid w:val="00A50F9D"/>
    <w:rsid w:val="00A52CBB"/>
    <w:rsid w:val="00A5362E"/>
    <w:rsid w:val="00A53D05"/>
    <w:rsid w:val="00A53F30"/>
    <w:rsid w:val="00A56A4D"/>
    <w:rsid w:val="00A62716"/>
    <w:rsid w:val="00A665C9"/>
    <w:rsid w:val="00A673EA"/>
    <w:rsid w:val="00A6769A"/>
    <w:rsid w:val="00A75FFC"/>
    <w:rsid w:val="00A769F3"/>
    <w:rsid w:val="00A76A71"/>
    <w:rsid w:val="00A81B18"/>
    <w:rsid w:val="00A827F0"/>
    <w:rsid w:val="00A82BA9"/>
    <w:rsid w:val="00A84D2F"/>
    <w:rsid w:val="00A86693"/>
    <w:rsid w:val="00A922CF"/>
    <w:rsid w:val="00A92B3F"/>
    <w:rsid w:val="00A92CAE"/>
    <w:rsid w:val="00A93D2B"/>
    <w:rsid w:val="00A942B5"/>
    <w:rsid w:val="00A95B31"/>
    <w:rsid w:val="00AA1035"/>
    <w:rsid w:val="00AA3C5B"/>
    <w:rsid w:val="00AA4241"/>
    <w:rsid w:val="00AA6AFD"/>
    <w:rsid w:val="00AB6442"/>
    <w:rsid w:val="00AB6AB8"/>
    <w:rsid w:val="00AC0F5A"/>
    <w:rsid w:val="00AC1146"/>
    <w:rsid w:val="00AC5584"/>
    <w:rsid w:val="00AC569D"/>
    <w:rsid w:val="00AC6CFE"/>
    <w:rsid w:val="00AC739C"/>
    <w:rsid w:val="00AC7E7C"/>
    <w:rsid w:val="00AD2E6F"/>
    <w:rsid w:val="00AD38AF"/>
    <w:rsid w:val="00AD3D5B"/>
    <w:rsid w:val="00AD65B2"/>
    <w:rsid w:val="00AE0B16"/>
    <w:rsid w:val="00AE1714"/>
    <w:rsid w:val="00AE30FD"/>
    <w:rsid w:val="00AE4551"/>
    <w:rsid w:val="00AE61B2"/>
    <w:rsid w:val="00AE6BD8"/>
    <w:rsid w:val="00AE7BE0"/>
    <w:rsid w:val="00AF0151"/>
    <w:rsid w:val="00AF0726"/>
    <w:rsid w:val="00AF13C1"/>
    <w:rsid w:val="00AF3B1D"/>
    <w:rsid w:val="00AF426E"/>
    <w:rsid w:val="00AF5801"/>
    <w:rsid w:val="00B0092E"/>
    <w:rsid w:val="00B035FD"/>
    <w:rsid w:val="00B069C0"/>
    <w:rsid w:val="00B12FC6"/>
    <w:rsid w:val="00B14D0A"/>
    <w:rsid w:val="00B167AC"/>
    <w:rsid w:val="00B2010A"/>
    <w:rsid w:val="00B21B1E"/>
    <w:rsid w:val="00B22B9C"/>
    <w:rsid w:val="00B30216"/>
    <w:rsid w:val="00B302EC"/>
    <w:rsid w:val="00B311CE"/>
    <w:rsid w:val="00B31CCC"/>
    <w:rsid w:val="00B34394"/>
    <w:rsid w:val="00B346FA"/>
    <w:rsid w:val="00B35915"/>
    <w:rsid w:val="00B35ACB"/>
    <w:rsid w:val="00B36CB9"/>
    <w:rsid w:val="00B36CC6"/>
    <w:rsid w:val="00B37784"/>
    <w:rsid w:val="00B4049D"/>
    <w:rsid w:val="00B40A99"/>
    <w:rsid w:val="00B41F8D"/>
    <w:rsid w:val="00B42C02"/>
    <w:rsid w:val="00B42CC7"/>
    <w:rsid w:val="00B45F96"/>
    <w:rsid w:val="00B4799C"/>
    <w:rsid w:val="00B504BF"/>
    <w:rsid w:val="00B52722"/>
    <w:rsid w:val="00B52BBF"/>
    <w:rsid w:val="00B52F79"/>
    <w:rsid w:val="00B53027"/>
    <w:rsid w:val="00B5306A"/>
    <w:rsid w:val="00B54A63"/>
    <w:rsid w:val="00B55B46"/>
    <w:rsid w:val="00B55ED9"/>
    <w:rsid w:val="00B56ED0"/>
    <w:rsid w:val="00B56F11"/>
    <w:rsid w:val="00B62EB5"/>
    <w:rsid w:val="00B635D5"/>
    <w:rsid w:val="00B64DB0"/>
    <w:rsid w:val="00B65C78"/>
    <w:rsid w:val="00B66379"/>
    <w:rsid w:val="00B66726"/>
    <w:rsid w:val="00B737FC"/>
    <w:rsid w:val="00B74BB1"/>
    <w:rsid w:val="00B762D3"/>
    <w:rsid w:val="00B77AFE"/>
    <w:rsid w:val="00B8018D"/>
    <w:rsid w:val="00B80A2F"/>
    <w:rsid w:val="00B81D11"/>
    <w:rsid w:val="00B84C5E"/>
    <w:rsid w:val="00B850DD"/>
    <w:rsid w:val="00B87DF0"/>
    <w:rsid w:val="00B92C8D"/>
    <w:rsid w:val="00B93181"/>
    <w:rsid w:val="00B93267"/>
    <w:rsid w:val="00B9365B"/>
    <w:rsid w:val="00B93BE5"/>
    <w:rsid w:val="00B945A4"/>
    <w:rsid w:val="00B94CB9"/>
    <w:rsid w:val="00B94D24"/>
    <w:rsid w:val="00B96A4F"/>
    <w:rsid w:val="00B97B2B"/>
    <w:rsid w:val="00BA01C3"/>
    <w:rsid w:val="00BA2C49"/>
    <w:rsid w:val="00BA43D5"/>
    <w:rsid w:val="00BA4F5B"/>
    <w:rsid w:val="00BA630B"/>
    <w:rsid w:val="00BB0C8C"/>
    <w:rsid w:val="00BB2B1A"/>
    <w:rsid w:val="00BB38C8"/>
    <w:rsid w:val="00BB4FD3"/>
    <w:rsid w:val="00BB535A"/>
    <w:rsid w:val="00BB6CC5"/>
    <w:rsid w:val="00BB7CB6"/>
    <w:rsid w:val="00BC0BB7"/>
    <w:rsid w:val="00BD1852"/>
    <w:rsid w:val="00BD5101"/>
    <w:rsid w:val="00BD66D4"/>
    <w:rsid w:val="00BE00E6"/>
    <w:rsid w:val="00BE4C1A"/>
    <w:rsid w:val="00BE6C14"/>
    <w:rsid w:val="00BF0A6B"/>
    <w:rsid w:val="00BF2627"/>
    <w:rsid w:val="00BF4501"/>
    <w:rsid w:val="00BF54F0"/>
    <w:rsid w:val="00BF5AEC"/>
    <w:rsid w:val="00BF6DCF"/>
    <w:rsid w:val="00C00048"/>
    <w:rsid w:val="00C00880"/>
    <w:rsid w:val="00C01075"/>
    <w:rsid w:val="00C01854"/>
    <w:rsid w:val="00C02DBE"/>
    <w:rsid w:val="00C03485"/>
    <w:rsid w:val="00C057D6"/>
    <w:rsid w:val="00C0626B"/>
    <w:rsid w:val="00C06438"/>
    <w:rsid w:val="00C07118"/>
    <w:rsid w:val="00C10469"/>
    <w:rsid w:val="00C119F6"/>
    <w:rsid w:val="00C1247C"/>
    <w:rsid w:val="00C15A37"/>
    <w:rsid w:val="00C175F0"/>
    <w:rsid w:val="00C200D8"/>
    <w:rsid w:val="00C2358C"/>
    <w:rsid w:val="00C24838"/>
    <w:rsid w:val="00C26CD7"/>
    <w:rsid w:val="00C27959"/>
    <w:rsid w:val="00C342D9"/>
    <w:rsid w:val="00C37F1A"/>
    <w:rsid w:val="00C403B1"/>
    <w:rsid w:val="00C40B16"/>
    <w:rsid w:val="00C41042"/>
    <w:rsid w:val="00C44A4A"/>
    <w:rsid w:val="00C44C49"/>
    <w:rsid w:val="00C45DCC"/>
    <w:rsid w:val="00C47712"/>
    <w:rsid w:val="00C50CDD"/>
    <w:rsid w:val="00C513D6"/>
    <w:rsid w:val="00C51BE8"/>
    <w:rsid w:val="00C552B9"/>
    <w:rsid w:val="00C56375"/>
    <w:rsid w:val="00C576E4"/>
    <w:rsid w:val="00C622A4"/>
    <w:rsid w:val="00C63AC0"/>
    <w:rsid w:val="00C63D6B"/>
    <w:rsid w:val="00C64073"/>
    <w:rsid w:val="00C6446A"/>
    <w:rsid w:val="00C670EC"/>
    <w:rsid w:val="00C7025F"/>
    <w:rsid w:val="00C72F4A"/>
    <w:rsid w:val="00C738FB"/>
    <w:rsid w:val="00C73A35"/>
    <w:rsid w:val="00C748C0"/>
    <w:rsid w:val="00C7591C"/>
    <w:rsid w:val="00C75B4C"/>
    <w:rsid w:val="00C80CA9"/>
    <w:rsid w:val="00C85420"/>
    <w:rsid w:val="00C91950"/>
    <w:rsid w:val="00C93E1F"/>
    <w:rsid w:val="00C942AA"/>
    <w:rsid w:val="00C971D8"/>
    <w:rsid w:val="00CA05A8"/>
    <w:rsid w:val="00CA073C"/>
    <w:rsid w:val="00CA3ADA"/>
    <w:rsid w:val="00CA4B0B"/>
    <w:rsid w:val="00CA507F"/>
    <w:rsid w:val="00CA6659"/>
    <w:rsid w:val="00CA6D50"/>
    <w:rsid w:val="00CB106A"/>
    <w:rsid w:val="00CB17D6"/>
    <w:rsid w:val="00CB23AE"/>
    <w:rsid w:val="00CB2797"/>
    <w:rsid w:val="00CB2A8D"/>
    <w:rsid w:val="00CC16C3"/>
    <w:rsid w:val="00CC255F"/>
    <w:rsid w:val="00CC448C"/>
    <w:rsid w:val="00CD00DE"/>
    <w:rsid w:val="00CD06C1"/>
    <w:rsid w:val="00CD1966"/>
    <w:rsid w:val="00CD2EF4"/>
    <w:rsid w:val="00CD497B"/>
    <w:rsid w:val="00CD78E6"/>
    <w:rsid w:val="00CE1D04"/>
    <w:rsid w:val="00CE1D8B"/>
    <w:rsid w:val="00CE50FB"/>
    <w:rsid w:val="00CE61E8"/>
    <w:rsid w:val="00CE7948"/>
    <w:rsid w:val="00CF2FA8"/>
    <w:rsid w:val="00CF3F9A"/>
    <w:rsid w:val="00CF5792"/>
    <w:rsid w:val="00CF6ACF"/>
    <w:rsid w:val="00CF6C6C"/>
    <w:rsid w:val="00D007B8"/>
    <w:rsid w:val="00D0607D"/>
    <w:rsid w:val="00D13F39"/>
    <w:rsid w:val="00D144FD"/>
    <w:rsid w:val="00D14C90"/>
    <w:rsid w:val="00D14F07"/>
    <w:rsid w:val="00D157BF"/>
    <w:rsid w:val="00D17DBE"/>
    <w:rsid w:val="00D201FD"/>
    <w:rsid w:val="00D231EE"/>
    <w:rsid w:val="00D261EB"/>
    <w:rsid w:val="00D30009"/>
    <w:rsid w:val="00D337FD"/>
    <w:rsid w:val="00D346CF"/>
    <w:rsid w:val="00D424BC"/>
    <w:rsid w:val="00D43743"/>
    <w:rsid w:val="00D44F16"/>
    <w:rsid w:val="00D50599"/>
    <w:rsid w:val="00D51521"/>
    <w:rsid w:val="00D51618"/>
    <w:rsid w:val="00D51784"/>
    <w:rsid w:val="00D54E8F"/>
    <w:rsid w:val="00D56F31"/>
    <w:rsid w:val="00D5782A"/>
    <w:rsid w:val="00D6035D"/>
    <w:rsid w:val="00D63626"/>
    <w:rsid w:val="00D6386B"/>
    <w:rsid w:val="00D64749"/>
    <w:rsid w:val="00D6489B"/>
    <w:rsid w:val="00D64E2F"/>
    <w:rsid w:val="00D650CD"/>
    <w:rsid w:val="00D65285"/>
    <w:rsid w:val="00D654F1"/>
    <w:rsid w:val="00D70E2C"/>
    <w:rsid w:val="00D746A6"/>
    <w:rsid w:val="00D76D0F"/>
    <w:rsid w:val="00D7702E"/>
    <w:rsid w:val="00D80CE6"/>
    <w:rsid w:val="00D81FA6"/>
    <w:rsid w:val="00D83072"/>
    <w:rsid w:val="00D833B8"/>
    <w:rsid w:val="00D83C66"/>
    <w:rsid w:val="00D8403B"/>
    <w:rsid w:val="00D8598E"/>
    <w:rsid w:val="00D85B86"/>
    <w:rsid w:val="00D90650"/>
    <w:rsid w:val="00D91502"/>
    <w:rsid w:val="00D91EC0"/>
    <w:rsid w:val="00D931DC"/>
    <w:rsid w:val="00D939A1"/>
    <w:rsid w:val="00DA4FB5"/>
    <w:rsid w:val="00DA53C6"/>
    <w:rsid w:val="00DA7F84"/>
    <w:rsid w:val="00DB0782"/>
    <w:rsid w:val="00DB097D"/>
    <w:rsid w:val="00DB6181"/>
    <w:rsid w:val="00DB6C23"/>
    <w:rsid w:val="00DB7B2F"/>
    <w:rsid w:val="00DC05DF"/>
    <w:rsid w:val="00DC083F"/>
    <w:rsid w:val="00DC0D1F"/>
    <w:rsid w:val="00DC0FAD"/>
    <w:rsid w:val="00DC754D"/>
    <w:rsid w:val="00DD1144"/>
    <w:rsid w:val="00DD203B"/>
    <w:rsid w:val="00DD3059"/>
    <w:rsid w:val="00DD4FBF"/>
    <w:rsid w:val="00DD5ED3"/>
    <w:rsid w:val="00DD6454"/>
    <w:rsid w:val="00DD76A2"/>
    <w:rsid w:val="00DE047E"/>
    <w:rsid w:val="00DE070F"/>
    <w:rsid w:val="00DE1EDE"/>
    <w:rsid w:val="00DE5304"/>
    <w:rsid w:val="00DE605C"/>
    <w:rsid w:val="00DE779C"/>
    <w:rsid w:val="00DE7852"/>
    <w:rsid w:val="00DE793C"/>
    <w:rsid w:val="00DF13FB"/>
    <w:rsid w:val="00DF64A6"/>
    <w:rsid w:val="00E00837"/>
    <w:rsid w:val="00E01A90"/>
    <w:rsid w:val="00E01BD7"/>
    <w:rsid w:val="00E02BF2"/>
    <w:rsid w:val="00E04847"/>
    <w:rsid w:val="00E04B9E"/>
    <w:rsid w:val="00E04F87"/>
    <w:rsid w:val="00E06CD7"/>
    <w:rsid w:val="00E07DF3"/>
    <w:rsid w:val="00E10CC9"/>
    <w:rsid w:val="00E114F7"/>
    <w:rsid w:val="00E12592"/>
    <w:rsid w:val="00E13551"/>
    <w:rsid w:val="00E13928"/>
    <w:rsid w:val="00E144A3"/>
    <w:rsid w:val="00E154FB"/>
    <w:rsid w:val="00E16833"/>
    <w:rsid w:val="00E21327"/>
    <w:rsid w:val="00E22090"/>
    <w:rsid w:val="00E233EC"/>
    <w:rsid w:val="00E25A95"/>
    <w:rsid w:val="00E30150"/>
    <w:rsid w:val="00E326D2"/>
    <w:rsid w:val="00E36C3E"/>
    <w:rsid w:val="00E37F69"/>
    <w:rsid w:val="00E403D6"/>
    <w:rsid w:val="00E40DB5"/>
    <w:rsid w:val="00E419BC"/>
    <w:rsid w:val="00E42FC3"/>
    <w:rsid w:val="00E53620"/>
    <w:rsid w:val="00E544ED"/>
    <w:rsid w:val="00E554D9"/>
    <w:rsid w:val="00E555E6"/>
    <w:rsid w:val="00E63C28"/>
    <w:rsid w:val="00E666A3"/>
    <w:rsid w:val="00E67F0D"/>
    <w:rsid w:val="00E716E5"/>
    <w:rsid w:val="00E74E37"/>
    <w:rsid w:val="00E750E9"/>
    <w:rsid w:val="00E75E7E"/>
    <w:rsid w:val="00E815B5"/>
    <w:rsid w:val="00E81B4D"/>
    <w:rsid w:val="00E81CC7"/>
    <w:rsid w:val="00E8299B"/>
    <w:rsid w:val="00E853A5"/>
    <w:rsid w:val="00E86ACF"/>
    <w:rsid w:val="00E8784F"/>
    <w:rsid w:val="00E903FF"/>
    <w:rsid w:val="00E92D4F"/>
    <w:rsid w:val="00E95484"/>
    <w:rsid w:val="00E96DCE"/>
    <w:rsid w:val="00EA1BED"/>
    <w:rsid w:val="00EA21AA"/>
    <w:rsid w:val="00EA21BE"/>
    <w:rsid w:val="00EA3067"/>
    <w:rsid w:val="00EA7F10"/>
    <w:rsid w:val="00EB2007"/>
    <w:rsid w:val="00EB44D7"/>
    <w:rsid w:val="00EC1D40"/>
    <w:rsid w:val="00EC5BFA"/>
    <w:rsid w:val="00EC7E17"/>
    <w:rsid w:val="00ED2297"/>
    <w:rsid w:val="00ED22A9"/>
    <w:rsid w:val="00ED2385"/>
    <w:rsid w:val="00ED2481"/>
    <w:rsid w:val="00ED6B8D"/>
    <w:rsid w:val="00EE406E"/>
    <w:rsid w:val="00EE4471"/>
    <w:rsid w:val="00EE5B44"/>
    <w:rsid w:val="00EF3574"/>
    <w:rsid w:val="00EF441D"/>
    <w:rsid w:val="00EF5214"/>
    <w:rsid w:val="00F009EE"/>
    <w:rsid w:val="00F010B4"/>
    <w:rsid w:val="00F019B2"/>
    <w:rsid w:val="00F02857"/>
    <w:rsid w:val="00F03192"/>
    <w:rsid w:val="00F03490"/>
    <w:rsid w:val="00F04A40"/>
    <w:rsid w:val="00F06B39"/>
    <w:rsid w:val="00F07974"/>
    <w:rsid w:val="00F07C7B"/>
    <w:rsid w:val="00F07DE2"/>
    <w:rsid w:val="00F107BD"/>
    <w:rsid w:val="00F10DBA"/>
    <w:rsid w:val="00F12471"/>
    <w:rsid w:val="00F12F7E"/>
    <w:rsid w:val="00F16E68"/>
    <w:rsid w:val="00F17995"/>
    <w:rsid w:val="00F21AEA"/>
    <w:rsid w:val="00F22E3F"/>
    <w:rsid w:val="00F23D0A"/>
    <w:rsid w:val="00F262C7"/>
    <w:rsid w:val="00F26A68"/>
    <w:rsid w:val="00F30491"/>
    <w:rsid w:val="00F3392C"/>
    <w:rsid w:val="00F401F7"/>
    <w:rsid w:val="00F42154"/>
    <w:rsid w:val="00F4469D"/>
    <w:rsid w:val="00F44C4C"/>
    <w:rsid w:val="00F44D54"/>
    <w:rsid w:val="00F450D6"/>
    <w:rsid w:val="00F47773"/>
    <w:rsid w:val="00F47AA4"/>
    <w:rsid w:val="00F50698"/>
    <w:rsid w:val="00F56BAB"/>
    <w:rsid w:val="00F613E8"/>
    <w:rsid w:val="00F6408F"/>
    <w:rsid w:val="00F71EC6"/>
    <w:rsid w:val="00F72943"/>
    <w:rsid w:val="00F73F03"/>
    <w:rsid w:val="00F745EA"/>
    <w:rsid w:val="00F75BBA"/>
    <w:rsid w:val="00F75F6C"/>
    <w:rsid w:val="00F77FAA"/>
    <w:rsid w:val="00F82FC8"/>
    <w:rsid w:val="00F83871"/>
    <w:rsid w:val="00F8433C"/>
    <w:rsid w:val="00F876C5"/>
    <w:rsid w:val="00F919A6"/>
    <w:rsid w:val="00F91EF4"/>
    <w:rsid w:val="00F93968"/>
    <w:rsid w:val="00F960DE"/>
    <w:rsid w:val="00F977D9"/>
    <w:rsid w:val="00FA0CFD"/>
    <w:rsid w:val="00FA1538"/>
    <w:rsid w:val="00FA1A7B"/>
    <w:rsid w:val="00FA2F12"/>
    <w:rsid w:val="00FA3941"/>
    <w:rsid w:val="00FA4397"/>
    <w:rsid w:val="00FA6B4C"/>
    <w:rsid w:val="00FA7AB7"/>
    <w:rsid w:val="00FB1B19"/>
    <w:rsid w:val="00FB22B3"/>
    <w:rsid w:val="00FB39CE"/>
    <w:rsid w:val="00FB403E"/>
    <w:rsid w:val="00FB4923"/>
    <w:rsid w:val="00FB4C04"/>
    <w:rsid w:val="00FB5D7D"/>
    <w:rsid w:val="00FC0BBA"/>
    <w:rsid w:val="00FC2E78"/>
    <w:rsid w:val="00FC66B6"/>
    <w:rsid w:val="00FC7966"/>
    <w:rsid w:val="00FD0697"/>
    <w:rsid w:val="00FD4EB0"/>
    <w:rsid w:val="00FD6422"/>
    <w:rsid w:val="00FD6939"/>
    <w:rsid w:val="00FE26CD"/>
    <w:rsid w:val="00FE31CA"/>
    <w:rsid w:val="00FE32A7"/>
    <w:rsid w:val="00FE45AD"/>
    <w:rsid w:val="00FE758E"/>
    <w:rsid w:val="00FF130F"/>
    <w:rsid w:val="00FF481A"/>
    <w:rsid w:val="00FF54DF"/>
    <w:rsid w:val="00FF5E36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F13B9"/>
  <w15:docId w15:val="{60B5836F-5A25-A74F-9B9E-EFCB3335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9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1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A57A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241B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41B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241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B4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1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resources/pages/approved-with-specs-2013-09-17-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ann.org/octo-ssr" TargetMode="External"/><Relationship Id="rId1" Type="http://schemas.openxmlformats.org/officeDocument/2006/relationships/hyperlink" Target="https://www.icann.org/octo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9D23-C0E5-B247-870A-EDD45CD5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Marika Konings</cp:lastModifiedBy>
  <cp:revision>2</cp:revision>
  <cp:lastPrinted>2018-10-20T16:59:00Z</cp:lastPrinted>
  <dcterms:created xsi:type="dcterms:W3CDTF">2018-12-04T22:41:00Z</dcterms:created>
  <dcterms:modified xsi:type="dcterms:W3CDTF">2018-12-04T22:41:00Z</dcterms:modified>
</cp:coreProperties>
</file>