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C73F" w14:textId="6110DF5A" w:rsidR="004D4BCE" w:rsidRPr="001A4D87" w:rsidRDefault="007950A5" w:rsidP="004D4BCE">
      <w:pPr>
        <w:rPr>
          <w:b/>
          <w:sz w:val="32"/>
          <w:szCs w:val="32"/>
        </w:rPr>
      </w:pPr>
      <w:r>
        <w:rPr>
          <w:b/>
          <w:sz w:val="32"/>
          <w:szCs w:val="32"/>
        </w:rPr>
        <w:t>PURPOSE 3</w:t>
      </w:r>
      <w:r w:rsidR="008E0291">
        <w:rPr>
          <w:b/>
          <w:sz w:val="32"/>
          <w:szCs w:val="32"/>
        </w:rPr>
        <w:t xml:space="preserve"> – </w:t>
      </w:r>
      <w:r w:rsidR="008E0291" w:rsidRPr="008E0291">
        <w:rPr>
          <w:sz w:val="32"/>
          <w:szCs w:val="32"/>
        </w:rPr>
        <w:t>(Small Team B output – 8 January 2019)</w:t>
      </w:r>
    </w:p>
    <w:p w14:paraId="3C25A157" w14:textId="77777777" w:rsidR="004D4BCE" w:rsidRDefault="004D4BCE" w:rsidP="004D4BCE"/>
    <w:p w14:paraId="0AAB5E33" w14:textId="77777777" w:rsidR="00EB4387" w:rsidRPr="007950A5" w:rsidRDefault="007950A5" w:rsidP="00362929">
      <w:pPr>
        <w:pBdr>
          <w:top w:val="single" w:sz="4" w:space="1" w:color="auto"/>
          <w:left w:val="single" w:sz="4" w:space="4" w:color="auto"/>
          <w:bottom w:val="single" w:sz="4" w:space="1" w:color="auto"/>
          <w:right w:val="single" w:sz="4" w:space="4" w:color="auto"/>
        </w:pBdr>
        <w:rPr>
          <w:sz w:val="28"/>
          <w:szCs w:val="28"/>
        </w:rPr>
      </w:pPr>
      <w:r w:rsidRPr="007950A5">
        <w:rPr>
          <w:sz w:val="28"/>
          <w:szCs w:val="28"/>
        </w:rPr>
        <w:t>Enable communication with and/or notificatio</w:t>
      </w:r>
      <w:r>
        <w:rPr>
          <w:sz w:val="28"/>
          <w:szCs w:val="28"/>
        </w:rPr>
        <w:t xml:space="preserve">n to the Registered Name Holder </w:t>
      </w:r>
      <w:r w:rsidRPr="007950A5">
        <w:rPr>
          <w:sz w:val="28"/>
          <w:szCs w:val="28"/>
        </w:rPr>
        <w:t>and/or their delegated agents of technical and/</w:t>
      </w:r>
      <w:r>
        <w:rPr>
          <w:sz w:val="28"/>
          <w:szCs w:val="28"/>
        </w:rPr>
        <w:t xml:space="preserve">or administrative issues with a </w:t>
      </w:r>
      <w:r w:rsidRPr="007950A5">
        <w:rPr>
          <w:sz w:val="28"/>
          <w:szCs w:val="28"/>
        </w:rPr>
        <w:t>Registered Name</w:t>
      </w:r>
    </w:p>
    <w:p w14:paraId="6B498AF7" w14:textId="2AFE9E6D" w:rsidR="007950A5" w:rsidRDefault="007950A5" w:rsidP="004D4BCE">
      <w:pPr>
        <w:rPr>
          <w:b/>
          <w:sz w:val="28"/>
          <w:szCs w:val="28"/>
        </w:rPr>
      </w:pPr>
    </w:p>
    <w:p w14:paraId="05108C13" w14:textId="68B49AEF" w:rsidR="001F2482" w:rsidRPr="001F2482" w:rsidRDefault="001F2482" w:rsidP="004D4BCE">
      <w:pPr>
        <w:rPr>
          <w:b/>
          <w:i/>
          <w:sz w:val="28"/>
          <w:szCs w:val="28"/>
        </w:rPr>
      </w:pPr>
      <w:r>
        <w:rPr>
          <w:b/>
          <w:i/>
          <w:sz w:val="28"/>
          <w:szCs w:val="28"/>
        </w:rPr>
        <w:t xml:space="preserve">Disclaimer: </w:t>
      </w:r>
      <w:r w:rsidRPr="00A40CD0">
        <w:rPr>
          <w:i/>
          <w:sz w:val="28"/>
          <w:szCs w:val="28"/>
        </w:rPr>
        <w:t xml:space="preserve">This overview has been developed to facilitate the EPDP Team’s consideration of the concerns expressed and possible updates to the recommendations. However, this does not replace the EPDP Team’s obligation to review all input received in full </w:t>
      </w:r>
      <w:r>
        <w:rPr>
          <w:i/>
          <w:sz w:val="28"/>
          <w:szCs w:val="28"/>
        </w:rPr>
        <w:t>and</w:t>
      </w:r>
      <w:r w:rsidRPr="00A40CD0">
        <w:rPr>
          <w:i/>
          <w:sz w:val="28"/>
          <w:szCs w:val="28"/>
        </w:rPr>
        <w:t xml:space="preserve"> to </w:t>
      </w:r>
      <w:r>
        <w:rPr>
          <w:i/>
          <w:sz w:val="28"/>
          <w:szCs w:val="28"/>
        </w:rPr>
        <w:t>indicate</w:t>
      </w:r>
      <w:r w:rsidRPr="00A40CD0">
        <w:rPr>
          <w:i/>
          <w:sz w:val="28"/>
          <w:szCs w:val="28"/>
        </w:rPr>
        <w:t xml:space="preserve"> if any concerns</w:t>
      </w:r>
      <w:r>
        <w:rPr>
          <w:i/>
          <w:sz w:val="28"/>
          <w:szCs w:val="28"/>
        </w:rPr>
        <w:t xml:space="preserve"> in this overview</w:t>
      </w:r>
      <w:r w:rsidRPr="00A40CD0">
        <w:rPr>
          <w:i/>
          <w:sz w:val="28"/>
          <w:szCs w:val="28"/>
        </w:rPr>
        <w:t xml:space="preserve"> </w:t>
      </w:r>
      <w:r>
        <w:rPr>
          <w:i/>
          <w:sz w:val="28"/>
          <w:szCs w:val="28"/>
        </w:rPr>
        <w:t xml:space="preserve">have </w:t>
      </w:r>
      <w:r w:rsidRPr="00A40CD0">
        <w:rPr>
          <w:i/>
          <w:sz w:val="28"/>
          <w:szCs w:val="28"/>
        </w:rPr>
        <w:t>inadvertently been mischaracterized.</w:t>
      </w:r>
      <w:r>
        <w:rPr>
          <w:b/>
          <w:i/>
          <w:sz w:val="28"/>
          <w:szCs w:val="28"/>
        </w:rPr>
        <w:t xml:space="preserve"> </w:t>
      </w:r>
    </w:p>
    <w:p w14:paraId="645BDD7A" w14:textId="77777777" w:rsidR="001F2482" w:rsidRDefault="001F2482" w:rsidP="004D4BCE">
      <w:pPr>
        <w:rPr>
          <w:b/>
          <w:sz w:val="28"/>
          <w:szCs w:val="28"/>
        </w:rPr>
      </w:pPr>
    </w:p>
    <w:p w14:paraId="7F6507A9" w14:textId="77777777" w:rsidR="004D4BCE" w:rsidRDefault="007950A5" w:rsidP="004D4BCE">
      <w:pPr>
        <w:rPr>
          <w:b/>
          <w:sz w:val="28"/>
          <w:szCs w:val="28"/>
        </w:rPr>
      </w:pPr>
      <w:r>
        <w:rPr>
          <w:b/>
          <w:sz w:val="28"/>
          <w:szCs w:val="28"/>
        </w:rPr>
        <w:t>Noted Concerns</w:t>
      </w:r>
    </w:p>
    <w:p w14:paraId="61E3C7D1" w14:textId="77777777" w:rsidR="007950A5" w:rsidRDefault="007950A5" w:rsidP="004D4BCE">
      <w:pPr>
        <w:rPr>
          <w:b/>
          <w:sz w:val="28"/>
          <w:szCs w:val="28"/>
        </w:rPr>
      </w:pPr>
    </w:p>
    <w:tbl>
      <w:tblPr>
        <w:tblStyle w:val="TableGrid"/>
        <w:tblW w:w="0" w:type="auto"/>
        <w:tblLook w:val="04A0" w:firstRow="1" w:lastRow="0" w:firstColumn="1" w:lastColumn="0" w:noHBand="0" w:noVBand="1"/>
      </w:tblPr>
      <w:tblGrid>
        <w:gridCol w:w="3597"/>
        <w:gridCol w:w="3598"/>
        <w:gridCol w:w="3597"/>
        <w:gridCol w:w="3598"/>
      </w:tblGrid>
      <w:tr w:rsidR="008E0291" w14:paraId="55DEE860" w14:textId="5C6FBDD0" w:rsidTr="008E0291">
        <w:tc>
          <w:tcPr>
            <w:tcW w:w="3597" w:type="dxa"/>
            <w:shd w:val="clear" w:color="auto" w:fill="F7CAAC" w:themeFill="accent2" w:themeFillTint="66"/>
          </w:tcPr>
          <w:p w14:paraId="7A758CA4" w14:textId="77777777" w:rsidR="008E0291" w:rsidRDefault="008E0291" w:rsidP="004D4BCE">
            <w:pPr>
              <w:rPr>
                <w:b/>
                <w:sz w:val="28"/>
                <w:szCs w:val="28"/>
              </w:rPr>
            </w:pPr>
            <w:r>
              <w:rPr>
                <w:b/>
                <w:sz w:val="28"/>
                <w:szCs w:val="28"/>
              </w:rPr>
              <w:t>Concern</w:t>
            </w:r>
          </w:p>
        </w:tc>
        <w:tc>
          <w:tcPr>
            <w:tcW w:w="3598" w:type="dxa"/>
            <w:shd w:val="clear" w:color="auto" w:fill="F7CAAC" w:themeFill="accent2" w:themeFillTint="66"/>
          </w:tcPr>
          <w:p w14:paraId="0AA1691E" w14:textId="77777777" w:rsidR="008E0291" w:rsidRDefault="008E0291" w:rsidP="004D4BCE">
            <w:pPr>
              <w:rPr>
                <w:b/>
                <w:sz w:val="28"/>
                <w:szCs w:val="28"/>
              </w:rPr>
            </w:pPr>
            <w:r>
              <w:rPr>
                <w:b/>
                <w:sz w:val="28"/>
                <w:szCs w:val="28"/>
              </w:rPr>
              <w:t>Corresponding PCRT Comment #</w:t>
            </w:r>
          </w:p>
        </w:tc>
        <w:tc>
          <w:tcPr>
            <w:tcW w:w="3597" w:type="dxa"/>
            <w:shd w:val="clear" w:color="auto" w:fill="F7CAAC" w:themeFill="accent2" w:themeFillTint="66"/>
          </w:tcPr>
          <w:p w14:paraId="6D4A48FC" w14:textId="69E7F0D0" w:rsidR="008E0291" w:rsidRDefault="008E0291" w:rsidP="004D4BCE">
            <w:pPr>
              <w:rPr>
                <w:b/>
                <w:sz w:val="28"/>
                <w:szCs w:val="28"/>
              </w:rPr>
            </w:pPr>
            <w:r>
              <w:rPr>
                <w:b/>
                <w:sz w:val="28"/>
                <w:szCs w:val="28"/>
              </w:rPr>
              <w:t>Proposed EPDP Team Response to concerns</w:t>
            </w:r>
          </w:p>
        </w:tc>
        <w:tc>
          <w:tcPr>
            <w:tcW w:w="3598" w:type="dxa"/>
            <w:shd w:val="clear" w:color="auto" w:fill="F7CAAC" w:themeFill="accent2" w:themeFillTint="66"/>
          </w:tcPr>
          <w:p w14:paraId="45D1B359" w14:textId="750743E9" w:rsidR="008E0291" w:rsidRDefault="008E0291" w:rsidP="004D4BCE">
            <w:pPr>
              <w:rPr>
                <w:b/>
                <w:sz w:val="28"/>
                <w:szCs w:val="28"/>
              </w:rPr>
            </w:pPr>
            <w:r>
              <w:rPr>
                <w:b/>
                <w:sz w:val="28"/>
                <w:szCs w:val="28"/>
              </w:rPr>
              <w:t xml:space="preserve">Proposed modification / rewording for EPDP Team </w:t>
            </w:r>
            <w:r w:rsidR="00E31769">
              <w:rPr>
                <w:b/>
                <w:sz w:val="28"/>
                <w:szCs w:val="28"/>
              </w:rPr>
              <w:t>Consideration</w:t>
            </w:r>
          </w:p>
        </w:tc>
      </w:tr>
      <w:tr w:rsidR="008E0291" w14:paraId="207FCB40" w14:textId="18DA2E8F" w:rsidTr="008E0291">
        <w:tc>
          <w:tcPr>
            <w:tcW w:w="3597" w:type="dxa"/>
          </w:tcPr>
          <w:p w14:paraId="63859C64" w14:textId="77777777" w:rsidR="008E0291" w:rsidRPr="007950A5" w:rsidRDefault="008E0291" w:rsidP="004D4BCE">
            <w:pPr>
              <w:rPr>
                <w:sz w:val="28"/>
                <w:szCs w:val="28"/>
              </w:rPr>
            </w:pPr>
            <w:r>
              <w:rPr>
                <w:sz w:val="28"/>
                <w:szCs w:val="28"/>
              </w:rPr>
              <w:t>Excessive wording – purpose should be simplified</w:t>
            </w:r>
          </w:p>
        </w:tc>
        <w:tc>
          <w:tcPr>
            <w:tcW w:w="3598" w:type="dxa"/>
          </w:tcPr>
          <w:p w14:paraId="013AF32B" w14:textId="77777777" w:rsidR="008E0291" w:rsidRDefault="008E0291" w:rsidP="004D4BCE">
            <w:pPr>
              <w:rPr>
                <w:sz w:val="28"/>
                <w:szCs w:val="28"/>
              </w:rPr>
            </w:pPr>
            <w:r>
              <w:rPr>
                <w:sz w:val="28"/>
                <w:szCs w:val="28"/>
              </w:rPr>
              <w:t xml:space="preserve">7, 8, 9 </w:t>
            </w:r>
          </w:p>
          <w:p w14:paraId="17CD894A" w14:textId="3D1C5E60" w:rsidR="008E0291" w:rsidRPr="00362929" w:rsidRDefault="008E0291" w:rsidP="004D4BCE">
            <w:pPr>
              <w:rPr>
                <w:sz w:val="28"/>
                <w:szCs w:val="28"/>
              </w:rPr>
            </w:pPr>
            <w:r>
              <w:rPr>
                <w:sz w:val="28"/>
                <w:szCs w:val="28"/>
              </w:rPr>
              <w:t>(Blacknight, GoDaddy, Key-Systems, RrSG)</w:t>
            </w:r>
          </w:p>
        </w:tc>
        <w:tc>
          <w:tcPr>
            <w:tcW w:w="3597" w:type="dxa"/>
            <w:vMerge w:val="restart"/>
          </w:tcPr>
          <w:p w14:paraId="43189102" w14:textId="2883DDDC" w:rsidR="008E0291" w:rsidRPr="00362929" w:rsidRDefault="008E0291" w:rsidP="004D4BCE">
            <w:pPr>
              <w:rPr>
                <w:sz w:val="28"/>
                <w:szCs w:val="28"/>
              </w:rPr>
            </w:pPr>
            <w:r w:rsidRPr="008E0291">
              <w:rPr>
                <w:sz w:val="28"/>
                <w:szCs w:val="28"/>
              </w:rPr>
              <w:t>The EPDP considered like comments such as “issues” use in general and specificity of said issues. Also the use of “designated agent” is less clear under GDPR and the same purpose wo</w:t>
            </w:r>
            <w:r w:rsidR="009E6008">
              <w:rPr>
                <w:sz w:val="28"/>
                <w:szCs w:val="28"/>
              </w:rPr>
              <w:t>uld apply to delegated agents if</w:t>
            </w:r>
            <w:bookmarkStart w:id="0" w:name="_GoBack"/>
            <w:bookmarkEnd w:id="0"/>
            <w:r w:rsidRPr="008E0291">
              <w:rPr>
                <w:sz w:val="28"/>
                <w:szCs w:val="28"/>
              </w:rPr>
              <w:t xml:space="preserve"> the RNH is legally allowed to do so.</w:t>
            </w:r>
          </w:p>
        </w:tc>
        <w:tc>
          <w:tcPr>
            <w:tcW w:w="3598" w:type="dxa"/>
            <w:vMerge w:val="restart"/>
          </w:tcPr>
          <w:p w14:paraId="353C54AE" w14:textId="66897984" w:rsidR="008E0291" w:rsidRPr="008E0291" w:rsidRDefault="008E0291" w:rsidP="008E0291">
            <w:pPr>
              <w:rPr>
                <w:sz w:val="28"/>
                <w:szCs w:val="28"/>
              </w:rPr>
            </w:pPr>
            <w:r w:rsidRPr="008E0291">
              <w:rPr>
                <w:sz w:val="28"/>
                <w:szCs w:val="28"/>
              </w:rPr>
              <w:t>"Enable communication with the Registered Name Holder on matters relating to the Registered Name. "</w:t>
            </w:r>
          </w:p>
          <w:p w14:paraId="0538D388" w14:textId="77777777" w:rsidR="008E0291" w:rsidRPr="008E0291" w:rsidRDefault="008E0291" w:rsidP="004D4BCE">
            <w:pPr>
              <w:rPr>
                <w:sz w:val="28"/>
                <w:szCs w:val="28"/>
              </w:rPr>
            </w:pPr>
          </w:p>
        </w:tc>
      </w:tr>
      <w:tr w:rsidR="008E0291" w14:paraId="09B1FD1F" w14:textId="7017C8FE" w:rsidTr="008E0291">
        <w:tc>
          <w:tcPr>
            <w:tcW w:w="3597" w:type="dxa"/>
          </w:tcPr>
          <w:p w14:paraId="61A521B3" w14:textId="77777777" w:rsidR="008E0291" w:rsidRPr="00362929" w:rsidRDefault="008E0291" w:rsidP="004D4BCE">
            <w:pPr>
              <w:rPr>
                <w:sz w:val="28"/>
                <w:szCs w:val="28"/>
              </w:rPr>
            </w:pPr>
            <w:r w:rsidRPr="00DC443F">
              <w:rPr>
                <w:sz w:val="28"/>
                <w:szCs w:val="28"/>
              </w:rPr>
              <w:t xml:space="preserve">Delegated agents </w:t>
            </w:r>
            <w:r>
              <w:rPr>
                <w:sz w:val="28"/>
                <w:szCs w:val="28"/>
              </w:rPr>
              <w:t>should be removed from this purpose</w:t>
            </w:r>
          </w:p>
        </w:tc>
        <w:tc>
          <w:tcPr>
            <w:tcW w:w="3598" w:type="dxa"/>
          </w:tcPr>
          <w:p w14:paraId="7A812B59" w14:textId="4868E4C0" w:rsidR="008E0291" w:rsidRDefault="008E0291" w:rsidP="004D4BCE">
            <w:pPr>
              <w:rPr>
                <w:sz w:val="28"/>
                <w:szCs w:val="28"/>
              </w:rPr>
            </w:pPr>
            <w:r>
              <w:rPr>
                <w:sz w:val="28"/>
                <w:szCs w:val="28"/>
              </w:rPr>
              <w:t>10, 11, 13</w:t>
            </w:r>
          </w:p>
          <w:p w14:paraId="7B1C777B" w14:textId="0B3C93B4" w:rsidR="008E0291" w:rsidRDefault="008E0291" w:rsidP="004D4BCE">
            <w:pPr>
              <w:rPr>
                <w:sz w:val="28"/>
                <w:szCs w:val="28"/>
              </w:rPr>
            </w:pPr>
            <w:r>
              <w:rPr>
                <w:sz w:val="28"/>
                <w:szCs w:val="28"/>
              </w:rPr>
              <w:t>(A</w:t>
            </w:r>
            <w:r w:rsidRPr="00C218E2">
              <w:rPr>
                <w:sz w:val="28"/>
                <w:szCs w:val="28"/>
              </w:rPr>
              <w:t>ssociation of the Internet Industry</w:t>
            </w:r>
            <w:r>
              <w:rPr>
                <w:sz w:val="28"/>
                <w:szCs w:val="28"/>
              </w:rPr>
              <w:t>, ISPCP, RySG)</w:t>
            </w:r>
          </w:p>
          <w:p w14:paraId="170ACCDC" w14:textId="72D1ED15" w:rsidR="008E0291" w:rsidRPr="00DC443F" w:rsidRDefault="008E0291" w:rsidP="004D4BCE">
            <w:pPr>
              <w:rPr>
                <w:sz w:val="28"/>
                <w:szCs w:val="28"/>
              </w:rPr>
            </w:pPr>
          </w:p>
        </w:tc>
        <w:tc>
          <w:tcPr>
            <w:tcW w:w="3597" w:type="dxa"/>
            <w:vMerge/>
          </w:tcPr>
          <w:p w14:paraId="1461DEEE" w14:textId="535566E7" w:rsidR="008E0291" w:rsidRPr="00DC443F" w:rsidRDefault="008E0291" w:rsidP="004D4BCE">
            <w:pPr>
              <w:rPr>
                <w:sz w:val="28"/>
                <w:szCs w:val="28"/>
              </w:rPr>
            </w:pPr>
          </w:p>
        </w:tc>
        <w:tc>
          <w:tcPr>
            <w:tcW w:w="3598" w:type="dxa"/>
            <w:vMerge/>
          </w:tcPr>
          <w:p w14:paraId="5B86A824" w14:textId="77777777" w:rsidR="008E0291" w:rsidRPr="00DC443F" w:rsidRDefault="008E0291" w:rsidP="004D4BCE">
            <w:pPr>
              <w:rPr>
                <w:sz w:val="28"/>
                <w:szCs w:val="28"/>
              </w:rPr>
            </w:pPr>
          </w:p>
        </w:tc>
      </w:tr>
      <w:tr w:rsidR="008E0291" w14:paraId="4512870F" w14:textId="57ED4E42" w:rsidTr="008E0291">
        <w:tc>
          <w:tcPr>
            <w:tcW w:w="3597" w:type="dxa"/>
          </w:tcPr>
          <w:p w14:paraId="0C484BA2" w14:textId="77777777" w:rsidR="008E0291" w:rsidRPr="00DC443F" w:rsidRDefault="008E0291" w:rsidP="004D4BCE">
            <w:pPr>
              <w:rPr>
                <w:sz w:val="28"/>
                <w:szCs w:val="28"/>
              </w:rPr>
            </w:pPr>
            <w:r>
              <w:rPr>
                <w:sz w:val="28"/>
                <w:szCs w:val="28"/>
              </w:rPr>
              <w:t>Legal issues should be added to this purpose (note: one in favor of adding legal issues advocates for the deletion of administrative issues as this term is vague)</w:t>
            </w:r>
          </w:p>
        </w:tc>
        <w:tc>
          <w:tcPr>
            <w:tcW w:w="3598" w:type="dxa"/>
          </w:tcPr>
          <w:p w14:paraId="0A9D1E90" w14:textId="48AA4278" w:rsidR="008E0291" w:rsidRDefault="008E0291" w:rsidP="004D4BCE">
            <w:pPr>
              <w:rPr>
                <w:sz w:val="28"/>
                <w:szCs w:val="28"/>
              </w:rPr>
            </w:pPr>
            <w:r>
              <w:rPr>
                <w:sz w:val="28"/>
                <w:szCs w:val="28"/>
              </w:rPr>
              <w:t>12, 14, 15, 19, 20, 21, 22, 24, 25</w:t>
            </w:r>
          </w:p>
          <w:p w14:paraId="46C4CC5C" w14:textId="137565FD" w:rsidR="008E0291" w:rsidRDefault="008E0291" w:rsidP="004D4BCE">
            <w:pPr>
              <w:rPr>
                <w:sz w:val="28"/>
                <w:szCs w:val="28"/>
              </w:rPr>
            </w:pPr>
            <w:r>
              <w:rPr>
                <w:sz w:val="28"/>
                <w:szCs w:val="28"/>
              </w:rPr>
              <w:t>(L</w:t>
            </w:r>
            <w:r w:rsidRPr="00C218E2">
              <w:rPr>
                <w:sz w:val="28"/>
                <w:szCs w:val="28"/>
              </w:rPr>
              <w:t>eap of Faith Financial Services Inc</w:t>
            </w:r>
            <w:r>
              <w:rPr>
                <w:sz w:val="28"/>
                <w:szCs w:val="28"/>
              </w:rPr>
              <w:t xml:space="preserve">, IPC, </w:t>
            </w:r>
            <w:r w:rsidRPr="00C218E2">
              <w:rPr>
                <w:sz w:val="28"/>
                <w:szCs w:val="28"/>
              </w:rPr>
              <w:t>Coalition for Online Accountability</w:t>
            </w:r>
            <w:r>
              <w:rPr>
                <w:sz w:val="28"/>
                <w:szCs w:val="28"/>
              </w:rPr>
              <w:t>, INTA, MarkMonitor, MPAA, Microsoft, The Walt Disney Company, BC)</w:t>
            </w:r>
          </w:p>
          <w:p w14:paraId="4C8A3043" w14:textId="79DC11A0" w:rsidR="008E0291" w:rsidRPr="00DC443F" w:rsidRDefault="008E0291" w:rsidP="004D4BCE">
            <w:pPr>
              <w:rPr>
                <w:sz w:val="28"/>
                <w:szCs w:val="28"/>
              </w:rPr>
            </w:pPr>
          </w:p>
        </w:tc>
        <w:tc>
          <w:tcPr>
            <w:tcW w:w="3597" w:type="dxa"/>
            <w:vMerge/>
          </w:tcPr>
          <w:p w14:paraId="6C6A4CD5" w14:textId="7415EB28" w:rsidR="008E0291" w:rsidRDefault="008E0291" w:rsidP="004D4BCE">
            <w:pPr>
              <w:rPr>
                <w:b/>
                <w:sz w:val="28"/>
                <w:szCs w:val="28"/>
              </w:rPr>
            </w:pPr>
          </w:p>
        </w:tc>
        <w:tc>
          <w:tcPr>
            <w:tcW w:w="3598" w:type="dxa"/>
            <w:vMerge/>
          </w:tcPr>
          <w:p w14:paraId="45E02A5E" w14:textId="77777777" w:rsidR="008E0291" w:rsidRDefault="008E0291" w:rsidP="004D4BCE">
            <w:pPr>
              <w:rPr>
                <w:b/>
                <w:sz w:val="28"/>
                <w:szCs w:val="28"/>
              </w:rPr>
            </w:pPr>
          </w:p>
        </w:tc>
      </w:tr>
      <w:tr w:rsidR="008E0291" w14:paraId="7FC1CE7F" w14:textId="43C643AC" w:rsidTr="008E0291">
        <w:tc>
          <w:tcPr>
            <w:tcW w:w="3597" w:type="dxa"/>
          </w:tcPr>
          <w:p w14:paraId="72D411B4" w14:textId="77777777" w:rsidR="008E0291" w:rsidRPr="00DC443F" w:rsidRDefault="008E0291" w:rsidP="004D4BCE">
            <w:pPr>
              <w:rPr>
                <w:sz w:val="28"/>
                <w:szCs w:val="28"/>
              </w:rPr>
            </w:pPr>
            <w:r w:rsidRPr="00DC443F">
              <w:rPr>
                <w:sz w:val="28"/>
                <w:szCs w:val="28"/>
              </w:rPr>
              <w:lastRenderedPageBreak/>
              <w:t xml:space="preserve">Registries/Registrars should endeavor to reach the RNH directly </w:t>
            </w:r>
            <w:r>
              <w:rPr>
                <w:sz w:val="28"/>
                <w:szCs w:val="28"/>
              </w:rPr>
              <w:t>as the process of delegating an agent is sometimes done carelessly</w:t>
            </w:r>
          </w:p>
        </w:tc>
        <w:tc>
          <w:tcPr>
            <w:tcW w:w="3598" w:type="dxa"/>
          </w:tcPr>
          <w:p w14:paraId="349765C5" w14:textId="77777777" w:rsidR="008E0291" w:rsidRDefault="008E0291" w:rsidP="004D4BCE">
            <w:pPr>
              <w:rPr>
                <w:sz w:val="28"/>
                <w:szCs w:val="28"/>
              </w:rPr>
            </w:pPr>
            <w:r>
              <w:rPr>
                <w:sz w:val="28"/>
                <w:szCs w:val="28"/>
              </w:rPr>
              <w:t>16</w:t>
            </w:r>
          </w:p>
          <w:p w14:paraId="4CB81CA1" w14:textId="4E9B115A" w:rsidR="008E0291" w:rsidRPr="00DC443F" w:rsidRDefault="008E0291" w:rsidP="004D4BCE">
            <w:pPr>
              <w:rPr>
                <w:sz w:val="28"/>
                <w:szCs w:val="28"/>
              </w:rPr>
            </w:pPr>
            <w:r>
              <w:rPr>
                <w:sz w:val="28"/>
                <w:szCs w:val="28"/>
              </w:rPr>
              <w:t>(I</w:t>
            </w:r>
            <w:r w:rsidRPr="00C218E2">
              <w:rPr>
                <w:sz w:val="28"/>
                <w:szCs w:val="28"/>
              </w:rPr>
              <w:t>nternet Society India Chenna</w:t>
            </w:r>
            <w:r>
              <w:rPr>
                <w:sz w:val="28"/>
                <w:szCs w:val="28"/>
              </w:rPr>
              <w:t>i)</w:t>
            </w:r>
          </w:p>
        </w:tc>
        <w:tc>
          <w:tcPr>
            <w:tcW w:w="3597" w:type="dxa"/>
            <w:vMerge/>
          </w:tcPr>
          <w:p w14:paraId="4E2F183E" w14:textId="3143ADBC" w:rsidR="008E0291" w:rsidRPr="00DC443F" w:rsidRDefault="008E0291" w:rsidP="004D4BCE">
            <w:pPr>
              <w:rPr>
                <w:sz w:val="28"/>
                <w:szCs w:val="28"/>
              </w:rPr>
            </w:pPr>
          </w:p>
        </w:tc>
        <w:tc>
          <w:tcPr>
            <w:tcW w:w="3598" w:type="dxa"/>
            <w:vMerge/>
          </w:tcPr>
          <w:p w14:paraId="281EEA10" w14:textId="77777777" w:rsidR="008E0291" w:rsidRPr="00DC443F" w:rsidRDefault="008E0291" w:rsidP="004D4BCE">
            <w:pPr>
              <w:rPr>
                <w:sz w:val="28"/>
                <w:szCs w:val="28"/>
              </w:rPr>
            </w:pPr>
          </w:p>
        </w:tc>
      </w:tr>
      <w:tr w:rsidR="008E0291" w14:paraId="771DB52B" w14:textId="77777777" w:rsidTr="00581E88">
        <w:tc>
          <w:tcPr>
            <w:tcW w:w="3597" w:type="dxa"/>
          </w:tcPr>
          <w:p w14:paraId="0EC063A3" w14:textId="77777777" w:rsidR="008E0291" w:rsidRPr="00DC443F" w:rsidRDefault="008E0291" w:rsidP="00581E88">
            <w:pPr>
              <w:rPr>
                <w:sz w:val="28"/>
                <w:szCs w:val="28"/>
              </w:rPr>
            </w:pPr>
            <w:r>
              <w:rPr>
                <w:sz w:val="28"/>
                <w:szCs w:val="28"/>
              </w:rPr>
              <w:t>Purpose should be modified since there may not be a tech/admin contact (and rec. 4 would essentially do away with collection of tech/admin contacts)</w:t>
            </w:r>
          </w:p>
        </w:tc>
        <w:tc>
          <w:tcPr>
            <w:tcW w:w="3598" w:type="dxa"/>
          </w:tcPr>
          <w:p w14:paraId="05BB1A8B" w14:textId="77777777" w:rsidR="008E0291" w:rsidRDefault="008E0291" w:rsidP="00581E88">
            <w:pPr>
              <w:rPr>
                <w:sz w:val="28"/>
                <w:szCs w:val="28"/>
              </w:rPr>
            </w:pPr>
            <w:r>
              <w:rPr>
                <w:sz w:val="28"/>
                <w:szCs w:val="28"/>
              </w:rPr>
              <w:t>18, 23</w:t>
            </w:r>
          </w:p>
          <w:p w14:paraId="75F5EE0E" w14:textId="77777777" w:rsidR="008E0291" w:rsidRPr="00DC443F" w:rsidRDefault="008E0291" w:rsidP="00581E88">
            <w:pPr>
              <w:rPr>
                <w:sz w:val="28"/>
                <w:szCs w:val="28"/>
              </w:rPr>
            </w:pPr>
            <w:r>
              <w:rPr>
                <w:sz w:val="28"/>
                <w:szCs w:val="28"/>
              </w:rPr>
              <w:t>(Tucows, SSAC)</w:t>
            </w:r>
          </w:p>
        </w:tc>
        <w:tc>
          <w:tcPr>
            <w:tcW w:w="3597" w:type="dxa"/>
            <w:vMerge/>
          </w:tcPr>
          <w:p w14:paraId="76BA8BB0" w14:textId="49BC1826" w:rsidR="008E0291" w:rsidRPr="00DC443F" w:rsidRDefault="008E0291" w:rsidP="00581E88">
            <w:pPr>
              <w:rPr>
                <w:sz w:val="28"/>
                <w:szCs w:val="28"/>
              </w:rPr>
            </w:pPr>
          </w:p>
        </w:tc>
        <w:tc>
          <w:tcPr>
            <w:tcW w:w="3598" w:type="dxa"/>
            <w:vMerge/>
          </w:tcPr>
          <w:p w14:paraId="6D8DE1D6" w14:textId="77777777" w:rsidR="008E0291" w:rsidRDefault="008E0291" w:rsidP="00581E88">
            <w:pPr>
              <w:rPr>
                <w:sz w:val="28"/>
                <w:szCs w:val="28"/>
              </w:rPr>
            </w:pPr>
          </w:p>
        </w:tc>
      </w:tr>
      <w:tr w:rsidR="008E0291" w14:paraId="036D6841" w14:textId="450633B7" w:rsidTr="008E0291">
        <w:tc>
          <w:tcPr>
            <w:tcW w:w="3597" w:type="dxa"/>
          </w:tcPr>
          <w:p w14:paraId="491BE562" w14:textId="77777777" w:rsidR="008E0291" w:rsidRPr="00DC443F" w:rsidRDefault="008E0291" w:rsidP="004D4BCE">
            <w:pPr>
              <w:rPr>
                <w:sz w:val="28"/>
                <w:szCs w:val="28"/>
              </w:rPr>
            </w:pPr>
            <w:r>
              <w:rPr>
                <w:sz w:val="28"/>
                <w:szCs w:val="28"/>
              </w:rPr>
              <w:t>Billing issues should be added to this purpose</w:t>
            </w:r>
          </w:p>
        </w:tc>
        <w:tc>
          <w:tcPr>
            <w:tcW w:w="3598" w:type="dxa"/>
          </w:tcPr>
          <w:p w14:paraId="6286B6E9" w14:textId="6523E8C7" w:rsidR="008E0291" w:rsidRDefault="008E0291" w:rsidP="004D4BCE">
            <w:pPr>
              <w:rPr>
                <w:sz w:val="28"/>
                <w:szCs w:val="28"/>
              </w:rPr>
            </w:pPr>
            <w:r>
              <w:rPr>
                <w:sz w:val="28"/>
                <w:szCs w:val="28"/>
              </w:rPr>
              <w:t>17</w:t>
            </w:r>
          </w:p>
          <w:p w14:paraId="4E3BB532" w14:textId="3D84DECC" w:rsidR="008E0291" w:rsidRPr="00DC443F" w:rsidRDefault="008E0291" w:rsidP="004D4BCE">
            <w:pPr>
              <w:rPr>
                <w:sz w:val="28"/>
                <w:szCs w:val="28"/>
              </w:rPr>
            </w:pPr>
            <w:r>
              <w:rPr>
                <w:sz w:val="28"/>
                <w:szCs w:val="28"/>
              </w:rPr>
              <w:t>(GOVERNMENT OF INDIA)</w:t>
            </w:r>
          </w:p>
        </w:tc>
        <w:tc>
          <w:tcPr>
            <w:tcW w:w="3597" w:type="dxa"/>
          </w:tcPr>
          <w:p w14:paraId="5298B277" w14:textId="77777777" w:rsidR="008E0291" w:rsidRPr="008E0291" w:rsidRDefault="008E0291" w:rsidP="008E0291">
            <w:pPr>
              <w:rPr>
                <w:sz w:val="28"/>
                <w:szCs w:val="28"/>
              </w:rPr>
            </w:pPr>
            <w:r w:rsidRPr="008E0291">
              <w:rPr>
                <w:sz w:val="28"/>
                <w:szCs w:val="28"/>
              </w:rPr>
              <w:t>Billing is not a purpose that of ICANN but more of a Registrar’s purpose.  Thus, not a part of the EPDP’s scope.</w:t>
            </w:r>
          </w:p>
          <w:p w14:paraId="63A31BC6" w14:textId="7024E601" w:rsidR="008E0291" w:rsidRPr="00DC443F" w:rsidRDefault="008E0291" w:rsidP="004D4BCE">
            <w:pPr>
              <w:rPr>
                <w:sz w:val="28"/>
                <w:szCs w:val="28"/>
              </w:rPr>
            </w:pPr>
          </w:p>
        </w:tc>
        <w:tc>
          <w:tcPr>
            <w:tcW w:w="3598" w:type="dxa"/>
          </w:tcPr>
          <w:p w14:paraId="19FACD66" w14:textId="3BFAD1F3" w:rsidR="008E0291" w:rsidRDefault="008E0291" w:rsidP="008E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None</w:t>
            </w:r>
          </w:p>
        </w:tc>
      </w:tr>
      <w:tr w:rsidR="008E0291" w14:paraId="672C8F9F" w14:textId="5E5D9E67" w:rsidTr="008E0291">
        <w:tc>
          <w:tcPr>
            <w:tcW w:w="3597" w:type="dxa"/>
          </w:tcPr>
          <w:p w14:paraId="7E960F0E" w14:textId="77777777" w:rsidR="008E0291" w:rsidRPr="001B7DB6" w:rsidRDefault="008E0291" w:rsidP="004D4BCE">
            <w:pPr>
              <w:rPr>
                <w:sz w:val="28"/>
                <w:szCs w:val="28"/>
              </w:rPr>
            </w:pPr>
            <w:r>
              <w:rPr>
                <w:sz w:val="28"/>
                <w:szCs w:val="28"/>
              </w:rPr>
              <w:t>This purpose should be deleted as a refinement of Purpose 1 would encompass communication to the RNH</w:t>
            </w:r>
          </w:p>
        </w:tc>
        <w:tc>
          <w:tcPr>
            <w:tcW w:w="3598" w:type="dxa"/>
          </w:tcPr>
          <w:p w14:paraId="52D5AB0C" w14:textId="77777777" w:rsidR="008E0291" w:rsidRDefault="008E0291" w:rsidP="004D4BCE">
            <w:pPr>
              <w:rPr>
                <w:sz w:val="28"/>
                <w:szCs w:val="28"/>
              </w:rPr>
            </w:pPr>
            <w:r>
              <w:rPr>
                <w:sz w:val="28"/>
                <w:szCs w:val="28"/>
              </w:rPr>
              <w:t>27</w:t>
            </w:r>
          </w:p>
          <w:p w14:paraId="5DCC87A4" w14:textId="0206543A" w:rsidR="008E0291" w:rsidRPr="001B7DB6" w:rsidRDefault="008E0291" w:rsidP="004D4BCE">
            <w:pPr>
              <w:rPr>
                <w:sz w:val="28"/>
                <w:szCs w:val="28"/>
              </w:rPr>
            </w:pPr>
            <w:r>
              <w:rPr>
                <w:sz w:val="28"/>
                <w:szCs w:val="28"/>
              </w:rPr>
              <w:t>(</w:t>
            </w:r>
            <w:r w:rsidRPr="00C218E2">
              <w:rPr>
                <w:sz w:val="28"/>
                <w:szCs w:val="28"/>
              </w:rPr>
              <w:t>John Poole; Domain Name Registran</w:t>
            </w:r>
            <w:r>
              <w:rPr>
                <w:sz w:val="28"/>
                <w:szCs w:val="28"/>
              </w:rPr>
              <w:t>t)</w:t>
            </w:r>
          </w:p>
        </w:tc>
        <w:tc>
          <w:tcPr>
            <w:tcW w:w="3597" w:type="dxa"/>
          </w:tcPr>
          <w:p w14:paraId="0A7C8CA7" w14:textId="3A924F0D" w:rsidR="008E0291" w:rsidRPr="001B7DB6" w:rsidRDefault="008E0291" w:rsidP="004D4BCE">
            <w:pPr>
              <w:rPr>
                <w:sz w:val="28"/>
                <w:szCs w:val="28"/>
              </w:rPr>
            </w:pPr>
            <w:r w:rsidRPr="008E0291">
              <w:rPr>
                <w:sz w:val="28"/>
                <w:szCs w:val="28"/>
              </w:rPr>
              <w:t>The EPDP disagreed in that this purpose is needed to allow for communications with the RNH which is separate and distinct from the RNH establishing his/her right in use of the domain name.</w:t>
            </w:r>
          </w:p>
        </w:tc>
        <w:tc>
          <w:tcPr>
            <w:tcW w:w="3598" w:type="dxa"/>
          </w:tcPr>
          <w:p w14:paraId="4892C403" w14:textId="69BCAAD0" w:rsidR="008E0291" w:rsidRDefault="008E0291" w:rsidP="004D4BCE">
            <w:pPr>
              <w:rPr>
                <w:sz w:val="28"/>
                <w:szCs w:val="28"/>
              </w:rPr>
            </w:pPr>
            <w:r>
              <w:rPr>
                <w:sz w:val="28"/>
                <w:szCs w:val="28"/>
              </w:rPr>
              <w:t>None</w:t>
            </w:r>
          </w:p>
        </w:tc>
      </w:tr>
    </w:tbl>
    <w:p w14:paraId="338EC65E" w14:textId="77777777" w:rsidR="007950A5" w:rsidRDefault="007950A5" w:rsidP="004D4BCE">
      <w:pPr>
        <w:rPr>
          <w:b/>
          <w:sz w:val="28"/>
          <w:szCs w:val="28"/>
        </w:rPr>
      </w:pPr>
    </w:p>
    <w:p w14:paraId="075CC471" w14:textId="77777777" w:rsidR="007950A5" w:rsidRDefault="007950A5" w:rsidP="004D4BCE">
      <w:pPr>
        <w:rPr>
          <w:b/>
          <w:sz w:val="28"/>
          <w:szCs w:val="28"/>
        </w:rPr>
      </w:pPr>
    </w:p>
    <w:p w14:paraId="0CE8D0B0" w14:textId="77777777" w:rsidR="007950A5" w:rsidRPr="001A4D87" w:rsidRDefault="007950A5" w:rsidP="004D4BCE">
      <w:pPr>
        <w:rPr>
          <w:b/>
          <w:sz w:val="28"/>
          <w:szCs w:val="28"/>
        </w:rPr>
      </w:pPr>
    </w:p>
    <w:sectPr w:rsidR="007950A5" w:rsidRPr="001A4D87" w:rsidSect="007B7DD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7241"/>
    <w:multiLevelType w:val="hybridMultilevel"/>
    <w:tmpl w:val="832C9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0150A"/>
    <w:multiLevelType w:val="hybridMultilevel"/>
    <w:tmpl w:val="9184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F0A8E"/>
    <w:multiLevelType w:val="hybridMultilevel"/>
    <w:tmpl w:val="2A464992"/>
    <w:lvl w:ilvl="0" w:tplc="E6CE1E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6E59B2"/>
    <w:multiLevelType w:val="hybridMultilevel"/>
    <w:tmpl w:val="B8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84269"/>
    <w:multiLevelType w:val="hybridMultilevel"/>
    <w:tmpl w:val="AB960B1C"/>
    <w:lvl w:ilvl="0" w:tplc="131095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CE"/>
    <w:rsid w:val="001A4D87"/>
    <w:rsid w:val="001B7DB6"/>
    <w:rsid w:val="001F2482"/>
    <w:rsid w:val="00301F17"/>
    <w:rsid w:val="00320C05"/>
    <w:rsid w:val="00362929"/>
    <w:rsid w:val="00404709"/>
    <w:rsid w:val="004076B0"/>
    <w:rsid w:val="00440B65"/>
    <w:rsid w:val="004D4BCE"/>
    <w:rsid w:val="007950A5"/>
    <w:rsid w:val="007B545F"/>
    <w:rsid w:val="007B7DDD"/>
    <w:rsid w:val="008E0291"/>
    <w:rsid w:val="009E6008"/>
    <w:rsid w:val="00BD58AB"/>
    <w:rsid w:val="00C218E2"/>
    <w:rsid w:val="00DC443F"/>
    <w:rsid w:val="00DC58CE"/>
    <w:rsid w:val="00E31769"/>
    <w:rsid w:val="00EB4387"/>
    <w:rsid w:val="00F84D38"/>
    <w:rsid w:val="00FC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6465"/>
  <w15:chartTrackingRefBased/>
  <w15:docId w15:val="{FB0CC842-F214-574B-8485-CDEC6DC5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6074">
      <w:bodyDiv w:val="1"/>
      <w:marLeft w:val="0"/>
      <w:marRight w:val="0"/>
      <w:marTop w:val="0"/>
      <w:marBottom w:val="0"/>
      <w:divBdr>
        <w:top w:val="none" w:sz="0" w:space="0" w:color="auto"/>
        <w:left w:val="none" w:sz="0" w:space="0" w:color="auto"/>
        <w:bottom w:val="none" w:sz="0" w:space="0" w:color="auto"/>
        <w:right w:val="none" w:sz="0" w:space="0" w:color="auto"/>
      </w:divBdr>
    </w:div>
    <w:div w:id="129831316">
      <w:bodyDiv w:val="1"/>
      <w:marLeft w:val="0"/>
      <w:marRight w:val="0"/>
      <w:marTop w:val="0"/>
      <w:marBottom w:val="0"/>
      <w:divBdr>
        <w:top w:val="none" w:sz="0" w:space="0" w:color="auto"/>
        <w:left w:val="none" w:sz="0" w:space="0" w:color="auto"/>
        <w:bottom w:val="none" w:sz="0" w:space="0" w:color="auto"/>
        <w:right w:val="none" w:sz="0" w:space="0" w:color="auto"/>
      </w:divBdr>
    </w:div>
    <w:div w:id="404453483">
      <w:bodyDiv w:val="1"/>
      <w:marLeft w:val="0"/>
      <w:marRight w:val="0"/>
      <w:marTop w:val="0"/>
      <w:marBottom w:val="0"/>
      <w:divBdr>
        <w:top w:val="none" w:sz="0" w:space="0" w:color="auto"/>
        <w:left w:val="none" w:sz="0" w:space="0" w:color="auto"/>
        <w:bottom w:val="none" w:sz="0" w:space="0" w:color="auto"/>
        <w:right w:val="none" w:sz="0" w:space="0" w:color="auto"/>
      </w:divBdr>
    </w:div>
    <w:div w:id="525800469">
      <w:bodyDiv w:val="1"/>
      <w:marLeft w:val="0"/>
      <w:marRight w:val="0"/>
      <w:marTop w:val="0"/>
      <w:marBottom w:val="0"/>
      <w:divBdr>
        <w:top w:val="none" w:sz="0" w:space="0" w:color="auto"/>
        <w:left w:val="none" w:sz="0" w:space="0" w:color="auto"/>
        <w:bottom w:val="none" w:sz="0" w:space="0" w:color="auto"/>
        <w:right w:val="none" w:sz="0" w:space="0" w:color="auto"/>
      </w:divBdr>
    </w:div>
    <w:div w:id="552739331">
      <w:bodyDiv w:val="1"/>
      <w:marLeft w:val="0"/>
      <w:marRight w:val="0"/>
      <w:marTop w:val="0"/>
      <w:marBottom w:val="0"/>
      <w:divBdr>
        <w:top w:val="none" w:sz="0" w:space="0" w:color="auto"/>
        <w:left w:val="none" w:sz="0" w:space="0" w:color="auto"/>
        <w:bottom w:val="none" w:sz="0" w:space="0" w:color="auto"/>
        <w:right w:val="none" w:sz="0" w:space="0" w:color="auto"/>
      </w:divBdr>
    </w:div>
    <w:div w:id="673263940">
      <w:bodyDiv w:val="1"/>
      <w:marLeft w:val="0"/>
      <w:marRight w:val="0"/>
      <w:marTop w:val="0"/>
      <w:marBottom w:val="0"/>
      <w:divBdr>
        <w:top w:val="none" w:sz="0" w:space="0" w:color="auto"/>
        <w:left w:val="none" w:sz="0" w:space="0" w:color="auto"/>
        <w:bottom w:val="none" w:sz="0" w:space="0" w:color="auto"/>
        <w:right w:val="none" w:sz="0" w:space="0" w:color="auto"/>
      </w:divBdr>
    </w:div>
    <w:div w:id="723674972">
      <w:bodyDiv w:val="1"/>
      <w:marLeft w:val="0"/>
      <w:marRight w:val="0"/>
      <w:marTop w:val="0"/>
      <w:marBottom w:val="0"/>
      <w:divBdr>
        <w:top w:val="none" w:sz="0" w:space="0" w:color="auto"/>
        <w:left w:val="none" w:sz="0" w:space="0" w:color="auto"/>
        <w:bottom w:val="none" w:sz="0" w:space="0" w:color="auto"/>
        <w:right w:val="none" w:sz="0" w:space="0" w:color="auto"/>
      </w:divBdr>
    </w:div>
    <w:div w:id="810515864">
      <w:bodyDiv w:val="1"/>
      <w:marLeft w:val="0"/>
      <w:marRight w:val="0"/>
      <w:marTop w:val="0"/>
      <w:marBottom w:val="0"/>
      <w:divBdr>
        <w:top w:val="none" w:sz="0" w:space="0" w:color="auto"/>
        <w:left w:val="none" w:sz="0" w:space="0" w:color="auto"/>
        <w:bottom w:val="none" w:sz="0" w:space="0" w:color="auto"/>
        <w:right w:val="none" w:sz="0" w:space="0" w:color="auto"/>
      </w:divBdr>
    </w:div>
    <w:div w:id="839197974">
      <w:bodyDiv w:val="1"/>
      <w:marLeft w:val="0"/>
      <w:marRight w:val="0"/>
      <w:marTop w:val="0"/>
      <w:marBottom w:val="0"/>
      <w:divBdr>
        <w:top w:val="none" w:sz="0" w:space="0" w:color="auto"/>
        <w:left w:val="none" w:sz="0" w:space="0" w:color="auto"/>
        <w:bottom w:val="none" w:sz="0" w:space="0" w:color="auto"/>
        <w:right w:val="none" w:sz="0" w:space="0" w:color="auto"/>
      </w:divBdr>
    </w:div>
    <w:div w:id="959070511">
      <w:bodyDiv w:val="1"/>
      <w:marLeft w:val="0"/>
      <w:marRight w:val="0"/>
      <w:marTop w:val="0"/>
      <w:marBottom w:val="0"/>
      <w:divBdr>
        <w:top w:val="none" w:sz="0" w:space="0" w:color="auto"/>
        <w:left w:val="none" w:sz="0" w:space="0" w:color="auto"/>
        <w:bottom w:val="none" w:sz="0" w:space="0" w:color="auto"/>
        <w:right w:val="none" w:sz="0" w:space="0" w:color="auto"/>
      </w:divBdr>
    </w:div>
    <w:div w:id="1330908278">
      <w:bodyDiv w:val="1"/>
      <w:marLeft w:val="0"/>
      <w:marRight w:val="0"/>
      <w:marTop w:val="0"/>
      <w:marBottom w:val="0"/>
      <w:divBdr>
        <w:top w:val="none" w:sz="0" w:space="0" w:color="auto"/>
        <w:left w:val="none" w:sz="0" w:space="0" w:color="auto"/>
        <w:bottom w:val="none" w:sz="0" w:space="0" w:color="auto"/>
        <w:right w:val="none" w:sz="0" w:space="0" w:color="auto"/>
      </w:divBdr>
    </w:div>
    <w:div w:id="1364749434">
      <w:bodyDiv w:val="1"/>
      <w:marLeft w:val="0"/>
      <w:marRight w:val="0"/>
      <w:marTop w:val="0"/>
      <w:marBottom w:val="0"/>
      <w:divBdr>
        <w:top w:val="none" w:sz="0" w:space="0" w:color="auto"/>
        <w:left w:val="none" w:sz="0" w:space="0" w:color="auto"/>
        <w:bottom w:val="none" w:sz="0" w:space="0" w:color="auto"/>
        <w:right w:val="none" w:sz="0" w:space="0" w:color="auto"/>
      </w:divBdr>
    </w:div>
    <w:div w:id="1375736288">
      <w:bodyDiv w:val="1"/>
      <w:marLeft w:val="0"/>
      <w:marRight w:val="0"/>
      <w:marTop w:val="0"/>
      <w:marBottom w:val="0"/>
      <w:divBdr>
        <w:top w:val="none" w:sz="0" w:space="0" w:color="auto"/>
        <w:left w:val="none" w:sz="0" w:space="0" w:color="auto"/>
        <w:bottom w:val="none" w:sz="0" w:space="0" w:color="auto"/>
        <w:right w:val="none" w:sz="0" w:space="0" w:color="auto"/>
      </w:divBdr>
    </w:div>
    <w:div w:id="1443455482">
      <w:bodyDiv w:val="1"/>
      <w:marLeft w:val="0"/>
      <w:marRight w:val="0"/>
      <w:marTop w:val="0"/>
      <w:marBottom w:val="0"/>
      <w:divBdr>
        <w:top w:val="none" w:sz="0" w:space="0" w:color="auto"/>
        <w:left w:val="none" w:sz="0" w:space="0" w:color="auto"/>
        <w:bottom w:val="none" w:sz="0" w:space="0" w:color="auto"/>
        <w:right w:val="none" w:sz="0" w:space="0" w:color="auto"/>
      </w:divBdr>
    </w:div>
    <w:div w:id="1493570668">
      <w:bodyDiv w:val="1"/>
      <w:marLeft w:val="0"/>
      <w:marRight w:val="0"/>
      <w:marTop w:val="0"/>
      <w:marBottom w:val="0"/>
      <w:divBdr>
        <w:top w:val="none" w:sz="0" w:space="0" w:color="auto"/>
        <w:left w:val="none" w:sz="0" w:space="0" w:color="auto"/>
        <w:bottom w:val="none" w:sz="0" w:space="0" w:color="auto"/>
        <w:right w:val="none" w:sz="0" w:space="0" w:color="auto"/>
      </w:divBdr>
    </w:div>
    <w:div w:id="1875461531">
      <w:bodyDiv w:val="1"/>
      <w:marLeft w:val="0"/>
      <w:marRight w:val="0"/>
      <w:marTop w:val="0"/>
      <w:marBottom w:val="0"/>
      <w:divBdr>
        <w:top w:val="none" w:sz="0" w:space="0" w:color="auto"/>
        <w:left w:val="none" w:sz="0" w:space="0" w:color="auto"/>
        <w:bottom w:val="none" w:sz="0" w:space="0" w:color="auto"/>
        <w:right w:val="none" w:sz="0" w:space="0" w:color="auto"/>
      </w:divBdr>
    </w:div>
    <w:div w:id="1889296381">
      <w:bodyDiv w:val="1"/>
      <w:marLeft w:val="0"/>
      <w:marRight w:val="0"/>
      <w:marTop w:val="0"/>
      <w:marBottom w:val="0"/>
      <w:divBdr>
        <w:top w:val="none" w:sz="0" w:space="0" w:color="auto"/>
        <w:left w:val="none" w:sz="0" w:space="0" w:color="auto"/>
        <w:bottom w:val="none" w:sz="0" w:space="0" w:color="auto"/>
        <w:right w:val="none" w:sz="0" w:space="0" w:color="auto"/>
      </w:divBdr>
    </w:div>
    <w:div w:id="1911034365">
      <w:bodyDiv w:val="1"/>
      <w:marLeft w:val="0"/>
      <w:marRight w:val="0"/>
      <w:marTop w:val="0"/>
      <w:marBottom w:val="0"/>
      <w:divBdr>
        <w:top w:val="none" w:sz="0" w:space="0" w:color="auto"/>
        <w:left w:val="none" w:sz="0" w:space="0" w:color="auto"/>
        <w:bottom w:val="none" w:sz="0" w:space="0" w:color="auto"/>
        <w:right w:val="none" w:sz="0" w:space="0" w:color="auto"/>
      </w:divBdr>
    </w:div>
    <w:div w:id="2078478426">
      <w:bodyDiv w:val="1"/>
      <w:marLeft w:val="0"/>
      <w:marRight w:val="0"/>
      <w:marTop w:val="0"/>
      <w:marBottom w:val="0"/>
      <w:divBdr>
        <w:top w:val="none" w:sz="0" w:space="0" w:color="auto"/>
        <w:left w:val="none" w:sz="0" w:space="0" w:color="auto"/>
        <w:bottom w:val="none" w:sz="0" w:space="0" w:color="auto"/>
        <w:right w:val="none" w:sz="0" w:space="0" w:color="auto"/>
      </w:divBdr>
    </w:div>
    <w:div w:id="2083135844">
      <w:bodyDiv w:val="1"/>
      <w:marLeft w:val="0"/>
      <w:marRight w:val="0"/>
      <w:marTop w:val="0"/>
      <w:marBottom w:val="0"/>
      <w:divBdr>
        <w:top w:val="none" w:sz="0" w:space="0" w:color="auto"/>
        <w:left w:val="none" w:sz="0" w:space="0" w:color="auto"/>
        <w:bottom w:val="none" w:sz="0" w:space="0" w:color="auto"/>
        <w:right w:val="none" w:sz="0" w:space="0" w:color="auto"/>
      </w:divBdr>
    </w:div>
    <w:div w:id="20973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Marika Konings</cp:lastModifiedBy>
  <cp:revision>4</cp:revision>
  <cp:lastPrinted>2019-01-08T07:20:00Z</cp:lastPrinted>
  <dcterms:created xsi:type="dcterms:W3CDTF">2019-01-08T17:06:00Z</dcterms:created>
  <dcterms:modified xsi:type="dcterms:W3CDTF">2019-01-09T08:17:00Z</dcterms:modified>
</cp:coreProperties>
</file>