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96E26" w14:textId="42C94F19" w:rsidR="00E12E4D" w:rsidRPr="0076221C" w:rsidRDefault="00CD0BAA" w:rsidP="00CD0BAA">
      <w:pPr>
        <w:pStyle w:val="NormalWeb"/>
        <w:rPr>
          <w:rFonts w:asciiTheme="minorHAnsi" w:hAnsiTheme="minorHAnsi"/>
          <w:b/>
          <w:sz w:val="22"/>
          <w:szCs w:val="22"/>
        </w:rPr>
      </w:pPr>
      <w:r w:rsidRPr="0076221C">
        <w:rPr>
          <w:rFonts w:asciiTheme="minorHAnsi" w:hAnsiTheme="minorHAnsi"/>
          <w:b/>
          <w:sz w:val="22"/>
          <w:szCs w:val="22"/>
        </w:rPr>
        <w:t xml:space="preserve">Report of </w:t>
      </w:r>
      <w:r w:rsidR="00E12E4D" w:rsidRPr="0076221C">
        <w:rPr>
          <w:rFonts w:asciiTheme="minorHAnsi" w:hAnsiTheme="minorHAnsi"/>
          <w:b/>
          <w:sz w:val="22"/>
          <w:szCs w:val="22"/>
        </w:rPr>
        <w:t>Workshop Session on “ICANN, GDPR and the WHOIS” on Thursday, 11</w:t>
      </w:r>
      <w:r w:rsidR="00E12E4D" w:rsidRPr="0076221C">
        <w:rPr>
          <w:rFonts w:asciiTheme="minorHAnsi" w:hAnsiTheme="minorHAnsi"/>
          <w:b/>
          <w:sz w:val="22"/>
          <w:szCs w:val="22"/>
          <w:vertAlign w:val="superscript"/>
        </w:rPr>
        <w:t>th</w:t>
      </w:r>
      <w:r w:rsidR="00E12E4D" w:rsidRPr="0076221C">
        <w:rPr>
          <w:rFonts w:asciiTheme="minorHAnsi" w:hAnsiTheme="minorHAnsi"/>
          <w:b/>
          <w:sz w:val="22"/>
          <w:szCs w:val="22"/>
        </w:rPr>
        <w:t xml:space="preserve"> April. </w:t>
      </w:r>
    </w:p>
    <w:p w14:paraId="2913A4B6" w14:textId="77777777" w:rsidR="00E12E4D" w:rsidRPr="0076221C" w:rsidRDefault="00E12E4D" w:rsidP="00CD0BAA">
      <w:pPr>
        <w:pStyle w:val="NormalWeb"/>
        <w:rPr>
          <w:rFonts w:asciiTheme="minorHAnsi" w:hAnsiTheme="minorHAnsi"/>
          <w:sz w:val="22"/>
          <w:szCs w:val="22"/>
        </w:rPr>
      </w:pPr>
    </w:p>
    <w:p w14:paraId="71A2AC29" w14:textId="77777777" w:rsidR="00E12E4D" w:rsidRPr="0076221C" w:rsidRDefault="00E12E4D" w:rsidP="00CD0BAA">
      <w:pPr>
        <w:pStyle w:val="NormalWeb"/>
        <w:rPr>
          <w:rFonts w:asciiTheme="minorHAnsi" w:hAnsiTheme="minorHAnsi"/>
          <w:b/>
          <w:sz w:val="22"/>
          <w:szCs w:val="22"/>
        </w:rPr>
      </w:pPr>
      <w:r w:rsidRPr="0076221C">
        <w:rPr>
          <w:rFonts w:asciiTheme="minorHAnsi" w:hAnsiTheme="minorHAnsi"/>
          <w:b/>
          <w:sz w:val="22"/>
          <w:szCs w:val="22"/>
        </w:rPr>
        <w:t xml:space="preserve">Summary </w:t>
      </w:r>
    </w:p>
    <w:p w14:paraId="08B39D21" w14:textId="77777777" w:rsidR="001E42BB" w:rsidRPr="0076221C" w:rsidRDefault="00E12E4D" w:rsidP="00CD0BAA">
      <w:pPr>
        <w:pStyle w:val="NormalWeb"/>
        <w:rPr>
          <w:rFonts w:asciiTheme="minorHAnsi" w:hAnsiTheme="minorHAnsi"/>
          <w:sz w:val="22"/>
          <w:szCs w:val="22"/>
        </w:rPr>
      </w:pPr>
      <w:r w:rsidRPr="0076221C">
        <w:rPr>
          <w:rFonts w:asciiTheme="minorHAnsi" w:hAnsiTheme="minorHAnsi"/>
          <w:sz w:val="22"/>
          <w:szCs w:val="22"/>
        </w:rPr>
        <w:t>This Session,</w:t>
      </w:r>
      <w:r w:rsidR="00CD0BAA" w:rsidRPr="0076221C">
        <w:rPr>
          <w:rFonts w:asciiTheme="minorHAnsi" w:hAnsiTheme="minorHAnsi"/>
          <w:sz w:val="22"/>
          <w:szCs w:val="22"/>
        </w:rPr>
        <w:t xml:space="preserve"> organised by the Internet Corporation for Assigned Names and Numbers (ICANN) Cross Community Working Group on Internet Governance (CCWG-IG)</w:t>
      </w:r>
      <w:r w:rsidRPr="0076221C">
        <w:rPr>
          <w:rFonts w:asciiTheme="minorHAnsi" w:hAnsiTheme="minorHAnsi"/>
          <w:sz w:val="22"/>
          <w:szCs w:val="22"/>
        </w:rPr>
        <w:t xml:space="preserve">, was </w:t>
      </w:r>
      <w:r w:rsidR="009B5F83" w:rsidRPr="0076221C">
        <w:rPr>
          <w:rFonts w:asciiTheme="minorHAnsi" w:hAnsiTheme="minorHAnsi"/>
          <w:sz w:val="22"/>
          <w:szCs w:val="22"/>
        </w:rPr>
        <w:t>entirely focussed</w:t>
      </w:r>
      <w:r w:rsidR="00CD0BAA" w:rsidRPr="0076221C">
        <w:rPr>
          <w:rFonts w:asciiTheme="minorHAnsi" w:hAnsiTheme="minorHAnsi"/>
          <w:sz w:val="22"/>
          <w:szCs w:val="22"/>
        </w:rPr>
        <w:t xml:space="preserve"> on the work of the </w:t>
      </w:r>
      <w:r w:rsidR="009B5F83" w:rsidRPr="0076221C">
        <w:rPr>
          <w:rFonts w:asciiTheme="minorHAnsi" w:hAnsiTheme="minorHAnsi"/>
          <w:sz w:val="22"/>
          <w:szCs w:val="22"/>
        </w:rPr>
        <w:t>ICANN Community in developing policy and regulatory measures to ensure that contracted Registries and R</w:t>
      </w:r>
      <w:r w:rsidR="00CD0BAA" w:rsidRPr="0076221C">
        <w:rPr>
          <w:rFonts w:asciiTheme="minorHAnsi" w:hAnsiTheme="minorHAnsi"/>
          <w:sz w:val="22"/>
          <w:szCs w:val="22"/>
        </w:rPr>
        <w:t xml:space="preserve">egistrars are compliant with the European Union’s </w:t>
      </w:r>
      <w:r w:rsidR="009B5F83" w:rsidRPr="0076221C">
        <w:rPr>
          <w:rFonts w:asciiTheme="minorHAnsi" w:hAnsiTheme="minorHAnsi"/>
          <w:sz w:val="22"/>
          <w:szCs w:val="22"/>
        </w:rPr>
        <w:t xml:space="preserve">(EU) </w:t>
      </w:r>
      <w:r w:rsidR="00CD0BAA" w:rsidRPr="0076221C">
        <w:rPr>
          <w:rFonts w:asciiTheme="minorHAnsi" w:hAnsiTheme="minorHAnsi"/>
          <w:sz w:val="22"/>
          <w:szCs w:val="22"/>
        </w:rPr>
        <w:t xml:space="preserve">General Data Protection Regulation (GDPR) which came into force in May 2018. </w:t>
      </w:r>
      <w:r w:rsidR="009B5F83" w:rsidRPr="0076221C">
        <w:rPr>
          <w:rFonts w:asciiTheme="minorHAnsi" w:hAnsiTheme="minorHAnsi"/>
          <w:sz w:val="22"/>
          <w:szCs w:val="22"/>
        </w:rPr>
        <w:t>As such it primarily concentrated on the</w:t>
      </w:r>
      <w:r w:rsidR="00EC13AC" w:rsidRPr="0076221C">
        <w:rPr>
          <w:rFonts w:asciiTheme="minorHAnsi" w:hAnsiTheme="minorHAnsi"/>
          <w:sz w:val="22"/>
          <w:szCs w:val="22"/>
        </w:rPr>
        <w:t xml:space="preserve"> ongoing </w:t>
      </w:r>
      <w:r w:rsidR="00EC13AC" w:rsidRPr="0076221C">
        <w:rPr>
          <w:rFonts w:asciiTheme="minorHAnsi" w:hAnsiTheme="minorHAnsi"/>
          <w:sz w:val="22"/>
          <w:szCs w:val="22"/>
        </w:rPr>
        <w:t>Expedited Policy</w:t>
      </w:r>
      <w:r w:rsidR="00EC13AC" w:rsidRPr="0076221C">
        <w:rPr>
          <w:rFonts w:asciiTheme="minorHAnsi" w:hAnsiTheme="minorHAnsi"/>
          <w:sz w:val="22"/>
          <w:szCs w:val="22"/>
        </w:rPr>
        <w:t xml:space="preserve"> Development Process (EPDP). </w:t>
      </w:r>
      <w:r w:rsidR="001E42BB" w:rsidRPr="0076221C">
        <w:rPr>
          <w:rFonts w:asciiTheme="minorHAnsi" w:hAnsiTheme="minorHAnsi"/>
          <w:sz w:val="22"/>
          <w:szCs w:val="22"/>
        </w:rPr>
        <w:t xml:space="preserve">     </w:t>
      </w:r>
    </w:p>
    <w:p w14:paraId="6D9FB4C1" w14:textId="60376042" w:rsidR="00CD0BAA" w:rsidRPr="0076221C" w:rsidRDefault="00CD0BAA" w:rsidP="00CD0BAA">
      <w:pPr>
        <w:pStyle w:val="NormalWeb"/>
        <w:rPr>
          <w:rFonts w:asciiTheme="minorHAnsi" w:hAnsiTheme="minorHAnsi"/>
          <w:sz w:val="22"/>
          <w:szCs w:val="22"/>
        </w:rPr>
      </w:pPr>
      <w:r w:rsidRPr="0076221C">
        <w:rPr>
          <w:rFonts w:asciiTheme="minorHAnsi" w:hAnsiTheme="minorHAnsi"/>
          <w:sz w:val="22"/>
          <w:szCs w:val="22"/>
        </w:rPr>
        <w:t>The session was moderated by (Chair, CCWG-IG</w:t>
      </w:r>
      <w:r w:rsidR="0076221C">
        <w:rPr>
          <w:rFonts w:asciiTheme="minorHAnsi" w:hAnsiTheme="minorHAnsi"/>
          <w:sz w:val="22"/>
          <w:szCs w:val="22"/>
        </w:rPr>
        <w:t>)</w:t>
      </w:r>
      <w:r w:rsidR="00012407" w:rsidRPr="0076221C">
        <w:rPr>
          <w:rStyle w:val="Strong"/>
          <w:rFonts w:asciiTheme="minorHAnsi" w:hAnsiTheme="minorHAnsi"/>
          <w:sz w:val="22"/>
          <w:szCs w:val="22"/>
        </w:rPr>
        <w:t xml:space="preserve"> Olivier Crepin-Leblond</w:t>
      </w:r>
      <w:r w:rsidR="006D68FF">
        <w:rPr>
          <w:rStyle w:val="Strong"/>
          <w:rFonts w:asciiTheme="minorHAnsi" w:hAnsiTheme="minorHAnsi"/>
          <w:sz w:val="22"/>
          <w:szCs w:val="22"/>
        </w:rPr>
        <w:t>.</w:t>
      </w:r>
    </w:p>
    <w:p w14:paraId="22E6520B" w14:textId="77777777" w:rsidR="001E42BB" w:rsidRPr="0076221C" w:rsidRDefault="001E42BB" w:rsidP="00CD0BAA">
      <w:pPr>
        <w:pStyle w:val="NormalWeb"/>
        <w:rPr>
          <w:rFonts w:asciiTheme="minorHAnsi" w:hAnsiTheme="minorHAnsi"/>
          <w:sz w:val="22"/>
          <w:szCs w:val="22"/>
        </w:rPr>
      </w:pPr>
    </w:p>
    <w:p w14:paraId="2FBDACB3" w14:textId="11AF32A7" w:rsidR="001E42BB" w:rsidRPr="0076221C" w:rsidRDefault="001E42BB" w:rsidP="00CD0BAA">
      <w:pPr>
        <w:pStyle w:val="NormalWeb"/>
        <w:rPr>
          <w:rFonts w:asciiTheme="minorHAnsi" w:hAnsiTheme="minorHAnsi"/>
          <w:b/>
          <w:sz w:val="22"/>
          <w:szCs w:val="22"/>
        </w:rPr>
      </w:pPr>
      <w:r w:rsidRPr="0076221C">
        <w:rPr>
          <w:rFonts w:asciiTheme="minorHAnsi" w:hAnsiTheme="minorHAnsi"/>
          <w:b/>
          <w:sz w:val="22"/>
          <w:szCs w:val="22"/>
        </w:rPr>
        <w:t>Detail</w:t>
      </w:r>
    </w:p>
    <w:p w14:paraId="1A971DC8" w14:textId="78F34B9A" w:rsidR="001E42BB" w:rsidRPr="0076221C" w:rsidRDefault="001E42BB" w:rsidP="00CD0BAA">
      <w:pPr>
        <w:pStyle w:val="NormalWeb"/>
        <w:rPr>
          <w:rFonts w:asciiTheme="minorHAnsi" w:hAnsiTheme="minorHAnsi"/>
          <w:sz w:val="22"/>
          <w:szCs w:val="22"/>
        </w:rPr>
      </w:pPr>
      <w:r w:rsidRPr="0076221C">
        <w:rPr>
          <w:rFonts w:asciiTheme="minorHAnsi" w:hAnsiTheme="minorHAnsi"/>
          <w:sz w:val="22"/>
          <w:szCs w:val="22"/>
        </w:rPr>
        <w:t>In his introduction, the Moderator</w:t>
      </w:r>
      <w:r w:rsidR="0076221C">
        <w:rPr>
          <w:rFonts w:asciiTheme="minorHAnsi" w:hAnsiTheme="minorHAnsi"/>
          <w:sz w:val="22"/>
          <w:szCs w:val="22"/>
        </w:rPr>
        <w:t>,</w:t>
      </w:r>
      <w:r w:rsidRPr="0076221C">
        <w:rPr>
          <w:rStyle w:val="Strong"/>
          <w:rFonts w:asciiTheme="minorHAnsi" w:hAnsiTheme="minorHAnsi"/>
          <w:sz w:val="22"/>
          <w:szCs w:val="22"/>
        </w:rPr>
        <w:t xml:space="preserve"> Olivier Crepin-Leblond</w:t>
      </w:r>
      <w:r w:rsidRPr="0076221C">
        <w:rPr>
          <w:rStyle w:val="Strong"/>
          <w:rFonts w:asciiTheme="minorHAnsi" w:hAnsiTheme="minorHAnsi"/>
          <w:sz w:val="22"/>
          <w:szCs w:val="22"/>
        </w:rPr>
        <w:t xml:space="preserve"> </w:t>
      </w:r>
      <w:r w:rsidRPr="0076221C">
        <w:rPr>
          <w:rStyle w:val="Strong"/>
          <w:rFonts w:asciiTheme="minorHAnsi" w:hAnsiTheme="minorHAnsi"/>
          <w:b w:val="0"/>
          <w:sz w:val="22"/>
          <w:szCs w:val="22"/>
        </w:rPr>
        <w:t>gave a brief overview of the ICANN structure (the three entities of the Organisation (staff); Board and Community) and what a policy development process was. He also briefly discussed the genesis of the EU’s GDPR (developed and negotiated over a number of years) and why it had an effect on ICANN’s work, noting the extra-territorial affect it had given that many overseas Registri</w:t>
      </w:r>
      <w:r w:rsidR="008E0177">
        <w:rPr>
          <w:rStyle w:val="Strong"/>
          <w:rFonts w:asciiTheme="minorHAnsi" w:hAnsiTheme="minorHAnsi"/>
          <w:b w:val="0"/>
          <w:sz w:val="22"/>
          <w:szCs w:val="22"/>
        </w:rPr>
        <w:t>es and Registrars processed</w:t>
      </w:r>
      <w:r w:rsidRPr="0076221C">
        <w:rPr>
          <w:rStyle w:val="Strong"/>
          <w:rFonts w:asciiTheme="minorHAnsi" w:hAnsiTheme="minorHAnsi"/>
          <w:b w:val="0"/>
          <w:sz w:val="22"/>
          <w:szCs w:val="22"/>
        </w:rPr>
        <w:t xml:space="preserve"> personal data of European residents. He briefly touched on the “WHOIS” – essentially a distributed database on which generic domain names issues were linked to their owner – and how it was affected by the implementation of the GDPR. </w:t>
      </w:r>
    </w:p>
    <w:p w14:paraId="325E3176" w14:textId="5ACA3EBA" w:rsidR="00CD0BAA" w:rsidRPr="0076221C" w:rsidRDefault="00CD0BAA" w:rsidP="00CD0BAA">
      <w:pPr>
        <w:pStyle w:val="NormalWeb"/>
        <w:rPr>
          <w:rFonts w:asciiTheme="minorHAnsi" w:hAnsiTheme="minorHAnsi"/>
          <w:sz w:val="22"/>
          <w:szCs w:val="22"/>
        </w:rPr>
      </w:pPr>
      <w:r w:rsidRPr="0076221C">
        <w:rPr>
          <w:rStyle w:val="Strong"/>
          <w:rFonts w:asciiTheme="minorHAnsi" w:hAnsiTheme="minorHAnsi"/>
          <w:sz w:val="22"/>
          <w:szCs w:val="22"/>
        </w:rPr>
        <w:t>Keith Drazek</w:t>
      </w:r>
      <w:r w:rsidRPr="0076221C">
        <w:rPr>
          <w:rFonts w:asciiTheme="minorHAnsi" w:hAnsiTheme="minorHAnsi"/>
          <w:sz w:val="22"/>
          <w:szCs w:val="22"/>
        </w:rPr>
        <w:t xml:space="preserve"> (Chair, Council of the Generic Name Supporting Organisation (GNSO), ICANN) spoke abou</w:t>
      </w:r>
      <w:r w:rsidR="00F50785" w:rsidRPr="0076221C">
        <w:rPr>
          <w:rFonts w:asciiTheme="minorHAnsi" w:hAnsiTheme="minorHAnsi"/>
          <w:sz w:val="22"/>
          <w:szCs w:val="22"/>
        </w:rPr>
        <w:t>t the role of the GNSO –</w:t>
      </w:r>
      <w:r w:rsidR="008E0177">
        <w:rPr>
          <w:rFonts w:asciiTheme="minorHAnsi" w:hAnsiTheme="minorHAnsi"/>
          <w:sz w:val="22"/>
          <w:szCs w:val="22"/>
        </w:rPr>
        <w:t xml:space="preserve"> a</w:t>
      </w:r>
      <w:r w:rsidR="00F50785" w:rsidRPr="0076221C">
        <w:rPr>
          <w:rFonts w:asciiTheme="minorHAnsi" w:hAnsiTheme="minorHAnsi"/>
          <w:sz w:val="22"/>
          <w:szCs w:val="22"/>
        </w:rPr>
        <w:t xml:space="preserve"> body made up of a number of stakeholders including civil society representatives, businesses, registries and registrars - </w:t>
      </w:r>
      <w:r w:rsidRPr="0076221C">
        <w:rPr>
          <w:rFonts w:asciiTheme="minorHAnsi" w:hAnsiTheme="minorHAnsi"/>
          <w:sz w:val="22"/>
          <w:szCs w:val="22"/>
        </w:rPr>
        <w:t xml:space="preserve"> within ICANN that is responsible for policy development regarding generic Top-Level Domains (gTLD). He noted the </w:t>
      </w:r>
      <w:r w:rsidR="00F50785" w:rsidRPr="0076221C">
        <w:rPr>
          <w:rFonts w:asciiTheme="minorHAnsi" w:hAnsiTheme="minorHAnsi"/>
          <w:sz w:val="22"/>
          <w:szCs w:val="22"/>
        </w:rPr>
        <w:t>importance of the GNSO</w:t>
      </w:r>
      <w:r w:rsidRPr="0076221C">
        <w:rPr>
          <w:rFonts w:asciiTheme="minorHAnsi" w:hAnsiTheme="minorHAnsi"/>
          <w:sz w:val="22"/>
          <w:szCs w:val="22"/>
        </w:rPr>
        <w:t xml:space="preserve">, </w:t>
      </w:r>
      <w:r w:rsidR="00F50785" w:rsidRPr="0076221C">
        <w:rPr>
          <w:rFonts w:asciiTheme="minorHAnsi" w:hAnsiTheme="minorHAnsi"/>
          <w:sz w:val="22"/>
          <w:szCs w:val="22"/>
        </w:rPr>
        <w:t xml:space="preserve">in this context, </w:t>
      </w:r>
      <w:r w:rsidRPr="0076221C">
        <w:rPr>
          <w:rFonts w:asciiTheme="minorHAnsi" w:hAnsiTheme="minorHAnsi"/>
          <w:sz w:val="22"/>
          <w:szCs w:val="22"/>
        </w:rPr>
        <w:t>given that registrars and registries have contracts with ICANN and are bound by the policies developed by the GNSO.</w:t>
      </w:r>
    </w:p>
    <w:p w14:paraId="629C515C" w14:textId="0C3D8D5D" w:rsidR="00CF7430" w:rsidRPr="0076221C" w:rsidRDefault="00012407" w:rsidP="00CD0BAA">
      <w:pPr>
        <w:pStyle w:val="NormalWeb"/>
        <w:rPr>
          <w:rFonts w:asciiTheme="minorHAnsi" w:hAnsiTheme="minorHAnsi"/>
          <w:sz w:val="22"/>
          <w:szCs w:val="22"/>
        </w:rPr>
      </w:pPr>
      <w:r w:rsidRPr="0076221C">
        <w:rPr>
          <w:rFonts w:asciiTheme="minorHAnsi" w:hAnsiTheme="minorHAnsi"/>
          <w:sz w:val="22"/>
          <w:szCs w:val="22"/>
        </w:rPr>
        <w:t>Keith</w:t>
      </w:r>
      <w:r w:rsidR="00CD0BAA" w:rsidRPr="0076221C">
        <w:rPr>
          <w:rFonts w:asciiTheme="minorHAnsi" w:hAnsiTheme="minorHAnsi"/>
          <w:sz w:val="22"/>
          <w:szCs w:val="22"/>
        </w:rPr>
        <w:t xml:space="preserve"> explained that ICANN </w:t>
      </w:r>
      <w:r w:rsidR="00F50785" w:rsidRPr="0076221C">
        <w:rPr>
          <w:rFonts w:asciiTheme="minorHAnsi" w:hAnsiTheme="minorHAnsi"/>
          <w:sz w:val="22"/>
          <w:szCs w:val="22"/>
        </w:rPr>
        <w:t xml:space="preserve">(through a direction of the Board) had </w:t>
      </w:r>
      <w:r w:rsidR="00CD0BAA" w:rsidRPr="0076221C">
        <w:rPr>
          <w:rFonts w:asciiTheme="minorHAnsi" w:hAnsiTheme="minorHAnsi"/>
          <w:sz w:val="22"/>
          <w:szCs w:val="22"/>
        </w:rPr>
        <w:t xml:space="preserve">issued a </w:t>
      </w:r>
      <w:r w:rsidR="00F50785" w:rsidRPr="0076221C">
        <w:rPr>
          <w:rFonts w:asciiTheme="minorHAnsi" w:hAnsiTheme="minorHAnsi"/>
          <w:sz w:val="22"/>
          <w:szCs w:val="22"/>
        </w:rPr>
        <w:t>“</w:t>
      </w:r>
      <w:r w:rsidR="00CD0BAA" w:rsidRPr="0076221C">
        <w:rPr>
          <w:rFonts w:asciiTheme="minorHAnsi" w:hAnsiTheme="minorHAnsi"/>
          <w:sz w:val="22"/>
          <w:szCs w:val="22"/>
        </w:rPr>
        <w:t>Temporary Specification</w:t>
      </w:r>
      <w:r w:rsidR="00F50785" w:rsidRPr="0076221C">
        <w:rPr>
          <w:rFonts w:asciiTheme="minorHAnsi" w:hAnsiTheme="minorHAnsi"/>
          <w:sz w:val="22"/>
          <w:szCs w:val="22"/>
        </w:rPr>
        <w:t>”</w:t>
      </w:r>
      <w:r w:rsidR="00CD0BAA" w:rsidRPr="0076221C">
        <w:rPr>
          <w:rFonts w:asciiTheme="minorHAnsi" w:hAnsiTheme="minorHAnsi"/>
          <w:sz w:val="22"/>
          <w:szCs w:val="22"/>
        </w:rPr>
        <w:t xml:space="preserve"> in May 2018 in</w:t>
      </w:r>
      <w:r w:rsidR="00F50785" w:rsidRPr="0076221C">
        <w:rPr>
          <w:rFonts w:asciiTheme="minorHAnsi" w:hAnsiTheme="minorHAnsi"/>
          <w:sz w:val="22"/>
          <w:szCs w:val="22"/>
        </w:rPr>
        <w:t xml:space="preserve"> ensuring that (pursuant to legal advice received and discussions with European lawmakers) that the contracted registries and registrars were in compliance with</w:t>
      </w:r>
      <w:r w:rsidR="00CD0BAA" w:rsidRPr="0076221C">
        <w:rPr>
          <w:rFonts w:asciiTheme="minorHAnsi" w:hAnsiTheme="minorHAnsi"/>
          <w:sz w:val="22"/>
          <w:szCs w:val="22"/>
        </w:rPr>
        <w:t xml:space="preserve"> the GDPR which came into effect in the same month. </w:t>
      </w:r>
      <w:r w:rsidRPr="0076221C">
        <w:rPr>
          <w:rFonts w:asciiTheme="minorHAnsi" w:hAnsiTheme="minorHAnsi"/>
          <w:sz w:val="22"/>
          <w:szCs w:val="22"/>
        </w:rPr>
        <w:t xml:space="preserve">He </w:t>
      </w:r>
      <w:r w:rsidR="00CD0BAA" w:rsidRPr="0076221C">
        <w:rPr>
          <w:rFonts w:asciiTheme="minorHAnsi" w:hAnsiTheme="minorHAnsi"/>
          <w:sz w:val="22"/>
          <w:szCs w:val="22"/>
        </w:rPr>
        <w:t xml:space="preserve">noted that </w:t>
      </w:r>
      <w:r w:rsidR="00F50785" w:rsidRPr="0076221C">
        <w:rPr>
          <w:rFonts w:asciiTheme="minorHAnsi" w:hAnsiTheme="minorHAnsi"/>
          <w:sz w:val="22"/>
          <w:szCs w:val="22"/>
        </w:rPr>
        <w:t>a Temporary Specification is</w:t>
      </w:r>
      <w:r w:rsidR="00CD0BAA" w:rsidRPr="0076221C">
        <w:rPr>
          <w:rFonts w:asciiTheme="minorHAnsi" w:hAnsiTheme="minorHAnsi"/>
          <w:sz w:val="22"/>
          <w:szCs w:val="22"/>
        </w:rPr>
        <w:t xml:space="preserve"> only</w:t>
      </w:r>
      <w:r w:rsidR="008E0177">
        <w:rPr>
          <w:rFonts w:asciiTheme="minorHAnsi" w:hAnsiTheme="minorHAnsi"/>
          <w:sz w:val="22"/>
          <w:szCs w:val="22"/>
        </w:rPr>
        <w:t xml:space="preserve"> </w:t>
      </w:r>
      <w:r w:rsidR="00F50785" w:rsidRPr="0076221C">
        <w:rPr>
          <w:rFonts w:asciiTheme="minorHAnsi" w:hAnsiTheme="minorHAnsi"/>
          <w:sz w:val="22"/>
          <w:szCs w:val="22"/>
        </w:rPr>
        <w:t>valid for 12 months before it is</w:t>
      </w:r>
      <w:r w:rsidR="00CD0BAA" w:rsidRPr="0076221C">
        <w:rPr>
          <w:rFonts w:asciiTheme="minorHAnsi" w:hAnsiTheme="minorHAnsi"/>
          <w:sz w:val="22"/>
          <w:szCs w:val="22"/>
        </w:rPr>
        <w:t xml:space="preserve"> either replaced</w:t>
      </w:r>
      <w:r w:rsidR="00F50785" w:rsidRPr="0076221C">
        <w:rPr>
          <w:rFonts w:asciiTheme="minorHAnsi" w:hAnsiTheme="minorHAnsi"/>
          <w:sz w:val="22"/>
          <w:szCs w:val="22"/>
        </w:rPr>
        <w:t xml:space="preserve"> (with a permanent policy solution)</w:t>
      </w:r>
      <w:r w:rsidR="00CD0BAA" w:rsidRPr="0076221C">
        <w:rPr>
          <w:rFonts w:asciiTheme="minorHAnsi" w:hAnsiTheme="minorHAnsi"/>
          <w:sz w:val="22"/>
          <w:szCs w:val="22"/>
        </w:rPr>
        <w:t xml:space="preserve">, adapted to new regulatory circumstances, or simply </w:t>
      </w:r>
      <w:r w:rsidR="00F50785" w:rsidRPr="0076221C">
        <w:rPr>
          <w:rFonts w:asciiTheme="minorHAnsi" w:hAnsiTheme="minorHAnsi"/>
          <w:sz w:val="22"/>
          <w:szCs w:val="22"/>
        </w:rPr>
        <w:t>removed</w:t>
      </w:r>
      <w:r w:rsidR="00CF7430" w:rsidRPr="0076221C">
        <w:rPr>
          <w:rFonts w:asciiTheme="minorHAnsi" w:hAnsiTheme="minorHAnsi"/>
          <w:sz w:val="22"/>
          <w:szCs w:val="22"/>
        </w:rPr>
        <w:t xml:space="preserve">. The Board had thus requested the GNSO to initiate </w:t>
      </w:r>
      <w:r w:rsidR="00CD0BAA" w:rsidRPr="0076221C">
        <w:rPr>
          <w:rFonts w:asciiTheme="minorHAnsi" w:hAnsiTheme="minorHAnsi"/>
          <w:sz w:val="22"/>
          <w:szCs w:val="22"/>
        </w:rPr>
        <w:t>a</w:t>
      </w:r>
      <w:r w:rsidR="00CF7430" w:rsidRPr="0076221C">
        <w:rPr>
          <w:rFonts w:asciiTheme="minorHAnsi" w:hAnsiTheme="minorHAnsi"/>
          <w:sz w:val="22"/>
          <w:szCs w:val="22"/>
        </w:rPr>
        <w:t xml:space="preserve"> policy process to ensure that after 12 months the contracted parties were still subject to rules in compliance with the GDPR in terms of their collection and publication of personal registrant data on the WHOIS.  Thus</w:t>
      </w:r>
      <w:r w:rsidRPr="0076221C">
        <w:rPr>
          <w:rFonts w:asciiTheme="minorHAnsi" w:hAnsiTheme="minorHAnsi"/>
          <w:sz w:val="22"/>
          <w:szCs w:val="22"/>
        </w:rPr>
        <w:t>,</w:t>
      </w:r>
      <w:r w:rsidR="00CF7430" w:rsidRPr="0076221C">
        <w:rPr>
          <w:rFonts w:asciiTheme="minorHAnsi" w:hAnsiTheme="minorHAnsi"/>
          <w:sz w:val="22"/>
          <w:szCs w:val="22"/>
        </w:rPr>
        <w:t xml:space="preserve"> the </w:t>
      </w:r>
      <w:r w:rsidR="00CD0BAA" w:rsidRPr="0076221C">
        <w:rPr>
          <w:rFonts w:asciiTheme="minorHAnsi" w:hAnsiTheme="minorHAnsi"/>
          <w:sz w:val="22"/>
          <w:szCs w:val="22"/>
        </w:rPr>
        <w:t xml:space="preserve">GNSO </w:t>
      </w:r>
      <w:r w:rsidR="00CF7430" w:rsidRPr="0076221C">
        <w:rPr>
          <w:rFonts w:asciiTheme="minorHAnsi" w:hAnsiTheme="minorHAnsi"/>
          <w:sz w:val="22"/>
          <w:szCs w:val="22"/>
        </w:rPr>
        <w:t>C</w:t>
      </w:r>
      <w:r w:rsidR="00CD0BAA" w:rsidRPr="0076221C">
        <w:rPr>
          <w:rFonts w:asciiTheme="minorHAnsi" w:hAnsiTheme="minorHAnsi"/>
          <w:sz w:val="22"/>
          <w:szCs w:val="22"/>
        </w:rPr>
        <w:t>ouncil had 12 month</w:t>
      </w:r>
      <w:r w:rsidR="008E0177">
        <w:rPr>
          <w:rFonts w:asciiTheme="minorHAnsi" w:hAnsiTheme="minorHAnsi"/>
          <w:sz w:val="22"/>
          <w:szCs w:val="22"/>
        </w:rPr>
        <w:t>s</w:t>
      </w:r>
      <w:r w:rsidR="00CD0BAA" w:rsidRPr="0076221C">
        <w:rPr>
          <w:rFonts w:asciiTheme="minorHAnsi" w:hAnsiTheme="minorHAnsi"/>
          <w:sz w:val="22"/>
          <w:szCs w:val="22"/>
        </w:rPr>
        <w:t xml:space="preserve"> to develop a new regulation which they </w:t>
      </w:r>
      <w:r w:rsidR="00CF7430" w:rsidRPr="0076221C">
        <w:rPr>
          <w:rFonts w:asciiTheme="minorHAnsi" w:hAnsiTheme="minorHAnsi"/>
          <w:sz w:val="22"/>
          <w:szCs w:val="22"/>
        </w:rPr>
        <w:t>initiated through</w:t>
      </w:r>
      <w:r w:rsidR="00CD0BAA" w:rsidRPr="0076221C">
        <w:rPr>
          <w:rFonts w:asciiTheme="minorHAnsi" w:hAnsiTheme="minorHAnsi"/>
          <w:sz w:val="22"/>
          <w:szCs w:val="22"/>
        </w:rPr>
        <w:t xml:space="preserve"> introducing a charter for the</w:t>
      </w:r>
      <w:r w:rsidR="00CF7430" w:rsidRPr="0076221C">
        <w:rPr>
          <w:rFonts w:asciiTheme="minorHAnsi" w:hAnsiTheme="minorHAnsi"/>
          <w:sz w:val="22"/>
          <w:szCs w:val="22"/>
        </w:rPr>
        <w:t xml:space="preserve"> (so-called) Expedited </w:t>
      </w:r>
      <w:r w:rsidR="00984A8F" w:rsidRPr="0076221C">
        <w:rPr>
          <w:rFonts w:asciiTheme="minorHAnsi" w:hAnsiTheme="minorHAnsi"/>
          <w:sz w:val="22"/>
          <w:szCs w:val="22"/>
        </w:rPr>
        <w:t xml:space="preserve">Policy Development Process </w:t>
      </w:r>
      <w:r w:rsidR="00CF7430" w:rsidRPr="0076221C">
        <w:rPr>
          <w:rFonts w:asciiTheme="minorHAnsi" w:hAnsiTheme="minorHAnsi"/>
          <w:sz w:val="22"/>
          <w:szCs w:val="22"/>
        </w:rPr>
        <w:t>(</w:t>
      </w:r>
      <w:r w:rsidR="00CD0BAA" w:rsidRPr="0076221C">
        <w:rPr>
          <w:rFonts w:asciiTheme="minorHAnsi" w:hAnsiTheme="minorHAnsi"/>
          <w:sz w:val="22"/>
          <w:szCs w:val="22"/>
        </w:rPr>
        <w:t>EPDP</w:t>
      </w:r>
      <w:r w:rsidR="00CF7430" w:rsidRPr="0076221C">
        <w:rPr>
          <w:rFonts w:asciiTheme="minorHAnsi" w:hAnsiTheme="minorHAnsi"/>
          <w:sz w:val="22"/>
          <w:szCs w:val="22"/>
        </w:rPr>
        <w:t>)</w:t>
      </w:r>
      <w:r w:rsidR="00CD0BAA" w:rsidRPr="0076221C">
        <w:rPr>
          <w:rFonts w:asciiTheme="minorHAnsi" w:hAnsiTheme="minorHAnsi"/>
          <w:sz w:val="22"/>
          <w:szCs w:val="22"/>
        </w:rPr>
        <w:t xml:space="preserve">. </w:t>
      </w:r>
    </w:p>
    <w:p w14:paraId="21EA19EE" w14:textId="1D3BC9DE" w:rsidR="00CD0BAA" w:rsidRPr="0076221C" w:rsidRDefault="00CD0BAA" w:rsidP="00CD0BAA">
      <w:pPr>
        <w:pStyle w:val="NormalWeb"/>
        <w:rPr>
          <w:rFonts w:asciiTheme="minorHAnsi" w:hAnsiTheme="minorHAnsi"/>
          <w:sz w:val="22"/>
          <w:szCs w:val="22"/>
        </w:rPr>
      </w:pPr>
      <w:r w:rsidRPr="0076221C">
        <w:rPr>
          <w:rFonts w:asciiTheme="minorHAnsi" w:hAnsiTheme="minorHAnsi"/>
          <w:sz w:val="22"/>
          <w:szCs w:val="22"/>
        </w:rPr>
        <w:t xml:space="preserve">Additionally, the </w:t>
      </w:r>
      <w:r w:rsidR="00CF7430" w:rsidRPr="0076221C">
        <w:rPr>
          <w:rFonts w:asciiTheme="minorHAnsi" w:hAnsiTheme="minorHAnsi"/>
          <w:sz w:val="22"/>
          <w:szCs w:val="22"/>
        </w:rPr>
        <w:t>C</w:t>
      </w:r>
      <w:r w:rsidRPr="0076221C">
        <w:rPr>
          <w:rFonts w:asciiTheme="minorHAnsi" w:hAnsiTheme="minorHAnsi"/>
          <w:sz w:val="22"/>
          <w:szCs w:val="22"/>
        </w:rPr>
        <w:t>ouncil decided to work in two phases. The first phase related to confirming, or not, the Temporary Specification as a Consensus Policy by 25 May 2019</w:t>
      </w:r>
      <w:r w:rsidR="00984A8F" w:rsidRPr="0076221C">
        <w:rPr>
          <w:rFonts w:asciiTheme="minorHAnsi" w:hAnsiTheme="minorHAnsi"/>
          <w:sz w:val="22"/>
          <w:szCs w:val="22"/>
        </w:rPr>
        <w:t>; while the</w:t>
      </w:r>
      <w:r w:rsidR="008E0177">
        <w:rPr>
          <w:rFonts w:asciiTheme="minorHAnsi" w:hAnsiTheme="minorHAnsi"/>
          <w:sz w:val="22"/>
          <w:szCs w:val="22"/>
        </w:rPr>
        <w:t xml:space="preserve"> second phase would</w:t>
      </w:r>
      <w:r w:rsidRPr="0076221C">
        <w:rPr>
          <w:rFonts w:asciiTheme="minorHAnsi" w:hAnsiTheme="minorHAnsi"/>
          <w:sz w:val="22"/>
          <w:szCs w:val="22"/>
        </w:rPr>
        <w:t xml:space="preserve"> look into the related policy recommendations and discuss a standardised access model to non-public registration data</w:t>
      </w:r>
      <w:r w:rsidR="00984A8F" w:rsidRPr="0076221C">
        <w:rPr>
          <w:rFonts w:asciiTheme="minorHAnsi" w:hAnsiTheme="minorHAnsi"/>
          <w:sz w:val="22"/>
          <w:szCs w:val="22"/>
        </w:rPr>
        <w:t xml:space="preserve"> held in the WHOIS</w:t>
      </w:r>
      <w:r w:rsidRPr="0076221C">
        <w:rPr>
          <w:rFonts w:asciiTheme="minorHAnsi" w:hAnsiTheme="minorHAnsi"/>
          <w:sz w:val="22"/>
          <w:szCs w:val="22"/>
        </w:rPr>
        <w:t>.</w:t>
      </w:r>
    </w:p>
    <w:p w14:paraId="2CF17B55" w14:textId="77777777" w:rsidR="00CD0BAA" w:rsidRPr="0076221C" w:rsidRDefault="00CD0BAA" w:rsidP="00CD0BAA">
      <w:pPr>
        <w:pStyle w:val="NormalWeb"/>
        <w:rPr>
          <w:rFonts w:asciiTheme="minorHAnsi" w:hAnsiTheme="minorHAnsi"/>
          <w:sz w:val="22"/>
          <w:szCs w:val="22"/>
        </w:rPr>
      </w:pPr>
      <w:r w:rsidRPr="0076221C">
        <w:rPr>
          <w:rStyle w:val="Strong"/>
          <w:rFonts w:asciiTheme="minorHAnsi" w:hAnsiTheme="minorHAnsi"/>
          <w:sz w:val="22"/>
          <w:szCs w:val="22"/>
        </w:rPr>
        <w:lastRenderedPageBreak/>
        <w:t>Kurt Pritz</w:t>
      </w:r>
      <w:r w:rsidRPr="0076221C">
        <w:rPr>
          <w:rFonts w:asciiTheme="minorHAnsi" w:hAnsiTheme="minorHAnsi"/>
          <w:sz w:val="22"/>
          <w:szCs w:val="22"/>
        </w:rPr>
        <w:t xml:space="preserve"> (Former Chair</w:t>
      </w:r>
      <w:r w:rsidR="00984A8F" w:rsidRPr="0076221C">
        <w:rPr>
          <w:rFonts w:asciiTheme="minorHAnsi" w:hAnsiTheme="minorHAnsi"/>
          <w:sz w:val="22"/>
          <w:szCs w:val="22"/>
        </w:rPr>
        <w:t xml:space="preserve"> of the EPDP</w:t>
      </w:r>
      <w:r w:rsidRPr="0076221C">
        <w:rPr>
          <w:rFonts w:asciiTheme="minorHAnsi" w:hAnsiTheme="minorHAnsi"/>
          <w:sz w:val="22"/>
          <w:szCs w:val="22"/>
        </w:rPr>
        <w:t xml:space="preserve">) reiterated the process that led to the Temporary Specification and noted that ICANN’s </w:t>
      </w:r>
      <w:r w:rsidR="00012407" w:rsidRPr="0076221C">
        <w:rPr>
          <w:rFonts w:asciiTheme="minorHAnsi" w:hAnsiTheme="minorHAnsi"/>
          <w:sz w:val="22"/>
          <w:szCs w:val="22"/>
        </w:rPr>
        <w:t>existing (pre-</w:t>
      </w:r>
      <w:r w:rsidR="00984A8F" w:rsidRPr="0076221C">
        <w:rPr>
          <w:rFonts w:asciiTheme="minorHAnsi" w:hAnsiTheme="minorHAnsi"/>
          <w:sz w:val="22"/>
          <w:szCs w:val="22"/>
        </w:rPr>
        <w:t xml:space="preserve">May 2018) </w:t>
      </w:r>
      <w:r w:rsidRPr="0076221C">
        <w:rPr>
          <w:rFonts w:asciiTheme="minorHAnsi" w:hAnsiTheme="minorHAnsi"/>
          <w:sz w:val="22"/>
          <w:szCs w:val="22"/>
        </w:rPr>
        <w:t>policy regarding the publication of registration data (‘WHOIS data’) was non-compliant with the GDPR. Pritz further mentioned that Temporary Specifications are only effective for one year in order to safeguard ICANN’s bottom-up multistakeholder model.</w:t>
      </w:r>
    </w:p>
    <w:p w14:paraId="47152460" w14:textId="77777777" w:rsidR="00CD0BAA" w:rsidRPr="0076221C" w:rsidRDefault="00012407" w:rsidP="00CD0BAA">
      <w:pPr>
        <w:pStyle w:val="NormalWeb"/>
        <w:rPr>
          <w:rFonts w:asciiTheme="minorHAnsi" w:hAnsiTheme="minorHAnsi"/>
          <w:sz w:val="22"/>
          <w:szCs w:val="22"/>
        </w:rPr>
      </w:pPr>
      <w:r w:rsidRPr="0076221C">
        <w:rPr>
          <w:rFonts w:asciiTheme="minorHAnsi" w:hAnsiTheme="minorHAnsi"/>
          <w:sz w:val="22"/>
          <w:szCs w:val="22"/>
        </w:rPr>
        <w:t>Kurt</w:t>
      </w:r>
      <w:r w:rsidR="00984A8F" w:rsidRPr="0076221C">
        <w:rPr>
          <w:rFonts w:asciiTheme="minorHAnsi" w:hAnsiTheme="minorHAnsi"/>
          <w:sz w:val="22"/>
          <w:szCs w:val="22"/>
        </w:rPr>
        <w:t xml:space="preserve"> reiterated</w:t>
      </w:r>
      <w:r w:rsidR="00CD0BAA" w:rsidRPr="0076221C">
        <w:rPr>
          <w:rFonts w:asciiTheme="minorHAnsi" w:hAnsiTheme="minorHAnsi"/>
          <w:sz w:val="22"/>
          <w:szCs w:val="22"/>
        </w:rPr>
        <w:t xml:space="preserve"> that a permanent solution to the specification was needed given that law enforcement agencies, cybersecurity specialists and other third parties </w:t>
      </w:r>
      <w:r w:rsidR="00984A8F" w:rsidRPr="0076221C">
        <w:rPr>
          <w:rFonts w:asciiTheme="minorHAnsi" w:hAnsiTheme="minorHAnsi"/>
          <w:sz w:val="22"/>
          <w:szCs w:val="22"/>
        </w:rPr>
        <w:t xml:space="preserve">had legitimate </w:t>
      </w:r>
      <w:r w:rsidR="00CD0BAA" w:rsidRPr="0076221C">
        <w:rPr>
          <w:rFonts w:asciiTheme="minorHAnsi" w:hAnsiTheme="minorHAnsi"/>
          <w:sz w:val="22"/>
          <w:szCs w:val="22"/>
        </w:rPr>
        <w:t>need</w:t>
      </w:r>
      <w:r w:rsidR="00984A8F" w:rsidRPr="0076221C">
        <w:rPr>
          <w:rFonts w:asciiTheme="minorHAnsi" w:hAnsiTheme="minorHAnsi"/>
          <w:sz w:val="22"/>
          <w:szCs w:val="22"/>
        </w:rPr>
        <w:t>s</w:t>
      </w:r>
      <w:r w:rsidR="00CD0BAA" w:rsidRPr="0076221C">
        <w:rPr>
          <w:rFonts w:asciiTheme="minorHAnsi" w:hAnsiTheme="minorHAnsi"/>
          <w:sz w:val="22"/>
          <w:szCs w:val="22"/>
        </w:rPr>
        <w:t xml:space="preserve"> to have access to registrants’ dat</w:t>
      </w:r>
      <w:r w:rsidR="00984A8F" w:rsidRPr="0076221C">
        <w:rPr>
          <w:rFonts w:asciiTheme="minorHAnsi" w:hAnsiTheme="minorHAnsi"/>
          <w:sz w:val="22"/>
          <w:szCs w:val="22"/>
        </w:rPr>
        <w:t>a for legal and other</w:t>
      </w:r>
      <w:r w:rsidR="00CD0BAA" w:rsidRPr="0076221C">
        <w:rPr>
          <w:rFonts w:asciiTheme="minorHAnsi" w:hAnsiTheme="minorHAnsi"/>
          <w:sz w:val="22"/>
          <w:szCs w:val="22"/>
        </w:rPr>
        <w:t xml:space="preserve"> reasons. Additionally, </w:t>
      </w:r>
      <w:r w:rsidRPr="0076221C">
        <w:rPr>
          <w:rFonts w:asciiTheme="minorHAnsi" w:hAnsiTheme="minorHAnsi"/>
          <w:sz w:val="22"/>
          <w:szCs w:val="22"/>
        </w:rPr>
        <w:t>Kurt</w:t>
      </w:r>
      <w:r w:rsidR="00CD0BAA" w:rsidRPr="0076221C">
        <w:rPr>
          <w:rFonts w:asciiTheme="minorHAnsi" w:hAnsiTheme="minorHAnsi"/>
          <w:sz w:val="22"/>
          <w:szCs w:val="22"/>
        </w:rPr>
        <w:t xml:space="preserve"> mentioned the desire of third parties to have a consistent approach to access these types of information. </w:t>
      </w:r>
      <w:r w:rsidRPr="0076221C">
        <w:rPr>
          <w:rFonts w:asciiTheme="minorHAnsi" w:hAnsiTheme="minorHAnsi"/>
          <w:sz w:val="22"/>
          <w:szCs w:val="22"/>
        </w:rPr>
        <w:t>Kurt</w:t>
      </w:r>
      <w:r w:rsidR="00CD0BAA" w:rsidRPr="0076221C">
        <w:rPr>
          <w:rFonts w:asciiTheme="minorHAnsi" w:hAnsiTheme="minorHAnsi"/>
          <w:sz w:val="22"/>
          <w:szCs w:val="22"/>
        </w:rPr>
        <w:t xml:space="preserve"> also mentioned the challenges faced by the EPDP team which rapidly needed to familiarise itself with the provisions and complexities of the GDPR</w:t>
      </w:r>
      <w:r w:rsidR="00984A8F" w:rsidRPr="0076221C">
        <w:rPr>
          <w:rFonts w:asciiTheme="minorHAnsi" w:hAnsiTheme="minorHAnsi"/>
          <w:sz w:val="22"/>
          <w:szCs w:val="22"/>
        </w:rPr>
        <w:t xml:space="preserve"> (a significant piece of work in itself). </w:t>
      </w:r>
    </w:p>
    <w:p w14:paraId="11214F12" w14:textId="77777777" w:rsidR="00CD0BAA" w:rsidRPr="0076221C" w:rsidRDefault="00984A8F" w:rsidP="00CD0BAA">
      <w:pPr>
        <w:pStyle w:val="NormalWeb"/>
        <w:rPr>
          <w:rFonts w:asciiTheme="minorHAnsi" w:hAnsiTheme="minorHAnsi"/>
          <w:sz w:val="22"/>
          <w:szCs w:val="22"/>
        </w:rPr>
      </w:pPr>
      <w:r w:rsidRPr="0076221C">
        <w:rPr>
          <w:rFonts w:asciiTheme="minorHAnsi" w:hAnsiTheme="minorHAnsi"/>
          <w:sz w:val="22"/>
          <w:szCs w:val="22"/>
        </w:rPr>
        <w:t>He noted that an</w:t>
      </w:r>
      <w:r w:rsidR="00CD0BAA" w:rsidRPr="0076221C">
        <w:rPr>
          <w:rFonts w:asciiTheme="minorHAnsi" w:hAnsiTheme="minorHAnsi"/>
          <w:sz w:val="22"/>
          <w:szCs w:val="22"/>
        </w:rPr>
        <w:t xml:space="preserve"> </w:t>
      </w:r>
      <w:r w:rsidRPr="0076221C">
        <w:rPr>
          <w:rFonts w:asciiTheme="minorHAnsi" w:hAnsiTheme="minorHAnsi"/>
          <w:sz w:val="22"/>
          <w:szCs w:val="22"/>
        </w:rPr>
        <w:t>“</w:t>
      </w:r>
      <w:r w:rsidR="00CD0BAA" w:rsidRPr="0076221C">
        <w:rPr>
          <w:rFonts w:asciiTheme="minorHAnsi" w:hAnsiTheme="minorHAnsi"/>
          <w:sz w:val="22"/>
          <w:szCs w:val="22"/>
        </w:rPr>
        <w:t>Expedited</w:t>
      </w:r>
      <w:r w:rsidRPr="0076221C">
        <w:rPr>
          <w:rFonts w:asciiTheme="minorHAnsi" w:hAnsiTheme="minorHAnsi"/>
          <w:sz w:val="22"/>
          <w:szCs w:val="22"/>
        </w:rPr>
        <w:t>”</w:t>
      </w:r>
      <w:r w:rsidR="00CD0BAA" w:rsidRPr="0076221C">
        <w:rPr>
          <w:rFonts w:asciiTheme="minorHAnsi" w:hAnsiTheme="minorHAnsi"/>
          <w:sz w:val="22"/>
          <w:szCs w:val="22"/>
        </w:rPr>
        <w:t xml:space="preserve"> Policy Development Process retains all the safeguards </w:t>
      </w:r>
      <w:r w:rsidRPr="0076221C">
        <w:rPr>
          <w:rFonts w:asciiTheme="minorHAnsi" w:hAnsiTheme="minorHAnsi"/>
          <w:sz w:val="22"/>
          <w:szCs w:val="22"/>
        </w:rPr>
        <w:t>inhere</w:t>
      </w:r>
      <w:r w:rsidR="00012407" w:rsidRPr="0076221C">
        <w:rPr>
          <w:rFonts w:asciiTheme="minorHAnsi" w:hAnsiTheme="minorHAnsi"/>
          <w:sz w:val="22"/>
          <w:szCs w:val="22"/>
        </w:rPr>
        <w:t>n</w:t>
      </w:r>
      <w:r w:rsidRPr="0076221C">
        <w:rPr>
          <w:rFonts w:asciiTheme="minorHAnsi" w:hAnsiTheme="minorHAnsi"/>
          <w:sz w:val="22"/>
          <w:szCs w:val="22"/>
        </w:rPr>
        <w:t>t in a normal</w:t>
      </w:r>
      <w:r w:rsidR="00CD0BAA" w:rsidRPr="0076221C">
        <w:rPr>
          <w:rFonts w:asciiTheme="minorHAnsi" w:hAnsiTheme="minorHAnsi"/>
          <w:sz w:val="22"/>
          <w:szCs w:val="22"/>
        </w:rPr>
        <w:t xml:space="preserve"> policy-making process except for the introductory report which is usually required to initiate the Policy Development Process (PDP). The EPDP Team was composed of registries and registrars and</w:t>
      </w:r>
      <w:r w:rsidRPr="0076221C">
        <w:rPr>
          <w:rFonts w:asciiTheme="minorHAnsi" w:hAnsiTheme="minorHAnsi"/>
          <w:sz w:val="22"/>
          <w:szCs w:val="22"/>
        </w:rPr>
        <w:t xml:space="preserve"> representatives from all other stakeholder groups, including governments</w:t>
      </w:r>
      <w:r w:rsidR="00CD0BAA" w:rsidRPr="0076221C">
        <w:rPr>
          <w:rFonts w:asciiTheme="minorHAnsi" w:hAnsiTheme="minorHAnsi"/>
          <w:sz w:val="22"/>
          <w:szCs w:val="22"/>
        </w:rPr>
        <w:t>. The EPDP organised two public comment periods, published comment analysis and review, prepared formal initial and final reports, maintained formal cons</w:t>
      </w:r>
      <w:r w:rsidRPr="0076221C">
        <w:rPr>
          <w:rFonts w:asciiTheme="minorHAnsi" w:hAnsiTheme="minorHAnsi"/>
          <w:sz w:val="22"/>
          <w:szCs w:val="22"/>
        </w:rPr>
        <w:t xml:space="preserve">ensus to ascertain support, and held both physical and virtual </w:t>
      </w:r>
      <w:r w:rsidR="00CD0BAA" w:rsidRPr="0076221C">
        <w:rPr>
          <w:rFonts w:asciiTheme="minorHAnsi" w:hAnsiTheme="minorHAnsi"/>
          <w:sz w:val="22"/>
          <w:szCs w:val="22"/>
        </w:rPr>
        <w:t>transparent meetings that were accessible to the public.</w:t>
      </w:r>
    </w:p>
    <w:p w14:paraId="45E310FF" w14:textId="77777777" w:rsidR="00CD0BAA" w:rsidRPr="0076221C" w:rsidRDefault="00012407" w:rsidP="00CD0BAA">
      <w:pPr>
        <w:pStyle w:val="NormalWeb"/>
        <w:rPr>
          <w:rFonts w:asciiTheme="minorHAnsi" w:hAnsiTheme="minorHAnsi"/>
          <w:sz w:val="22"/>
          <w:szCs w:val="22"/>
        </w:rPr>
      </w:pPr>
      <w:r w:rsidRPr="0076221C">
        <w:rPr>
          <w:rFonts w:asciiTheme="minorHAnsi" w:hAnsiTheme="minorHAnsi"/>
          <w:sz w:val="22"/>
          <w:szCs w:val="22"/>
        </w:rPr>
        <w:t>Kurt</w:t>
      </w:r>
      <w:r w:rsidR="00CD0BAA" w:rsidRPr="0076221C">
        <w:rPr>
          <w:rFonts w:asciiTheme="minorHAnsi" w:hAnsiTheme="minorHAnsi"/>
          <w:sz w:val="22"/>
          <w:szCs w:val="22"/>
        </w:rPr>
        <w:t xml:space="preserve"> outlined the EPDP team’s approach</w:t>
      </w:r>
      <w:r w:rsidR="00984A8F" w:rsidRPr="0076221C">
        <w:rPr>
          <w:rFonts w:asciiTheme="minorHAnsi" w:hAnsiTheme="minorHAnsi"/>
          <w:sz w:val="22"/>
          <w:szCs w:val="22"/>
        </w:rPr>
        <w:t xml:space="preserve">, including a review of </w:t>
      </w:r>
      <w:r w:rsidR="00CD0BAA" w:rsidRPr="0076221C">
        <w:rPr>
          <w:rFonts w:asciiTheme="minorHAnsi" w:hAnsiTheme="minorHAnsi"/>
          <w:sz w:val="22"/>
          <w:szCs w:val="22"/>
        </w:rPr>
        <w:t>the lawful purposes for the processing of data according to the GDPR requirements, and</w:t>
      </w:r>
      <w:r w:rsidR="00984A8F" w:rsidRPr="0076221C">
        <w:rPr>
          <w:rFonts w:asciiTheme="minorHAnsi" w:hAnsiTheme="minorHAnsi"/>
          <w:sz w:val="22"/>
          <w:szCs w:val="22"/>
        </w:rPr>
        <w:t xml:space="preserve"> the development of</w:t>
      </w:r>
      <w:r w:rsidR="00CD0BAA" w:rsidRPr="0076221C">
        <w:rPr>
          <w:rFonts w:asciiTheme="minorHAnsi" w:hAnsiTheme="minorHAnsi"/>
          <w:sz w:val="22"/>
          <w:szCs w:val="22"/>
        </w:rPr>
        <w:t xml:space="preserve"> revised purposes with their corresponding legal bases. The team came up with seven purposes for processing </w:t>
      </w:r>
      <w:r w:rsidR="00984A8F" w:rsidRPr="0076221C">
        <w:rPr>
          <w:rFonts w:asciiTheme="minorHAnsi" w:hAnsiTheme="minorHAnsi"/>
          <w:sz w:val="22"/>
          <w:szCs w:val="22"/>
        </w:rPr>
        <w:t>non-public registrant data, including</w:t>
      </w:r>
      <w:r w:rsidR="00CD0BAA" w:rsidRPr="0076221C">
        <w:rPr>
          <w:rFonts w:asciiTheme="minorHAnsi" w:hAnsiTheme="minorHAnsi"/>
          <w:sz w:val="22"/>
          <w:szCs w:val="22"/>
        </w:rPr>
        <w:t xml:space="preserve"> consent, </w:t>
      </w:r>
      <w:r w:rsidR="00984A8F" w:rsidRPr="0076221C">
        <w:rPr>
          <w:rFonts w:asciiTheme="minorHAnsi" w:hAnsiTheme="minorHAnsi"/>
          <w:sz w:val="22"/>
          <w:szCs w:val="22"/>
        </w:rPr>
        <w:t>the necessity</w:t>
      </w:r>
      <w:r w:rsidR="00CD0BAA" w:rsidRPr="0076221C">
        <w:rPr>
          <w:rFonts w:asciiTheme="minorHAnsi" w:hAnsiTheme="minorHAnsi"/>
          <w:sz w:val="22"/>
          <w:szCs w:val="22"/>
        </w:rPr>
        <w:t xml:space="preserve"> to perform a contract or enabling other legitimate uses (i.e. law enforcement) </w:t>
      </w:r>
      <w:r w:rsidR="00984A8F" w:rsidRPr="0076221C">
        <w:rPr>
          <w:rFonts w:asciiTheme="minorHAnsi" w:hAnsiTheme="minorHAnsi"/>
          <w:sz w:val="22"/>
          <w:szCs w:val="22"/>
        </w:rPr>
        <w:t>access</w:t>
      </w:r>
      <w:r w:rsidR="00CD0BAA" w:rsidRPr="0076221C">
        <w:rPr>
          <w:rFonts w:asciiTheme="minorHAnsi" w:hAnsiTheme="minorHAnsi"/>
          <w:sz w:val="22"/>
          <w:szCs w:val="22"/>
        </w:rPr>
        <w:t>.</w:t>
      </w:r>
    </w:p>
    <w:p w14:paraId="330FEDF7" w14:textId="77777777" w:rsidR="00CD0BAA" w:rsidRPr="0076221C" w:rsidRDefault="00012407" w:rsidP="00CD0BAA">
      <w:pPr>
        <w:pStyle w:val="NormalWeb"/>
        <w:rPr>
          <w:rFonts w:asciiTheme="minorHAnsi" w:hAnsiTheme="minorHAnsi"/>
          <w:sz w:val="22"/>
          <w:szCs w:val="22"/>
        </w:rPr>
      </w:pPr>
      <w:r w:rsidRPr="0076221C">
        <w:rPr>
          <w:rFonts w:asciiTheme="minorHAnsi" w:hAnsiTheme="minorHAnsi"/>
          <w:sz w:val="22"/>
          <w:szCs w:val="22"/>
        </w:rPr>
        <w:t>Kurt</w:t>
      </w:r>
      <w:r w:rsidR="00CD0BAA" w:rsidRPr="0076221C">
        <w:rPr>
          <w:rFonts w:asciiTheme="minorHAnsi" w:hAnsiTheme="minorHAnsi"/>
          <w:sz w:val="22"/>
          <w:szCs w:val="22"/>
        </w:rPr>
        <w:t xml:space="preserve"> explained that in addition to the identified legal, lawful and legitimate purposes for the processing of data, the EPDP Team identified and approved </w:t>
      </w:r>
      <w:r w:rsidR="00984A8F" w:rsidRPr="0076221C">
        <w:rPr>
          <w:rFonts w:asciiTheme="minorHAnsi" w:hAnsiTheme="minorHAnsi"/>
          <w:sz w:val="22"/>
          <w:szCs w:val="22"/>
        </w:rPr>
        <w:t>over twenty</w:t>
      </w:r>
      <w:r w:rsidR="00CD0BAA" w:rsidRPr="0076221C">
        <w:rPr>
          <w:rFonts w:asciiTheme="minorHAnsi" w:hAnsiTheme="minorHAnsi"/>
          <w:sz w:val="22"/>
          <w:szCs w:val="22"/>
        </w:rPr>
        <w:t xml:space="preserve"> other policy recommendations. These include recommendations pertaining to the development of a standardised model for the lawful disclosure of non-public registration data in the second phase of the process, the negotiation of data protection agreements between ICANN and contracting parties and the mandate that ICANN and GNSO examine existing </w:t>
      </w:r>
      <w:r w:rsidRPr="0076221C">
        <w:rPr>
          <w:rFonts w:asciiTheme="minorHAnsi" w:hAnsiTheme="minorHAnsi"/>
          <w:sz w:val="22"/>
          <w:szCs w:val="22"/>
        </w:rPr>
        <w:t xml:space="preserve">ICANN </w:t>
      </w:r>
      <w:r w:rsidR="00CD0BAA" w:rsidRPr="0076221C">
        <w:rPr>
          <w:rFonts w:asciiTheme="minorHAnsi" w:hAnsiTheme="minorHAnsi"/>
          <w:sz w:val="22"/>
          <w:szCs w:val="22"/>
        </w:rPr>
        <w:t>policies for GDPR compliance.</w:t>
      </w:r>
    </w:p>
    <w:p w14:paraId="0528E2B8" w14:textId="2F33E645" w:rsidR="00CD0BAA" w:rsidRPr="0076221C" w:rsidRDefault="00CD0BAA" w:rsidP="00CD0BAA">
      <w:pPr>
        <w:pStyle w:val="NormalWeb"/>
        <w:rPr>
          <w:rFonts w:asciiTheme="minorHAnsi" w:hAnsiTheme="minorHAnsi"/>
          <w:sz w:val="22"/>
          <w:szCs w:val="22"/>
        </w:rPr>
      </w:pPr>
      <w:r w:rsidRPr="0076221C">
        <w:rPr>
          <w:rFonts w:asciiTheme="minorHAnsi" w:hAnsiTheme="minorHAnsi"/>
          <w:sz w:val="22"/>
          <w:szCs w:val="22"/>
        </w:rPr>
        <w:t xml:space="preserve">Finally, </w:t>
      </w:r>
      <w:r w:rsidR="00012407" w:rsidRPr="0076221C">
        <w:rPr>
          <w:rFonts w:asciiTheme="minorHAnsi" w:hAnsiTheme="minorHAnsi"/>
          <w:sz w:val="22"/>
          <w:szCs w:val="22"/>
        </w:rPr>
        <w:t>he</w:t>
      </w:r>
      <w:r w:rsidR="00751D38" w:rsidRPr="0076221C">
        <w:rPr>
          <w:rFonts w:asciiTheme="minorHAnsi" w:hAnsiTheme="minorHAnsi"/>
          <w:sz w:val="22"/>
          <w:szCs w:val="22"/>
        </w:rPr>
        <w:t xml:space="preserve"> described</w:t>
      </w:r>
      <w:r w:rsidRPr="0076221C">
        <w:rPr>
          <w:rFonts w:asciiTheme="minorHAnsi" w:hAnsiTheme="minorHAnsi"/>
          <w:sz w:val="22"/>
          <w:szCs w:val="22"/>
        </w:rPr>
        <w:t xml:space="preserve"> some of the lessons learned </w:t>
      </w:r>
      <w:r w:rsidR="00012407" w:rsidRPr="0076221C">
        <w:rPr>
          <w:rFonts w:asciiTheme="minorHAnsi" w:hAnsiTheme="minorHAnsi"/>
          <w:sz w:val="22"/>
          <w:szCs w:val="22"/>
        </w:rPr>
        <w:t xml:space="preserve">in the process, these including </w:t>
      </w:r>
      <w:r w:rsidRPr="0076221C">
        <w:rPr>
          <w:rFonts w:asciiTheme="minorHAnsi" w:hAnsiTheme="minorHAnsi"/>
          <w:sz w:val="22"/>
          <w:szCs w:val="22"/>
        </w:rPr>
        <w:t xml:space="preserve">the </w:t>
      </w:r>
      <w:r w:rsidR="00012407" w:rsidRPr="0076221C">
        <w:rPr>
          <w:rFonts w:asciiTheme="minorHAnsi" w:hAnsiTheme="minorHAnsi"/>
          <w:sz w:val="22"/>
          <w:szCs w:val="22"/>
        </w:rPr>
        <w:t xml:space="preserve">timely </w:t>
      </w:r>
      <w:r w:rsidRPr="0076221C">
        <w:rPr>
          <w:rFonts w:asciiTheme="minorHAnsi" w:hAnsiTheme="minorHAnsi"/>
          <w:sz w:val="22"/>
          <w:szCs w:val="22"/>
        </w:rPr>
        <w:t xml:space="preserve">use of professional mediation in the process, the value of face-to-face meetings, and the </w:t>
      </w:r>
      <w:r w:rsidR="00012407" w:rsidRPr="0076221C">
        <w:rPr>
          <w:rFonts w:asciiTheme="minorHAnsi" w:hAnsiTheme="minorHAnsi"/>
          <w:sz w:val="22"/>
          <w:szCs w:val="22"/>
        </w:rPr>
        <w:t xml:space="preserve">value of </w:t>
      </w:r>
      <w:r w:rsidRPr="0076221C">
        <w:rPr>
          <w:rFonts w:asciiTheme="minorHAnsi" w:hAnsiTheme="minorHAnsi"/>
          <w:sz w:val="22"/>
          <w:szCs w:val="22"/>
        </w:rPr>
        <w:t>transparency</w:t>
      </w:r>
      <w:r w:rsidR="00012407" w:rsidRPr="0076221C">
        <w:rPr>
          <w:rFonts w:asciiTheme="minorHAnsi" w:hAnsiTheme="minorHAnsi"/>
          <w:sz w:val="22"/>
          <w:szCs w:val="22"/>
        </w:rPr>
        <w:t xml:space="preserve"> of the process</w:t>
      </w:r>
      <w:r w:rsidRPr="0076221C">
        <w:rPr>
          <w:rFonts w:asciiTheme="minorHAnsi" w:hAnsiTheme="minorHAnsi"/>
          <w:sz w:val="22"/>
          <w:szCs w:val="22"/>
        </w:rPr>
        <w:t xml:space="preserve"> for observers</w:t>
      </w:r>
      <w:r w:rsidR="00012407" w:rsidRPr="0076221C">
        <w:rPr>
          <w:rFonts w:asciiTheme="minorHAnsi" w:hAnsiTheme="minorHAnsi"/>
          <w:sz w:val="22"/>
          <w:szCs w:val="22"/>
        </w:rPr>
        <w:t>; these</w:t>
      </w:r>
      <w:r w:rsidRPr="0076221C">
        <w:rPr>
          <w:rFonts w:asciiTheme="minorHAnsi" w:hAnsiTheme="minorHAnsi"/>
          <w:sz w:val="22"/>
          <w:szCs w:val="22"/>
        </w:rPr>
        <w:t xml:space="preserve"> among o</w:t>
      </w:r>
      <w:r w:rsidR="00012407" w:rsidRPr="0076221C">
        <w:rPr>
          <w:rFonts w:asciiTheme="minorHAnsi" w:hAnsiTheme="minorHAnsi"/>
          <w:sz w:val="22"/>
          <w:szCs w:val="22"/>
        </w:rPr>
        <w:t>ther important factors which contributed to this positive use</w:t>
      </w:r>
      <w:r w:rsidRPr="0076221C">
        <w:rPr>
          <w:rFonts w:asciiTheme="minorHAnsi" w:hAnsiTheme="minorHAnsi"/>
          <w:sz w:val="22"/>
          <w:szCs w:val="22"/>
        </w:rPr>
        <w:t xml:space="preserve"> of the multistakeholder model.</w:t>
      </w:r>
    </w:p>
    <w:p w14:paraId="0C8E52FC" w14:textId="29898F4E" w:rsidR="00CD0BAA" w:rsidRPr="0076221C" w:rsidRDefault="00012407" w:rsidP="00CD0BAA">
      <w:pPr>
        <w:pStyle w:val="NormalWeb"/>
        <w:rPr>
          <w:rFonts w:asciiTheme="minorHAnsi" w:hAnsiTheme="minorHAnsi"/>
          <w:sz w:val="22"/>
          <w:szCs w:val="22"/>
        </w:rPr>
      </w:pPr>
      <w:r w:rsidRPr="0076221C">
        <w:rPr>
          <w:rStyle w:val="Strong"/>
          <w:rFonts w:asciiTheme="minorHAnsi" w:hAnsiTheme="minorHAnsi"/>
          <w:sz w:val="22"/>
          <w:szCs w:val="22"/>
        </w:rPr>
        <w:t xml:space="preserve">Olivier </w:t>
      </w:r>
      <w:r w:rsidRPr="0076221C">
        <w:rPr>
          <w:rFonts w:asciiTheme="minorHAnsi" w:hAnsiTheme="minorHAnsi"/>
          <w:sz w:val="22"/>
          <w:szCs w:val="22"/>
        </w:rPr>
        <w:t xml:space="preserve">then </w:t>
      </w:r>
      <w:r w:rsidR="00CD0BAA" w:rsidRPr="0076221C">
        <w:rPr>
          <w:rFonts w:asciiTheme="minorHAnsi" w:hAnsiTheme="minorHAnsi"/>
          <w:sz w:val="22"/>
          <w:szCs w:val="22"/>
        </w:rPr>
        <w:t xml:space="preserve">spoke about phase two </w:t>
      </w:r>
      <w:r w:rsidR="00751D38" w:rsidRPr="0076221C">
        <w:rPr>
          <w:rFonts w:asciiTheme="minorHAnsi" w:hAnsiTheme="minorHAnsi"/>
          <w:sz w:val="22"/>
          <w:szCs w:val="22"/>
        </w:rPr>
        <w:t xml:space="preserve">of the EPDP </w:t>
      </w:r>
      <w:r w:rsidR="00CD0BAA" w:rsidRPr="0076221C">
        <w:rPr>
          <w:rFonts w:asciiTheme="minorHAnsi" w:hAnsiTheme="minorHAnsi"/>
          <w:sz w:val="22"/>
          <w:szCs w:val="22"/>
        </w:rPr>
        <w:t xml:space="preserve">and the next steps </w:t>
      </w:r>
      <w:r w:rsidR="00751D38" w:rsidRPr="0076221C">
        <w:rPr>
          <w:rFonts w:asciiTheme="minorHAnsi" w:hAnsiTheme="minorHAnsi"/>
          <w:sz w:val="22"/>
          <w:szCs w:val="22"/>
        </w:rPr>
        <w:t>to be</w:t>
      </w:r>
      <w:r w:rsidR="00CD0BAA" w:rsidRPr="0076221C">
        <w:rPr>
          <w:rFonts w:asciiTheme="minorHAnsi" w:hAnsiTheme="minorHAnsi"/>
          <w:sz w:val="22"/>
          <w:szCs w:val="22"/>
        </w:rPr>
        <w:t xml:space="preserve"> undertake</w:t>
      </w:r>
      <w:r w:rsidR="00751D38" w:rsidRPr="0076221C">
        <w:rPr>
          <w:rFonts w:asciiTheme="minorHAnsi" w:hAnsiTheme="minorHAnsi"/>
          <w:sz w:val="22"/>
          <w:szCs w:val="22"/>
        </w:rPr>
        <w:t>n</w:t>
      </w:r>
      <w:r w:rsidR="00CD0BAA" w:rsidRPr="0076221C">
        <w:rPr>
          <w:rFonts w:asciiTheme="minorHAnsi" w:hAnsiTheme="minorHAnsi"/>
          <w:sz w:val="22"/>
          <w:szCs w:val="22"/>
        </w:rPr>
        <w:t>.</w:t>
      </w:r>
    </w:p>
    <w:p w14:paraId="366A57B0" w14:textId="77777777" w:rsidR="00096CF7" w:rsidRPr="0076221C" w:rsidRDefault="00CD0BAA" w:rsidP="00CD0BAA">
      <w:pPr>
        <w:pStyle w:val="NormalWeb"/>
        <w:rPr>
          <w:rFonts w:asciiTheme="minorHAnsi" w:hAnsiTheme="minorHAnsi"/>
          <w:sz w:val="22"/>
          <w:szCs w:val="22"/>
        </w:rPr>
      </w:pPr>
      <w:r w:rsidRPr="0076221C">
        <w:rPr>
          <w:rFonts w:asciiTheme="minorHAnsi" w:hAnsiTheme="minorHAnsi"/>
          <w:sz w:val="22"/>
          <w:szCs w:val="22"/>
        </w:rPr>
        <w:t>He noted that the public comment period on the final GNSO report</w:t>
      </w:r>
      <w:r w:rsidR="00751D38" w:rsidRPr="0076221C">
        <w:rPr>
          <w:rFonts w:asciiTheme="minorHAnsi" w:hAnsiTheme="minorHAnsi"/>
          <w:sz w:val="22"/>
          <w:szCs w:val="22"/>
        </w:rPr>
        <w:t xml:space="preserve"> (for Phase 1 of the EPDP) </w:t>
      </w:r>
      <w:r w:rsidRPr="0076221C">
        <w:rPr>
          <w:rFonts w:asciiTheme="minorHAnsi" w:hAnsiTheme="minorHAnsi"/>
          <w:sz w:val="22"/>
          <w:szCs w:val="22"/>
        </w:rPr>
        <w:t xml:space="preserve">will close on 17 April 2019 and that the ICANN </w:t>
      </w:r>
      <w:r w:rsidR="00751D38" w:rsidRPr="0076221C">
        <w:rPr>
          <w:rFonts w:asciiTheme="minorHAnsi" w:hAnsiTheme="minorHAnsi"/>
          <w:sz w:val="22"/>
          <w:szCs w:val="22"/>
        </w:rPr>
        <w:t>B</w:t>
      </w:r>
      <w:r w:rsidRPr="0076221C">
        <w:rPr>
          <w:rFonts w:asciiTheme="minorHAnsi" w:hAnsiTheme="minorHAnsi"/>
          <w:sz w:val="22"/>
          <w:szCs w:val="22"/>
        </w:rPr>
        <w:t xml:space="preserve">oard will make the decision of whether to adopt the report as the Consensus Policy </w:t>
      </w:r>
      <w:r w:rsidR="00751D38" w:rsidRPr="0076221C">
        <w:rPr>
          <w:rFonts w:asciiTheme="minorHAnsi" w:hAnsiTheme="minorHAnsi"/>
          <w:sz w:val="22"/>
          <w:szCs w:val="22"/>
        </w:rPr>
        <w:t xml:space="preserve">for implementation </w:t>
      </w:r>
      <w:r w:rsidRPr="0076221C">
        <w:rPr>
          <w:rFonts w:asciiTheme="minorHAnsi" w:hAnsiTheme="minorHAnsi"/>
          <w:sz w:val="22"/>
          <w:szCs w:val="22"/>
        </w:rPr>
        <w:t xml:space="preserve">before 25 May 2019. Furthermore, he mentioned that an ICANN Implementation Review Team (IRT) will work on the development of operational and contractual details to implement the policies. </w:t>
      </w:r>
      <w:r w:rsidR="00751D38" w:rsidRPr="0076221C">
        <w:rPr>
          <w:rFonts w:asciiTheme="minorHAnsi" w:hAnsiTheme="minorHAnsi"/>
          <w:sz w:val="22"/>
          <w:szCs w:val="22"/>
        </w:rPr>
        <w:t>Olivier noted that</w:t>
      </w:r>
      <w:r w:rsidRPr="0076221C">
        <w:rPr>
          <w:rFonts w:asciiTheme="minorHAnsi" w:hAnsiTheme="minorHAnsi"/>
          <w:sz w:val="22"/>
          <w:szCs w:val="22"/>
        </w:rPr>
        <w:t xml:space="preserve"> between the expiration of the Temporary Specification after 25 May 2019 and the full implementation of the IRT’s work, contracting parties will have the choice to comply with either the Temporary Specification or the new Consensus Policy. </w:t>
      </w:r>
    </w:p>
    <w:p w14:paraId="51C08889" w14:textId="77777777" w:rsidR="00096CF7" w:rsidRPr="0076221C" w:rsidRDefault="00096CF7" w:rsidP="00CD0BAA">
      <w:pPr>
        <w:pStyle w:val="NormalWeb"/>
        <w:rPr>
          <w:rFonts w:asciiTheme="minorHAnsi" w:hAnsiTheme="minorHAnsi"/>
          <w:sz w:val="22"/>
          <w:szCs w:val="22"/>
        </w:rPr>
      </w:pPr>
      <w:r w:rsidRPr="0076221C">
        <w:rPr>
          <w:rFonts w:asciiTheme="minorHAnsi" w:hAnsiTheme="minorHAnsi"/>
          <w:sz w:val="22"/>
          <w:szCs w:val="22"/>
        </w:rPr>
        <w:t xml:space="preserve">On Phase 2 he referenced the Mind Map (produced for the EPDP) which identified all the different (and interconnecting) issues that would need to be addressed during the work in Phase 2; these included: </w:t>
      </w:r>
    </w:p>
    <w:p w14:paraId="31CDA74E" w14:textId="77777777" w:rsidR="00096CF7" w:rsidRPr="0076221C" w:rsidRDefault="00096CF7" w:rsidP="00096CF7">
      <w:pPr>
        <w:pStyle w:val="NormalWeb"/>
        <w:numPr>
          <w:ilvl w:val="0"/>
          <w:numId w:val="2"/>
        </w:numPr>
        <w:rPr>
          <w:rFonts w:asciiTheme="minorHAnsi" w:hAnsiTheme="minorHAnsi"/>
          <w:sz w:val="22"/>
          <w:szCs w:val="22"/>
        </w:rPr>
      </w:pPr>
      <w:r w:rsidRPr="0076221C">
        <w:rPr>
          <w:rFonts w:asciiTheme="minorHAnsi" w:hAnsiTheme="minorHAnsi"/>
          <w:sz w:val="22"/>
          <w:szCs w:val="22"/>
        </w:rPr>
        <w:t xml:space="preserve">Systems for access for non-public data </w:t>
      </w:r>
    </w:p>
    <w:p w14:paraId="092DC5F5" w14:textId="3C0FEE1B" w:rsidR="00096CF7" w:rsidRPr="0076221C" w:rsidRDefault="00096CF7" w:rsidP="00096CF7">
      <w:pPr>
        <w:pStyle w:val="NormalWeb"/>
        <w:numPr>
          <w:ilvl w:val="0"/>
          <w:numId w:val="2"/>
        </w:numPr>
        <w:rPr>
          <w:rFonts w:asciiTheme="minorHAnsi" w:hAnsiTheme="minorHAnsi"/>
          <w:sz w:val="22"/>
          <w:szCs w:val="22"/>
        </w:rPr>
      </w:pPr>
      <w:r w:rsidRPr="0076221C">
        <w:rPr>
          <w:rFonts w:asciiTheme="minorHAnsi" w:hAnsiTheme="minorHAnsi"/>
          <w:sz w:val="22"/>
          <w:szCs w:val="22"/>
        </w:rPr>
        <w:t>Technical standards for access</w:t>
      </w:r>
    </w:p>
    <w:p w14:paraId="0F2C896A" w14:textId="39981F4C" w:rsidR="00096CF7" w:rsidRPr="0076221C" w:rsidRDefault="00096CF7" w:rsidP="00096CF7">
      <w:pPr>
        <w:pStyle w:val="NormalWeb"/>
        <w:numPr>
          <w:ilvl w:val="0"/>
          <w:numId w:val="2"/>
        </w:numPr>
        <w:rPr>
          <w:rFonts w:asciiTheme="minorHAnsi" w:hAnsiTheme="minorHAnsi"/>
          <w:sz w:val="22"/>
          <w:szCs w:val="22"/>
        </w:rPr>
      </w:pPr>
      <w:r w:rsidRPr="0076221C">
        <w:rPr>
          <w:rFonts w:asciiTheme="minorHAnsi" w:hAnsiTheme="minorHAnsi"/>
          <w:sz w:val="22"/>
          <w:szCs w:val="22"/>
        </w:rPr>
        <w:t>Credentials for access</w:t>
      </w:r>
    </w:p>
    <w:p w14:paraId="3AA05F1B" w14:textId="77777777" w:rsidR="00096CF7" w:rsidRPr="0076221C" w:rsidRDefault="00096CF7" w:rsidP="00096CF7">
      <w:pPr>
        <w:pStyle w:val="NormalWeb"/>
        <w:numPr>
          <w:ilvl w:val="0"/>
          <w:numId w:val="2"/>
        </w:numPr>
        <w:rPr>
          <w:rFonts w:asciiTheme="minorHAnsi" w:hAnsiTheme="minorHAnsi"/>
          <w:sz w:val="22"/>
          <w:szCs w:val="22"/>
        </w:rPr>
      </w:pPr>
      <w:r w:rsidRPr="0076221C">
        <w:rPr>
          <w:rFonts w:asciiTheme="minorHAnsi" w:hAnsiTheme="minorHAnsi"/>
          <w:sz w:val="22"/>
          <w:szCs w:val="22"/>
        </w:rPr>
        <w:t xml:space="preserve">Terms of access </w:t>
      </w:r>
    </w:p>
    <w:p w14:paraId="356D601B" w14:textId="1C4B2095" w:rsidR="00096CF7" w:rsidRPr="0076221C" w:rsidRDefault="00096CF7" w:rsidP="00096CF7">
      <w:pPr>
        <w:pStyle w:val="NormalWeb"/>
        <w:numPr>
          <w:ilvl w:val="0"/>
          <w:numId w:val="2"/>
        </w:numPr>
        <w:rPr>
          <w:rFonts w:asciiTheme="minorHAnsi" w:hAnsiTheme="minorHAnsi"/>
          <w:sz w:val="22"/>
          <w:szCs w:val="22"/>
        </w:rPr>
      </w:pPr>
      <w:r w:rsidRPr="0076221C">
        <w:rPr>
          <w:rFonts w:asciiTheme="minorHAnsi" w:hAnsiTheme="minorHAnsi"/>
          <w:sz w:val="22"/>
          <w:szCs w:val="22"/>
        </w:rPr>
        <w:t>Geographical issues (ie application of GDPR in non-EU areas)</w:t>
      </w:r>
    </w:p>
    <w:p w14:paraId="400CC8B8" w14:textId="644332B8" w:rsidR="00096CF7" w:rsidRPr="0076221C" w:rsidRDefault="00096CF7" w:rsidP="00096CF7">
      <w:pPr>
        <w:pStyle w:val="NormalWeb"/>
        <w:numPr>
          <w:ilvl w:val="0"/>
          <w:numId w:val="2"/>
        </w:numPr>
        <w:rPr>
          <w:rFonts w:asciiTheme="minorHAnsi" w:hAnsiTheme="minorHAnsi"/>
          <w:sz w:val="22"/>
          <w:szCs w:val="22"/>
        </w:rPr>
      </w:pPr>
      <w:r w:rsidRPr="0076221C">
        <w:rPr>
          <w:rFonts w:asciiTheme="minorHAnsi" w:hAnsiTheme="minorHAnsi"/>
          <w:sz w:val="22"/>
          <w:szCs w:val="22"/>
        </w:rPr>
        <w:t xml:space="preserve">Legal and non-legal persons </w:t>
      </w:r>
    </w:p>
    <w:p w14:paraId="499E69D7" w14:textId="78CFA8E3" w:rsidR="00096CF7" w:rsidRPr="0076221C" w:rsidRDefault="00096CF7" w:rsidP="00CD0BAA">
      <w:pPr>
        <w:pStyle w:val="NormalWeb"/>
        <w:rPr>
          <w:rFonts w:asciiTheme="minorHAnsi" w:hAnsiTheme="minorHAnsi"/>
          <w:sz w:val="22"/>
          <w:szCs w:val="22"/>
        </w:rPr>
      </w:pPr>
      <w:r w:rsidRPr="0076221C">
        <w:rPr>
          <w:rFonts w:asciiTheme="minorHAnsi" w:hAnsiTheme="minorHAnsi"/>
          <w:sz w:val="22"/>
          <w:szCs w:val="22"/>
        </w:rPr>
        <w:t>He noted that there was no specific timeframe for this work though it was recognised that there was an urgent need for adopting agreed access arrangements. It was noted that the GNSO was still to recruit a chair for Phase 2 of the work.</w:t>
      </w:r>
    </w:p>
    <w:p w14:paraId="58182B99" w14:textId="77777777" w:rsidR="00C535AE" w:rsidRPr="00C535AE" w:rsidRDefault="00096CF7" w:rsidP="00C535AE">
      <w:pPr>
        <w:pStyle w:val="NormalWeb"/>
        <w:rPr>
          <w:sz w:val="22"/>
          <w:szCs w:val="22"/>
        </w:rPr>
      </w:pPr>
      <w:r w:rsidRPr="0076221C">
        <w:rPr>
          <w:rFonts w:asciiTheme="minorHAnsi" w:hAnsiTheme="minorHAnsi"/>
          <w:sz w:val="22"/>
          <w:szCs w:val="22"/>
        </w:rPr>
        <w:t xml:space="preserve">He </w:t>
      </w:r>
      <w:r w:rsidR="00CD0BAA" w:rsidRPr="0076221C">
        <w:rPr>
          <w:rFonts w:asciiTheme="minorHAnsi" w:hAnsiTheme="minorHAnsi"/>
          <w:sz w:val="22"/>
          <w:szCs w:val="22"/>
        </w:rPr>
        <w:t>invited all interested parties to follow or contribute to the work</w:t>
      </w:r>
      <w:r w:rsidR="00912581" w:rsidRPr="0076221C">
        <w:rPr>
          <w:rFonts w:asciiTheme="minorHAnsi" w:hAnsiTheme="minorHAnsi"/>
          <w:sz w:val="22"/>
          <w:szCs w:val="22"/>
        </w:rPr>
        <w:t xml:space="preserve"> of the EPDP (or simply reads </w:t>
      </w:r>
      <w:r w:rsidR="00734CDF">
        <w:rPr>
          <w:rFonts w:asciiTheme="minorHAnsi" w:hAnsiTheme="minorHAnsi"/>
          <w:sz w:val="22"/>
          <w:szCs w:val="22"/>
        </w:rPr>
        <w:t>about it)</w:t>
      </w:r>
      <w:r w:rsidR="00CD0BAA" w:rsidRPr="0076221C">
        <w:rPr>
          <w:rFonts w:asciiTheme="minorHAnsi" w:hAnsiTheme="minorHAnsi"/>
          <w:sz w:val="22"/>
          <w:szCs w:val="22"/>
        </w:rPr>
        <w:t xml:space="preserve"> by following </w:t>
      </w:r>
      <w:hyperlink r:id="rId7" w:history="1">
        <w:r w:rsidR="00C535AE" w:rsidRPr="00C535AE">
          <w:rPr>
            <w:rStyle w:val="Hyperlink"/>
            <w:sz w:val="22"/>
            <w:szCs w:val="22"/>
          </w:rPr>
          <w:t>https://gnso.icann.org/en/group-activities/active/gtld-registration-data-epdp</w:t>
        </w:r>
      </w:hyperlink>
    </w:p>
    <w:p w14:paraId="54E8BF04" w14:textId="163D9D94" w:rsidR="00C36EF9" w:rsidRPr="0076221C" w:rsidRDefault="00C36EF9" w:rsidP="009B07B4">
      <w:pPr>
        <w:pStyle w:val="NormalWeb"/>
        <w:rPr>
          <w:rFonts w:asciiTheme="minorHAnsi" w:hAnsiTheme="minorHAnsi"/>
          <w:sz w:val="22"/>
          <w:szCs w:val="22"/>
        </w:rPr>
      </w:pPr>
      <w:r w:rsidRPr="0076221C">
        <w:rPr>
          <w:rFonts w:asciiTheme="minorHAnsi" w:hAnsiTheme="minorHAnsi"/>
          <w:sz w:val="22"/>
          <w:szCs w:val="22"/>
        </w:rPr>
        <w:t xml:space="preserve">In the brief </w:t>
      </w:r>
      <w:r w:rsidRPr="0076221C">
        <w:rPr>
          <w:rFonts w:asciiTheme="minorHAnsi" w:hAnsiTheme="minorHAnsi"/>
          <w:b/>
          <w:sz w:val="22"/>
          <w:szCs w:val="22"/>
        </w:rPr>
        <w:t>discussion</w:t>
      </w:r>
      <w:r w:rsidRPr="0076221C">
        <w:rPr>
          <w:rFonts w:asciiTheme="minorHAnsi" w:hAnsiTheme="minorHAnsi"/>
          <w:sz w:val="22"/>
          <w:szCs w:val="22"/>
        </w:rPr>
        <w:t xml:space="preserve"> that followed</w:t>
      </w:r>
      <w:r w:rsidR="009B07B4" w:rsidRPr="0076221C">
        <w:rPr>
          <w:rFonts w:asciiTheme="minorHAnsi" w:hAnsiTheme="minorHAnsi"/>
          <w:sz w:val="22"/>
          <w:szCs w:val="22"/>
        </w:rPr>
        <w:t xml:space="preserve">, </w:t>
      </w:r>
      <w:r w:rsidR="009B07B4" w:rsidRPr="0076221C">
        <w:rPr>
          <w:rFonts w:asciiTheme="minorHAnsi" w:hAnsiTheme="minorHAnsi" w:cs="Calibri"/>
          <w:color w:val="000000"/>
          <w:sz w:val="22"/>
          <w:szCs w:val="22"/>
          <w:u w:val="single"/>
        </w:rPr>
        <w:t>Ambassador</w:t>
      </w:r>
      <w:r w:rsidR="00912581" w:rsidRPr="0076221C">
        <w:rPr>
          <w:rFonts w:asciiTheme="minorHAnsi" w:hAnsiTheme="minorHAnsi" w:cs="Calibri"/>
          <w:color w:val="000000"/>
          <w:sz w:val="22"/>
          <w:szCs w:val="22"/>
          <w:u w:val="single"/>
        </w:rPr>
        <w:t xml:space="preserve"> Karklins</w:t>
      </w:r>
      <w:r w:rsidR="00912581" w:rsidRPr="0076221C">
        <w:rPr>
          <w:rFonts w:asciiTheme="minorHAnsi" w:hAnsiTheme="minorHAnsi" w:cs="Calibri"/>
          <w:color w:val="000000"/>
          <w:sz w:val="22"/>
          <w:szCs w:val="22"/>
          <w:u w:color="000000"/>
        </w:rPr>
        <w:t xml:space="preserve"> asked about whether composition of </w:t>
      </w:r>
      <w:r w:rsidR="00C535AE">
        <w:rPr>
          <w:rFonts w:asciiTheme="minorHAnsi" w:hAnsiTheme="minorHAnsi" w:cs="Calibri"/>
          <w:color w:val="000000"/>
          <w:sz w:val="22"/>
          <w:szCs w:val="22"/>
          <w:u w:color="000000"/>
        </w:rPr>
        <w:t xml:space="preserve">the </w:t>
      </w:r>
      <w:r w:rsidR="00912581" w:rsidRPr="0076221C">
        <w:rPr>
          <w:rFonts w:asciiTheme="minorHAnsi" w:hAnsiTheme="minorHAnsi" w:cs="Calibri"/>
          <w:color w:val="000000"/>
          <w:sz w:val="22"/>
          <w:szCs w:val="22"/>
          <w:u w:color="000000"/>
        </w:rPr>
        <w:t xml:space="preserve">team for Phase 1 and 2 are same; Kurt noted in the main it was; with perhaps 20% change; </w:t>
      </w:r>
      <w:r w:rsidR="00C535AE">
        <w:rPr>
          <w:rFonts w:asciiTheme="minorHAnsi" w:hAnsiTheme="minorHAnsi" w:cs="Calibri"/>
          <w:color w:val="000000"/>
          <w:sz w:val="22"/>
          <w:szCs w:val="22"/>
          <w:u w:color="000000"/>
        </w:rPr>
        <w:t>there was then a brief dialogue on a few further details of the</w:t>
      </w:r>
      <w:r w:rsidR="00912581" w:rsidRPr="0076221C">
        <w:rPr>
          <w:rFonts w:asciiTheme="minorHAnsi" w:hAnsiTheme="minorHAnsi" w:cs="Calibri"/>
          <w:color w:val="000000"/>
          <w:sz w:val="22"/>
          <w:szCs w:val="22"/>
          <w:u w:color="000000"/>
        </w:rPr>
        <w:t xml:space="preserve"> Mind Map; </w:t>
      </w:r>
      <w:r w:rsidR="00C75785" w:rsidRPr="0076221C">
        <w:rPr>
          <w:rFonts w:asciiTheme="minorHAnsi" w:hAnsiTheme="minorHAnsi" w:cs="Calibri"/>
          <w:color w:val="000000"/>
          <w:sz w:val="22"/>
          <w:szCs w:val="22"/>
          <w:u w:color="000000"/>
        </w:rPr>
        <w:t xml:space="preserve">. </w:t>
      </w:r>
    </w:p>
    <w:p w14:paraId="13C71B5C" w14:textId="1D9AC1DC" w:rsidR="00C535AE" w:rsidRDefault="00CD0BAA" w:rsidP="00CD0BAA">
      <w:pPr>
        <w:pStyle w:val="NormalWeb"/>
        <w:rPr>
          <w:rFonts w:asciiTheme="minorHAnsi" w:hAnsiTheme="minorHAnsi"/>
          <w:sz w:val="22"/>
          <w:szCs w:val="22"/>
        </w:rPr>
      </w:pPr>
      <w:r w:rsidRPr="0076221C">
        <w:rPr>
          <w:rFonts w:asciiTheme="minorHAnsi" w:hAnsiTheme="minorHAnsi"/>
          <w:b/>
          <w:bCs/>
          <w:sz w:val="22"/>
          <w:szCs w:val="22"/>
        </w:rPr>
        <w:t>Nigel Hickson</w:t>
      </w:r>
      <w:r w:rsidRPr="0076221C">
        <w:rPr>
          <w:rFonts w:asciiTheme="minorHAnsi" w:hAnsiTheme="minorHAnsi"/>
          <w:sz w:val="22"/>
          <w:szCs w:val="22"/>
        </w:rPr>
        <w:t xml:space="preserve"> (Government Engagement Team, ICANN) thanked the speakers for their great efforts in leading this process and highlighted the complex</w:t>
      </w:r>
      <w:r w:rsidR="00C535AE">
        <w:rPr>
          <w:rFonts w:asciiTheme="minorHAnsi" w:hAnsiTheme="minorHAnsi"/>
          <w:sz w:val="22"/>
          <w:szCs w:val="22"/>
        </w:rPr>
        <w:t>ity of the process. He recognised</w:t>
      </w:r>
      <w:r w:rsidRPr="0076221C">
        <w:rPr>
          <w:rFonts w:asciiTheme="minorHAnsi" w:hAnsiTheme="minorHAnsi"/>
          <w:sz w:val="22"/>
          <w:szCs w:val="22"/>
        </w:rPr>
        <w:t xml:space="preserve"> the process as a testament to the multistakeholder process.</w:t>
      </w:r>
      <w:r w:rsidR="00C535AE">
        <w:rPr>
          <w:rFonts w:asciiTheme="minorHAnsi" w:hAnsiTheme="minorHAnsi"/>
          <w:sz w:val="22"/>
          <w:szCs w:val="22"/>
        </w:rPr>
        <w:t xml:space="preserve"> Finally,</w:t>
      </w:r>
      <w:bookmarkStart w:id="0" w:name="_GoBack"/>
      <w:bookmarkEnd w:id="0"/>
      <w:r w:rsidR="00C535AE">
        <w:rPr>
          <w:rFonts w:asciiTheme="minorHAnsi" w:hAnsiTheme="minorHAnsi"/>
          <w:sz w:val="22"/>
          <w:szCs w:val="22"/>
        </w:rPr>
        <w:t xml:space="preserve"> he recognised the work of the CCWG IG and gave details of membership (open to all). </w:t>
      </w:r>
    </w:p>
    <w:p w14:paraId="0EF4F729" w14:textId="77777777" w:rsidR="00C535AE" w:rsidRDefault="00C535AE" w:rsidP="00CD0BAA">
      <w:pPr>
        <w:pStyle w:val="NormalWeb"/>
        <w:rPr>
          <w:rFonts w:asciiTheme="minorHAnsi" w:hAnsiTheme="minorHAnsi"/>
          <w:sz w:val="22"/>
          <w:szCs w:val="22"/>
        </w:rPr>
      </w:pPr>
    </w:p>
    <w:p w14:paraId="18F316B9" w14:textId="66BA8C06" w:rsidR="00CD0BAA" w:rsidRPr="00C535AE" w:rsidRDefault="00C535AE" w:rsidP="00CD0BAA">
      <w:pPr>
        <w:pStyle w:val="NormalWeb"/>
        <w:rPr>
          <w:rFonts w:asciiTheme="minorHAnsi" w:hAnsiTheme="minorHAnsi"/>
          <w:sz w:val="22"/>
          <w:szCs w:val="22"/>
          <w:u w:val="single"/>
        </w:rPr>
      </w:pPr>
      <w:r w:rsidRPr="00C535AE">
        <w:rPr>
          <w:rFonts w:asciiTheme="minorHAnsi" w:hAnsiTheme="minorHAnsi"/>
          <w:sz w:val="22"/>
          <w:szCs w:val="22"/>
          <w:u w:val="single"/>
        </w:rPr>
        <w:t xml:space="preserve">GE, ICANN; April; 2019 </w:t>
      </w:r>
    </w:p>
    <w:p w14:paraId="578A9599" w14:textId="496772CA" w:rsidR="00E12E4D" w:rsidRPr="0076221C" w:rsidRDefault="00CD0BAA" w:rsidP="00912581">
      <w:pPr>
        <w:pStyle w:val="NormalWeb"/>
        <w:rPr>
          <w:rFonts w:asciiTheme="minorHAnsi" w:hAnsiTheme="minorHAnsi" w:cs="Calibri"/>
          <w:color w:val="000000"/>
          <w:sz w:val="22"/>
          <w:szCs w:val="22"/>
          <w:u w:color="000000"/>
        </w:rPr>
      </w:pPr>
      <w:r w:rsidRPr="0076221C">
        <w:rPr>
          <w:rFonts w:asciiTheme="minorHAnsi" w:hAnsiTheme="minorHAnsi"/>
          <w:sz w:val="22"/>
          <w:szCs w:val="22"/>
        </w:rPr>
        <w:t> </w:t>
      </w:r>
    </w:p>
    <w:p w14:paraId="78B93443" w14:textId="5A682F64" w:rsidR="00E12E4D" w:rsidRPr="0076221C" w:rsidRDefault="00E12E4D" w:rsidP="00E12E4D">
      <w:pPr>
        <w:widowControl w:val="0"/>
        <w:autoSpaceDE w:val="0"/>
        <w:autoSpaceDN w:val="0"/>
        <w:adjustRightInd w:val="0"/>
        <w:spacing w:line="360" w:lineRule="atLeast"/>
        <w:rPr>
          <w:rFonts w:cs="Calibri"/>
          <w:color w:val="000000"/>
          <w:sz w:val="22"/>
          <w:szCs w:val="22"/>
          <w:u w:color="000000"/>
        </w:rPr>
      </w:pPr>
      <w:r w:rsidRPr="0076221C">
        <w:rPr>
          <w:rFonts w:cs="Calibri"/>
          <w:color w:val="000000"/>
          <w:sz w:val="22"/>
          <w:szCs w:val="22"/>
          <w:u w:color="000000"/>
        </w:rPr>
        <w:t> </w:t>
      </w:r>
    </w:p>
    <w:p w14:paraId="6D767C34" w14:textId="77777777" w:rsidR="00E12E4D" w:rsidRPr="0076221C" w:rsidRDefault="00E12E4D" w:rsidP="00E12E4D">
      <w:pPr>
        <w:widowControl w:val="0"/>
        <w:autoSpaceDE w:val="0"/>
        <w:autoSpaceDN w:val="0"/>
        <w:adjustRightInd w:val="0"/>
        <w:spacing w:line="360" w:lineRule="atLeast"/>
        <w:rPr>
          <w:rFonts w:cs="Calibri"/>
          <w:color w:val="000000"/>
          <w:sz w:val="22"/>
          <w:szCs w:val="22"/>
          <w:u w:color="000000"/>
        </w:rPr>
      </w:pPr>
      <w:r w:rsidRPr="0076221C">
        <w:rPr>
          <w:rFonts w:cs="Calibri"/>
          <w:color w:val="000000"/>
          <w:sz w:val="22"/>
          <w:szCs w:val="22"/>
          <w:u w:color="000000"/>
        </w:rPr>
        <w:t> </w:t>
      </w:r>
    </w:p>
    <w:p w14:paraId="7587BC57" w14:textId="77777777" w:rsidR="00D8366B" w:rsidRPr="0076221C" w:rsidRDefault="00D8366B">
      <w:pPr>
        <w:rPr>
          <w:sz w:val="22"/>
          <w:szCs w:val="22"/>
        </w:rPr>
      </w:pPr>
    </w:p>
    <w:sectPr w:rsidR="00D8366B" w:rsidRPr="0076221C" w:rsidSect="00E34FC4">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6C708" w14:textId="77777777" w:rsidR="00310538" w:rsidRDefault="00310538" w:rsidP="00096CF7">
      <w:r>
        <w:separator/>
      </w:r>
    </w:p>
  </w:endnote>
  <w:endnote w:type="continuationSeparator" w:id="0">
    <w:p w14:paraId="4B1C21D7" w14:textId="77777777" w:rsidR="00310538" w:rsidRDefault="00310538" w:rsidP="0009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23989" w14:textId="77777777" w:rsidR="00096CF7" w:rsidRDefault="00096CF7" w:rsidP="0060798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356A77" w14:textId="77777777" w:rsidR="00096CF7" w:rsidRDefault="00096C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3A803" w14:textId="77777777" w:rsidR="00096CF7" w:rsidRDefault="00096CF7" w:rsidP="0060798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0538">
      <w:rPr>
        <w:rStyle w:val="PageNumber"/>
        <w:noProof/>
      </w:rPr>
      <w:t>1</w:t>
    </w:r>
    <w:r>
      <w:rPr>
        <w:rStyle w:val="PageNumber"/>
      </w:rPr>
      <w:fldChar w:fldCharType="end"/>
    </w:r>
  </w:p>
  <w:p w14:paraId="6A8A1BA6" w14:textId="77777777" w:rsidR="00096CF7" w:rsidRDefault="00096C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0A322" w14:textId="77777777" w:rsidR="00310538" w:rsidRDefault="00310538" w:rsidP="00096CF7">
      <w:r>
        <w:separator/>
      </w:r>
    </w:p>
  </w:footnote>
  <w:footnote w:type="continuationSeparator" w:id="0">
    <w:p w14:paraId="5D59AAFB" w14:textId="77777777" w:rsidR="00310538" w:rsidRDefault="00310538" w:rsidP="00096C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686C61"/>
    <w:multiLevelType w:val="hybridMultilevel"/>
    <w:tmpl w:val="1506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F0085D"/>
    <w:multiLevelType w:val="hybridMultilevel"/>
    <w:tmpl w:val="1F347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AA"/>
    <w:rsid w:val="00012407"/>
    <w:rsid w:val="00096CF7"/>
    <w:rsid w:val="001E42BB"/>
    <w:rsid w:val="00310538"/>
    <w:rsid w:val="00312D47"/>
    <w:rsid w:val="006D4AAF"/>
    <w:rsid w:val="006D68FF"/>
    <w:rsid w:val="00734CDF"/>
    <w:rsid w:val="00751D38"/>
    <w:rsid w:val="0076221C"/>
    <w:rsid w:val="008415C6"/>
    <w:rsid w:val="008E0177"/>
    <w:rsid w:val="008E5614"/>
    <w:rsid w:val="00912581"/>
    <w:rsid w:val="00984A8F"/>
    <w:rsid w:val="009B07B4"/>
    <w:rsid w:val="009B5F83"/>
    <w:rsid w:val="00C36EF9"/>
    <w:rsid w:val="00C535AE"/>
    <w:rsid w:val="00C75785"/>
    <w:rsid w:val="00CD0BAA"/>
    <w:rsid w:val="00CF7430"/>
    <w:rsid w:val="00D8366B"/>
    <w:rsid w:val="00E12E4D"/>
    <w:rsid w:val="00E34FC4"/>
    <w:rsid w:val="00EC13AC"/>
    <w:rsid w:val="00F50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D571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BAA"/>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CD0BAA"/>
    <w:rPr>
      <w:b/>
      <w:bCs/>
    </w:rPr>
  </w:style>
  <w:style w:type="character" w:styleId="Hyperlink">
    <w:name w:val="Hyperlink"/>
    <w:basedOn w:val="DefaultParagraphFont"/>
    <w:uiPriority w:val="99"/>
    <w:unhideWhenUsed/>
    <w:rsid w:val="00CD0BAA"/>
    <w:rPr>
      <w:color w:val="0000FF"/>
      <w:u w:val="single"/>
    </w:rPr>
  </w:style>
  <w:style w:type="character" w:customStyle="1" w:styleId="element-invisible">
    <w:name w:val="element-invisible"/>
    <w:basedOn w:val="DefaultParagraphFont"/>
    <w:rsid w:val="00CD0BAA"/>
  </w:style>
  <w:style w:type="paragraph" w:styleId="Footer">
    <w:name w:val="footer"/>
    <w:basedOn w:val="Normal"/>
    <w:link w:val="FooterChar"/>
    <w:uiPriority w:val="99"/>
    <w:unhideWhenUsed/>
    <w:rsid w:val="00096CF7"/>
    <w:pPr>
      <w:tabs>
        <w:tab w:val="center" w:pos="4680"/>
        <w:tab w:val="right" w:pos="9360"/>
      </w:tabs>
    </w:pPr>
  </w:style>
  <w:style w:type="character" w:customStyle="1" w:styleId="FooterChar">
    <w:name w:val="Footer Char"/>
    <w:basedOn w:val="DefaultParagraphFont"/>
    <w:link w:val="Footer"/>
    <w:uiPriority w:val="99"/>
    <w:rsid w:val="00096CF7"/>
  </w:style>
  <w:style w:type="character" w:styleId="PageNumber">
    <w:name w:val="page number"/>
    <w:basedOn w:val="DefaultParagraphFont"/>
    <w:uiPriority w:val="99"/>
    <w:semiHidden/>
    <w:unhideWhenUsed/>
    <w:rsid w:val="00096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42864">
      <w:bodyDiv w:val="1"/>
      <w:marLeft w:val="0"/>
      <w:marRight w:val="0"/>
      <w:marTop w:val="0"/>
      <w:marBottom w:val="0"/>
      <w:divBdr>
        <w:top w:val="none" w:sz="0" w:space="0" w:color="auto"/>
        <w:left w:val="none" w:sz="0" w:space="0" w:color="auto"/>
        <w:bottom w:val="none" w:sz="0" w:space="0" w:color="auto"/>
        <w:right w:val="none" w:sz="0" w:space="0" w:color="auto"/>
      </w:divBdr>
    </w:div>
    <w:div w:id="1442457154">
      <w:bodyDiv w:val="1"/>
      <w:marLeft w:val="0"/>
      <w:marRight w:val="0"/>
      <w:marTop w:val="0"/>
      <w:marBottom w:val="0"/>
      <w:divBdr>
        <w:top w:val="none" w:sz="0" w:space="0" w:color="auto"/>
        <w:left w:val="none" w:sz="0" w:space="0" w:color="auto"/>
        <w:bottom w:val="none" w:sz="0" w:space="0" w:color="auto"/>
        <w:right w:val="none" w:sz="0" w:space="0" w:color="auto"/>
      </w:divBdr>
    </w:div>
    <w:div w:id="1487938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nso.icann.org/en/group-activities/active/gtld-registration-data-epdp"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1265</Words>
  <Characters>7215</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Hickson</dc:creator>
  <cp:keywords/>
  <dc:description/>
  <cp:lastModifiedBy>Nigel Hickson</cp:lastModifiedBy>
  <cp:revision>2</cp:revision>
  <dcterms:created xsi:type="dcterms:W3CDTF">2019-04-12T22:24:00Z</dcterms:created>
  <dcterms:modified xsi:type="dcterms:W3CDTF">2019-04-12T22:24:00Z</dcterms:modified>
</cp:coreProperties>
</file>