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AC66" w14:textId="11A447DF" w:rsidR="00676A07" w:rsidRPr="007F7501" w:rsidRDefault="00D30FDC">
      <w:pPr>
        <w:rPr>
          <w:b/>
          <w:sz w:val="22"/>
          <w:szCs w:val="22"/>
        </w:rPr>
      </w:pPr>
      <w:r w:rsidRPr="007F7501">
        <w:rPr>
          <w:b/>
          <w:sz w:val="22"/>
          <w:szCs w:val="22"/>
        </w:rPr>
        <w:t>EPDP Phase 2: Clarifying Legal Questions Table</w:t>
      </w:r>
    </w:p>
    <w:p w14:paraId="6665EB95" w14:textId="6F0BAE75" w:rsidR="009111E8" w:rsidRPr="007F7501" w:rsidRDefault="009111E8">
      <w:pPr>
        <w:rPr>
          <w:b/>
          <w:sz w:val="22"/>
          <w:szCs w:val="22"/>
        </w:rPr>
      </w:pPr>
    </w:p>
    <w:p w14:paraId="2019E9A3" w14:textId="77777777" w:rsidR="00585504" w:rsidRPr="007F7501" w:rsidRDefault="009111E8">
      <w:pPr>
        <w:rPr>
          <w:sz w:val="22"/>
          <w:szCs w:val="22"/>
        </w:rPr>
      </w:pPr>
      <w:r w:rsidRPr="007F7501">
        <w:rPr>
          <w:sz w:val="22"/>
          <w:szCs w:val="22"/>
        </w:rPr>
        <w:t xml:space="preserve">The below table seeks to categorize the clarifying questions received to date by aligning them with the Phase 1 legal memos from Bird &amp; Bird and identifying their relevance </w:t>
      </w:r>
      <w:r w:rsidR="00585504" w:rsidRPr="007F7501">
        <w:rPr>
          <w:sz w:val="22"/>
          <w:szCs w:val="22"/>
        </w:rPr>
        <w:t>for</w:t>
      </w:r>
      <w:r w:rsidRPr="007F7501">
        <w:rPr>
          <w:sz w:val="22"/>
          <w:szCs w:val="22"/>
        </w:rPr>
        <w:t xml:space="preserve"> the EPDP Team’s work in Phase 2. </w:t>
      </w:r>
    </w:p>
    <w:p w14:paraId="294A8BBF" w14:textId="77777777" w:rsidR="00585504" w:rsidRPr="007F7501" w:rsidRDefault="00585504">
      <w:pPr>
        <w:rPr>
          <w:sz w:val="22"/>
          <w:szCs w:val="22"/>
        </w:rPr>
      </w:pPr>
    </w:p>
    <w:p w14:paraId="2E30BDF5" w14:textId="006D0561" w:rsidR="009111E8" w:rsidRDefault="00917C43">
      <w:pPr>
        <w:rPr>
          <w:sz w:val="22"/>
          <w:szCs w:val="22"/>
        </w:rPr>
      </w:pPr>
      <w:r w:rsidRPr="007F7501">
        <w:rPr>
          <w:sz w:val="22"/>
          <w:szCs w:val="22"/>
        </w:rPr>
        <w:t xml:space="preserve">EPDP Support Staff has endeavored to assign an explanation of the Phase 2 relevance, noting that the EPDP Team will have a finite resource allotted for external legal counsel in Phase 2. Accordingly, it will be important </w:t>
      </w:r>
      <w:r w:rsidR="00585504" w:rsidRPr="007F7501">
        <w:rPr>
          <w:sz w:val="22"/>
          <w:szCs w:val="22"/>
        </w:rPr>
        <w:t xml:space="preserve">for the EPDP Team, or a subset thereof, </w:t>
      </w:r>
      <w:r w:rsidRPr="007F7501">
        <w:rPr>
          <w:sz w:val="22"/>
          <w:szCs w:val="22"/>
        </w:rPr>
        <w:t>to prior</w:t>
      </w:r>
      <w:r w:rsidR="00585504" w:rsidRPr="007F7501">
        <w:rPr>
          <w:sz w:val="22"/>
          <w:szCs w:val="22"/>
        </w:rPr>
        <w:t>i</w:t>
      </w:r>
      <w:r w:rsidRPr="007F7501">
        <w:rPr>
          <w:sz w:val="22"/>
          <w:szCs w:val="22"/>
        </w:rPr>
        <w:t xml:space="preserve">tize </w:t>
      </w:r>
      <w:r w:rsidR="005A0E1E">
        <w:rPr>
          <w:sz w:val="22"/>
          <w:szCs w:val="22"/>
        </w:rPr>
        <w:t>necessary questions to be posed to</w:t>
      </w:r>
      <w:r w:rsidRPr="007F7501">
        <w:rPr>
          <w:sz w:val="22"/>
          <w:szCs w:val="22"/>
        </w:rPr>
        <w:t xml:space="preserve"> outside </w:t>
      </w:r>
      <w:r w:rsidR="005A0E1E">
        <w:rPr>
          <w:sz w:val="22"/>
          <w:szCs w:val="22"/>
        </w:rPr>
        <w:t>counsel</w:t>
      </w:r>
      <w:r w:rsidR="007B69A4">
        <w:rPr>
          <w:sz w:val="22"/>
          <w:szCs w:val="22"/>
        </w:rPr>
        <w:t>.</w:t>
      </w:r>
      <w:r w:rsidRPr="007F7501">
        <w:rPr>
          <w:sz w:val="22"/>
          <w:szCs w:val="22"/>
        </w:rPr>
        <w:t xml:space="preserve"> </w:t>
      </w:r>
      <w:r w:rsidR="007B69A4">
        <w:rPr>
          <w:sz w:val="22"/>
          <w:szCs w:val="22"/>
        </w:rPr>
        <w:t xml:space="preserve">When reviewing the below questions, </w:t>
      </w:r>
      <w:r w:rsidRPr="007F7501">
        <w:rPr>
          <w:sz w:val="22"/>
          <w:szCs w:val="22"/>
        </w:rPr>
        <w:t>the Team</w:t>
      </w:r>
      <w:r w:rsidR="007B69A4">
        <w:rPr>
          <w:sz w:val="22"/>
          <w:szCs w:val="22"/>
        </w:rPr>
        <w:t xml:space="preserve"> should consider if additional information would</w:t>
      </w:r>
      <w:r w:rsidRPr="007F7501">
        <w:rPr>
          <w:sz w:val="22"/>
          <w:szCs w:val="22"/>
        </w:rPr>
        <w:t xml:space="preserve"> </w:t>
      </w:r>
      <w:r w:rsidR="007B69A4">
        <w:rPr>
          <w:sz w:val="22"/>
          <w:szCs w:val="22"/>
        </w:rPr>
        <w:t xml:space="preserve">assist in moving its work forward by </w:t>
      </w:r>
      <w:r w:rsidRPr="007F7501">
        <w:rPr>
          <w:sz w:val="22"/>
          <w:szCs w:val="22"/>
        </w:rPr>
        <w:t>either (1) a</w:t>
      </w:r>
      <w:r w:rsidR="007B69A4">
        <w:rPr>
          <w:sz w:val="22"/>
          <w:szCs w:val="22"/>
        </w:rPr>
        <w:t>ddressing</w:t>
      </w:r>
      <w:r w:rsidRPr="007F7501">
        <w:rPr>
          <w:sz w:val="22"/>
          <w:szCs w:val="22"/>
        </w:rPr>
        <w:t xml:space="preserve"> the charter questions </w:t>
      </w:r>
      <w:r w:rsidR="00585504" w:rsidRPr="007F7501">
        <w:rPr>
          <w:sz w:val="22"/>
          <w:szCs w:val="22"/>
        </w:rPr>
        <w:t xml:space="preserve">identified for Phase 2 </w:t>
      </w:r>
      <w:r w:rsidRPr="007F7501">
        <w:rPr>
          <w:sz w:val="22"/>
          <w:szCs w:val="22"/>
        </w:rPr>
        <w:t xml:space="preserve">or (2) </w:t>
      </w:r>
      <w:r w:rsidR="00585504" w:rsidRPr="007F7501">
        <w:rPr>
          <w:sz w:val="22"/>
          <w:szCs w:val="22"/>
        </w:rPr>
        <w:t>a</w:t>
      </w:r>
      <w:r w:rsidR="007B69A4">
        <w:rPr>
          <w:sz w:val="22"/>
          <w:szCs w:val="22"/>
        </w:rPr>
        <w:t>ddressing</w:t>
      </w:r>
      <w:r w:rsidR="00585504" w:rsidRPr="007F7501">
        <w:rPr>
          <w:sz w:val="22"/>
          <w:szCs w:val="22"/>
        </w:rPr>
        <w:t xml:space="preserve"> specifically-identified questions or areas noted in the Phase 1 Final Report that were to be further considered in Phase 2</w:t>
      </w:r>
      <w:r w:rsidRPr="007F7501">
        <w:rPr>
          <w:sz w:val="22"/>
          <w:szCs w:val="22"/>
        </w:rPr>
        <w:t>.</w:t>
      </w:r>
      <w:r w:rsidR="00585504" w:rsidRPr="007F7501">
        <w:rPr>
          <w:sz w:val="22"/>
          <w:szCs w:val="22"/>
        </w:rPr>
        <w:t xml:space="preserve"> </w:t>
      </w:r>
    </w:p>
    <w:p w14:paraId="717411E8" w14:textId="0CDFEFEA" w:rsidR="00FD0D57" w:rsidRDefault="00FD0D57">
      <w:pPr>
        <w:rPr>
          <w:sz w:val="22"/>
          <w:szCs w:val="22"/>
        </w:rPr>
      </w:pPr>
    </w:p>
    <w:p w14:paraId="0603A1FA" w14:textId="671260FE" w:rsidR="00FD0D57" w:rsidRPr="007F7501" w:rsidRDefault="008768AA">
      <w:pPr>
        <w:rPr>
          <w:sz w:val="22"/>
          <w:szCs w:val="22"/>
        </w:rPr>
      </w:pPr>
      <w:r>
        <w:rPr>
          <w:sz w:val="22"/>
          <w:szCs w:val="22"/>
        </w:rPr>
        <w:t xml:space="preserve">Please note some of the questions have been rephrased to ensure consistency in style; however, the </w:t>
      </w:r>
      <w:r w:rsidR="00AE5EEC">
        <w:rPr>
          <w:sz w:val="22"/>
          <w:szCs w:val="22"/>
        </w:rPr>
        <w:t xml:space="preserve">submitting group is noted and the </w:t>
      </w:r>
      <w:r>
        <w:rPr>
          <w:sz w:val="22"/>
          <w:szCs w:val="22"/>
        </w:rPr>
        <w:t>original questions have been included and referenced</w:t>
      </w:r>
      <w:r w:rsidR="00AE5EEC">
        <w:rPr>
          <w:sz w:val="22"/>
          <w:szCs w:val="22"/>
        </w:rPr>
        <w:t xml:space="preserve"> at the end of the document. The submitting group is, of course, welcome to review the questions and note where the intent or essence of the question was not captured correctly.</w:t>
      </w:r>
    </w:p>
    <w:p w14:paraId="2CC65AA0" w14:textId="77777777" w:rsidR="00D30FDC" w:rsidRPr="007F7501" w:rsidRDefault="00D30FDC">
      <w:pPr>
        <w:rPr>
          <w:sz w:val="22"/>
          <w:szCs w:val="22"/>
        </w:rPr>
      </w:pPr>
    </w:p>
    <w:tbl>
      <w:tblPr>
        <w:tblStyle w:val="TableGrid"/>
        <w:tblW w:w="0" w:type="auto"/>
        <w:tblLook w:val="04A0" w:firstRow="1" w:lastRow="0" w:firstColumn="1" w:lastColumn="0" w:noHBand="0" w:noVBand="1"/>
      </w:tblPr>
      <w:tblGrid>
        <w:gridCol w:w="2306"/>
        <w:gridCol w:w="6593"/>
        <w:gridCol w:w="2934"/>
        <w:gridCol w:w="2521"/>
      </w:tblGrid>
      <w:tr w:rsidR="00587011" w:rsidRPr="007F7501" w14:paraId="3F6789A1" w14:textId="3C762D25" w:rsidTr="00587011">
        <w:tc>
          <w:tcPr>
            <w:tcW w:w="2306"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658B2EA0" w14:textId="77777777" w:rsidR="00587011" w:rsidRPr="007F7501" w:rsidRDefault="00587011" w:rsidP="008D49D8">
            <w:pPr>
              <w:tabs>
                <w:tab w:val="num" w:pos="720"/>
              </w:tabs>
              <w:spacing w:before="100" w:beforeAutospacing="1" w:after="100" w:afterAutospacing="1"/>
              <w:jc w:val="center"/>
              <w:rPr>
                <w:b/>
                <w:sz w:val="22"/>
                <w:szCs w:val="22"/>
              </w:rPr>
            </w:pPr>
          </w:p>
          <w:p w14:paraId="77D3CA16" w14:textId="026E8905" w:rsidR="00587011" w:rsidRPr="007F7501" w:rsidRDefault="00587011" w:rsidP="008D49D8">
            <w:pPr>
              <w:tabs>
                <w:tab w:val="num" w:pos="720"/>
              </w:tabs>
              <w:spacing w:before="100" w:beforeAutospacing="1" w:after="100" w:afterAutospacing="1"/>
              <w:jc w:val="center"/>
              <w:rPr>
                <w:b/>
                <w:sz w:val="22"/>
                <w:szCs w:val="22"/>
              </w:rPr>
            </w:pPr>
            <w:r w:rsidRPr="007F7501">
              <w:rPr>
                <w:b/>
                <w:sz w:val="22"/>
                <w:szCs w:val="22"/>
              </w:rPr>
              <w:t>Memo Topic</w:t>
            </w:r>
          </w:p>
          <w:p w14:paraId="74CC2340" w14:textId="79CE3BA9" w:rsidR="00587011" w:rsidRPr="007F7501" w:rsidRDefault="00587011" w:rsidP="008D49D8">
            <w:pPr>
              <w:tabs>
                <w:tab w:val="num" w:pos="720"/>
              </w:tabs>
              <w:spacing w:before="100" w:beforeAutospacing="1" w:after="100" w:afterAutospacing="1"/>
              <w:jc w:val="center"/>
              <w:rPr>
                <w:b/>
                <w:sz w:val="22"/>
                <w:szCs w:val="22"/>
              </w:rPr>
            </w:pPr>
          </w:p>
        </w:tc>
        <w:tc>
          <w:tcPr>
            <w:tcW w:w="6593"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3E2CD9DE" w14:textId="77777777" w:rsidR="00587011" w:rsidRPr="007F7501" w:rsidRDefault="00587011" w:rsidP="008D49D8">
            <w:pPr>
              <w:tabs>
                <w:tab w:val="num" w:pos="720"/>
              </w:tabs>
              <w:spacing w:before="100" w:beforeAutospacing="1" w:after="100" w:afterAutospacing="1"/>
              <w:jc w:val="center"/>
              <w:rPr>
                <w:b/>
                <w:sz w:val="22"/>
                <w:szCs w:val="22"/>
              </w:rPr>
            </w:pPr>
          </w:p>
          <w:p w14:paraId="56713546" w14:textId="2788979B" w:rsidR="00587011" w:rsidRPr="007F7501" w:rsidRDefault="00587011" w:rsidP="008D49D8">
            <w:pPr>
              <w:tabs>
                <w:tab w:val="num" w:pos="720"/>
              </w:tabs>
              <w:spacing w:before="100" w:beforeAutospacing="1" w:after="100" w:afterAutospacing="1"/>
              <w:jc w:val="center"/>
              <w:rPr>
                <w:b/>
                <w:sz w:val="22"/>
                <w:szCs w:val="22"/>
              </w:rPr>
            </w:pPr>
            <w:r w:rsidRPr="007F7501">
              <w:rPr>
                <w:b/>
                <w:sz w:val="22"/>
                <w:szCs w:val="22"/>
              </w:rPr>
              <w:t>Questions Received</w:t>
            </w:r>
          </w:p>
        </w:tc>
        <w:tc>
          <w:tcPr>
            <w:tcW w:w="2934"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28E7E6C3" w14:textId="77777777" w:rsidR="00587011" w:rsidRPr="007F7501" w:rsidRDefault="00587011" w:rsidP="008D49D8">
            <w:pPr>
              <w:tabs>
                <w:tab w:val="num" w:pos="720"/>
              </w:tabs>
              <w:spacing w:before="100" w:beforeAutospacing="1" w:after="100" w:afterAutospacing="1"/>
              <w:jc w:val="center"/>
              <w:rPr>
                <w:b/>
                <w:sz w:val="22"/>
                <w:szCs w:val="22"/>
              </w:rPr>
            </w:pPr>
          </w:p>
          <w:p w14:paraId="5015B557" w14:textId="59AEFB34" w:rsidR="00587011" w:rsidRPr="007F7501" w:rsidRDefault="00587011" w:rsidP="008D49D8">
            <w:pPr>
              <w:tabs>
                <w:tab w:val="num" w:pos="720"/>
              </w:tabs>
              <w:spacing w:before="100" w:beforeAutospacing="1" w:after="100" w:afterAutospacing="1"/>
              <w:jc w:val="center"/>
              <w:rPr>
                <w:b/>
                <w:sz w:val="22"/>
                <w:szCs w:val="22"/>
              </w:rPr>
            </w:pPr>
            <w:r w:rsidRPr="007F7501">
              <w:rPr>
                <w:b/>
                <w:sz w:val="22"/>
                <w:szCs w:val="22"/>
              </w:rPr>
              <w:t>Phase 2 Relevance</w:t>
            </w:r>
          </w:p>
        </w:tc>
        <w:tc>
          <w:tcPr>
            <w:tcW w:w="2521"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4222E017" w14:textId="77777777" w:rsidR="00587011" w:rsidRDefault="00587011" w:rsidP="008D49D8">
            <w:pPr>
              <w:tabs>
                <w:tab w:val="num" w:pos="720"/>
              </w:tabs>
              <w:spacing w:before="100" w:beforeAutospacing="1" w:after="100" w:afterAutospacing="1"/>
              <w:jc w:val="center"/>
              <w:rPr>
                <w:b/>
                <w:sz w:val="22"/>
                <w:szCs w:val="22"/>
              </w:rPr>
            </w:pPr>
          </w:p>
          <w:p w14:paraId="1CAEA734" w14:textId="58BBC40A" w:rsidR="00587011" w:rsidRPr="00587011" w:rsidRDefault="00587011" w:rsidP="008D49D8">
            <w:pPr>
              <w:tabs>
                <w:tab w:val="num" w:pos="720"/>
              </w:tabs>
              <w:spacing w:before="100" w:beforeAutospacing="1" w:after="100" w:afterAutospacing="1"/>
              <w:jc w:val="center"/>
              <w:rPr>
                <w:b/>
                <w:sz w:val="22"/>
                <w:szCs w:val="22"/>
              </w:rPr>
            </w:pPr>
            <w:r>
              <w:rPr>
                <w:b/>
                <w:sz w:val="22"/>
                <w:szCs w:val="22"/>
              </w:rPr>
              <w:t>EPDP Questions to Consider</w:t>
            </w:r>
          </w:p>
        </w:tc>
      </w:tr>
      <w:tr w:rsidR="00587011" w:rsidRPr="007F7501" w14:paraId="13085BE6" w14:textId="735149A8" w:rsidTr="00587011">
        <w:tc>
          <w:tcPr>
            <w:tcW w:w="2306" w:type="dxa"/>
            <w:tcBorders>
              <w:top w:val="single" w:sz="18" w:space="0" w:color="auto"/>
              <w:left w:val="single" w:sz="18" w:space="0" w:color="auto"/>
              <w:bottom w:val="single" w:sz="18" w:space="0" w:color="auto"/>
              <w:right w:val="single" w:sz="18" w:space="0" w:color="auto"/>
            </w:tcBorders>
          </w:tcPr>
          <w:p w14:paraId="0217ABB3" w14:textId="691014ED" w:rsidR="00587011" w:rsidRPr="007F7501" w:rsidRDefault="00587011" w:rsidP="00585504">
            <w:pPr>
              <w:pStyle w:val="ListParagraph"/>
              <w:numPr>
                <w:ilvl w:val="0"/>
                <w:numId w:val="19"/>
              </w:numPr>
              <w:spacing w:before="100" w:beforeAutospacing="1" w:after="100" w:afterAutospacing="1"/>
              <w:rPr>
                <w:rFonts w:cstheme="minorHAnsi"/>
                <w:sz w:val="22"/>
                <w:szCs w:val="22"/>
              </w:rPr>
            </w:pPr>
            <w:r w:rsidRPr="007F7501">
              <w:rPr>
                <w:sz w:val="22"/>
                <w:szCs w:val="22"/>
              </w:rPr>
              <w:fldChar w:fldCharType="begin"/>
            </w:r>
            <w:r w:rsidRPr="007F7501">
              <w:rPr>
                <w:sz w:val="22"/>
                <w:szCs w:val="22"/>
              </w:rPr>
              <w:instrText xml:space="preserve"> HYPERLINK "https://community.icann.org/download/attachments/102138857/6%281%29%28b%29%20Memo.docx?version=1&amp;modificationDate=1548874809000&amp;api=v2" </w:instrText>
            </w:r>
            <w:r w:rsidRPr="007F7501">
              <w:rPr>
                <w:sz w:val="22"/>
                <w:szCs w:val="22"/>
              </w:rPr>
              <w:fldChar w:fldCharType="separate"/>
            </w:r>
            <w:r w:rsidRPr="007F7501">
              <w:rPr>
                <w:rFonts w:eastAsia="Times New Roman" w:cstheme="minorHAnsi"/>
                <w:color w:val="0052CC"/>
                <w:sz w:val="22"/>
                <w:szCs w:val="22"/>
                <w:u w:val="single"/>
              </w:rPr>
              <w:t>6(1)(b) Memo.docx</w:t>
            </w:r>
            <w:r w:rsidRPr="007F7501">
              <w:rPr>
                <w:rFonts w:eastAsia="Times New Roman" w:cstheme="minorHAnsi"/>
                <w:color w:val="0052CC"/>
                <w:sz w:val="22"/>
                <w:szCs w:val="22"/>
                <w:u w:val="single"/>
              </w:rPr>
              <w:fldChar w:fldCharType="end"/>
            </w:r>
          </w:p>
        </w:tc>
        <w:tc>
          <w:tcPr>
            <w:tcW w:w="6593" w:type="dxa"/>
            <w:tcBorders>
              <w:top w:val="single" w:sz="18" w:space="0" w:color="auto"/>
              <w:left w:val="single" w:sz="18" w:space="0" w:color="auto"/>
              <w:bottom w:val="single" w:sz="18" w:space="0" w:color="auto"/>
              <w:right w:val="single" w:sz="18" w:space="0" w:color="auto"/>
            </w:tcBorders>
          </w:tcPr>
          <w:p w14:paraId="56E9C29D" w14:textId="69A16E0D" w:rsidR="00587011" w:rsidRPr="007F7501" w:rsidRDefault="00587011" w:rsidP="00676A07">
            <w:pPr>
              <w:pStyle w:val="ListParagraph"/>
              <w:numPr>
                <w:ilvl w:val="0"/>
                <w:numId w:val="5"/>
              </w:numPr>
              <w:spacing w:line="276" w:lineRule="atLeast"/>
              <w:rPr>
                <w:rFonts w:cs="Calibri"/>
                <w:color w:val="000000"/>
                <w:sz w:val="22"/>
                <w:szCs w:val="22"/>
              </w:rPr>
            </w:pPr>
            <w:r w:rsidRPr="007F7501">
              <w:rPr>
                <w:rFonts w:cs="Calibri"/>
                <w:color w:val="000000"/>
                <w:sz w:val="22"/>
                <w:szCs w:val="22"/>
              </w:rPr>
              <w:t>Does the EDPB’s “Guidelines 2/2019 on the processing of personal data under Art. 6(1)(b) GDPR in the context of the provision of online services to data subjects” (adopted 9 Apr. 2019) affect your analysis and, if so, how? (CPH)</w:t>
            </w:r>
          </w:p>
          <w:p w14:paraId="513B6B19" w14:textId="53465BBB" w:rsidR="00587011" w:rsidRPr="007F7501" w:rsidRDefault="00587011" w:rsidP="00676A07">
            <w:pPr>
              <w:pStyle w:val="ListParagraph"/>
              <w:numPr>
                <w:ilvl w:val="0"/>
                <w:numId w:val="5"/>
              </w:numPr>
              <w:spacing w:line="276" w:lineRule="atLeast"/>
              <w:rPr>
                <w:rFonts w:cs="Calibri"/>
                <w:color w:val="000000"/>
                <w:sz w:val="22"/>
                <w:szCs w:val="22"/>
              </w:rPr>
            </w:pPr>
            <w:r w:rsidRPr="007F7501">
              <w:rPr>
                <w:rFonts w:cs="Calibri"/>
                <w:color w:val="000000"/>
                <w:sz w:val="22"/>
                <w:szCs w:val="22"/>
              </w:rPr>
              <w:t>Does the 17 April 2019 communication from the European Commission with respect to ICANN’s purposes affect the previous analysis regarding DNS abuse being the only purpose for provision of WHOIS services and, if so, how? (BC)</w:t>
            </w:r>
          </w:p>
          <w:p w14:paraId="5670DDBE" w14:textId="77A5C82F" w:rsidR="00587011" w:rsidRPr="007F7501" w:rsidRDefault="00587011" w:rsidP="00917C43">
            <w:pPr>
              <w:pStyle w:val="ListParagraph"/>
              <w:numPr>
                <w:ilvl w:val="0"/>
                <w:numId w:val="5"/>
              </w:numPr>
              <w:rPr>
                <w:sz w:val="22"/>
                <w:szCs w:val="22"/>
              </w:rPr>
            </w:pPr>
            <w:r w:rsidRPr="007F7501">
              <w:rPr>
                <w:rFonts w:cs="Calibri"/>
                <w:color w:val="000000"/>
                <w:sz w:val="22"/>
                <w:szCs w:val="22"/>
              </w:rPr>
              <w:t>The European Commission recently referred to “</w:t>
            </w:r>
            <w:r w:rsidRPr="007F7501">
              <w:rPr>
                <w:iCs/>
                <w:color w:val="000000"/>
                <w:sz w:val="22"/>
                <w:szCs w:val="22"/>
              </w:rPr>
              <w:t>ICANN’s central role and responsibility for ensuring the security, stability and resilience of the Internet Domain Name System and that in doing so it acts in the public interest</w:t>
            </w:r>
            <w:r w:rsidRPr="007F7501">
              <w:rPr>
                <w:iCs/>
                <w:color w:val="000000"/>
                <w:sz w:val="22"/>
                <w:szCs w:val="22"/>
              </w:rPr>
              <w:t xml:space="preserve">”. In light of this statement, would </w:t>
            </w:r>
            <w:r w:rsidRPr="007F7501">
              <w:rPr>
                <w:rFonts w:cs="Calibri"/>
                <w:color w:val="000000"/>
                <w:sz w:val="22"/>
                <w:szCs w:val="22"/>
              </w:rPr>
              <w:t>Article 6(1)(e) of the GDPR be a lawful basis for ICANN’s processing of registration data? (BC)</w:t>
            </w:r>
          </w:p>
          <w:p w14:paraId="6122AD12" w14:textId="697BAD69" w:rsidR="00587011" w:rsidRPr="007F7501" w:rsidRDefault="00587011" w:rsidP="00676A07">
            <w:pPr>
              <w:tabs>
                <w:tab w:val="num" w:pos="720"/>
              </w:tabs>
              <w:spacing w:before="100" w:beforeAutospacing="1" w:after="100" w:afterAutospacing="1"/>
              <w:ind w:left="360"/>
              <w:rPr>
                <w:sz w:val="22"/>
                <w:szCs w:val="22"/>
              </w:rPr>
            </w:pPr>
          </w:p>
        </w:tc>
        <w:tc>
          <w:tcPr>
            <w:tcW w:w="2934" w:type="dxa"/>
            <w:tcBorders>
              <w:top w:val="single" w:sz="18" w:space="0" w:color="auto"/>
              <w:left w:val="single" w:sz="18" w:space="0" w:color="auto"/>
              <w:bottom w:val="single" w:sz="18" w:space="0" w:color="auto"/>
              <w:right w:val="single" w:sz="18" w:space="0" w:color="auto"/>
            </w:tcBorders>
          </w:tcPr>
          <w:p w14:paraId="18176B8E" w14:textId="77777777" w:rsidR="00587011" w:rsidRPr="007F7501" w:rsidRDefault="00587011" w:rsidP="00676A07">
            <w:pPr>
              <w:tabs>
                <w:tab w:val="num" w:pos="720"/>
              </w:tabs>
              <w:spacing w:before="100" w:beforeAutospacing="1" w:after="100" w:afterAutospacing="1"/>
              <w:rPr>
                <w:sz w:val="22"/>
                <w:szCs w:val="22"/>
              </w:rPr>
            </w:pPr>
            <w:r w:rsidRPr="007F7501">
              <w:rPr>
                <w:sz w:val="22"/>
                <w:szCs w:val="22"/>
              </w:rPr>
              <w:t>Phase 2 includes the Charter Questions:</w:t>
            </w:r>
          </w:p>
          <w:p w14:paraId="4E1416E5" w14:textId="23B6D376" w:rsidR="00587011" w:rsidRPr="007F7501" w:rsidRDefault="00587011" w:rsidP="00676A07">
            <w:pPr>
              <w:tabs>
                <w:tab w:val="num" w:pos="720"/>
              </w:tabs>
              <w:spacing w:before="100" w:beforeAutospacing="1" w:after="100" w:afterAutospacing="1"/>
              <w:rPr>
                <w:sz w:val="22"/>
                <w:szCs w:val="22"/>
              </w:rPr>
            </w:pPr>
            <w:r w:rsidRPr="007F7501">
              <w:rPr>
                <w:sz w:val="22"/>
                <w:szCs w:val="22"/>
              </w:rPr>
              <w:t>a1) Under applicable law, what are legitimate purposes for third parties to access registration data?</w:t>
            </w:r>
          </w:p>
          <w:p w14:paraId="0A89E792" w14:textId="77777777" w:rsidR="00587011" w:rsidRPr="007F7501" w:rsidRDefault="00587011" w:rsidP="00676A07">
            <w:pPr>
              <w:tabs>
                <w:tab w:val="num" w:pos="720"/>
              </w:tabs>
              <w:spacing w:before="100" w:beforeAutospacing="1" w:after="100" w:afterAutospacing="1"/>
              <w:rPr>
                <w:sz w:val="22"/>
                <w:szCs w:val="22"/>
              </w:rPr>
            </w:pPr>
            <w:r w:rsidRPr="007F7501">
              <w:rPr>
                <w:sz w:val="22"/>
                <w:szCs w:val="22"/>
              </w:rPr>
              <w:t>a2) What legal bases exist to support this access?</w:t>
            </w:r>
          </w:p>
          <w:p w14:paraId="0A566A7B" w14:textId="6E506526" w:rsidR="00587011" w:rsidRPr="007F7501" w:rsidRDefault="00587011" w:rsidP="00A2184E">
            <w:pPr>
              <w:tabs>
                <w:tab w:val="num" w:pos="720"/>
              </w:tabs>
              <w:spacing w:before="100" w:beforeAutospacing="1" w:after="100" w:afterAutospacing="1"/>
              <w:rPr>
                <w:sz w:val="22"/>
                <w:szCs w:val="22"/>
              </w:rPr>
            </w:pPr>
          </w:p>
        </w:tc>
        <w:tc>
          <w:tcPr>
            <w:tcW w:w="2521" w:type="dxa"/>
            <w:tcBorders>
              <w:top w:val="single" w:sz="18" w:space="0" w:color="auto"/>
              <w:left w:val="single" w:sz="18" w:space="0" w:color="auto"/>
              <w:bottom w:val="single" w:sz="18" w:space="0" w:color="auto"/>
              <w:right w:val="single" w:sz="18" w:space="0" w:color="auto"/>
            </w:tcBorders>
          </w:tcPr>
          <w:p w14:paraId="3384ECF2" w14:textId="77777777" w:rsidR="00587011" w:rsidRPr="007F7501" w:rsidRDefault="00587011" w:rsidP="00587011">
            <w:pPr>
              <w:tabs>
                <w:tab w:val="num" w:pos="720"/>
              </w:tabs>
              <w:spacing w:before="100" w:beforeAutospacing="1" w:after="100" w:afterAutospacing="1"/>
              <w:rPr>
                <w:sz w:val="22"/>
                <w:szCs w:val="22"/>
              </w:rPr>
            </w:pPr>
            <w:r w:rsidRPr="007F7501">
              <w:rPr>
                <w:sz w:val="22"/>
                <w:szCs w:val="22"/>
              </w:rPr>
              <w:t xml:space="preserve">Is the distinction re: ICANN’s legal basis of 6(1)(b) vs. 6(1)(f) relevant for the purposes of these Phase 2 charter questions? </w:t>
            </w:r>
          </w:p>
          <w:p w14:paraId="1083B516" w14:textId="1D4545F0" w:rsidR="00587011" w:rsidRPr="007F7501" w:rsidRDefault="00587011" w:rsidP="00676A07">
            <w:pPr>
              <w:tabs>
                <w:tab w:val="num" w:pos="720"/>
              </w:tabs>
              <w:spacing w:before="100" w:beforeAutospacing="1" w:after="100" w:afterAutospacing="1"/>
              <w:rPr>
                <w:sz w:val="22"/>
                <w:szCs w:val="22"/>
              </w:rPr>
            </w:pPr>
            <w:r w:rsidRPr="007F7501">
              <w:rPr>
                <w:sz w:val="22"/>
                <w:szCs w:val="22"/>
              </w:rPr>
              <w:t>Is further analysis of 6(1)(e) as a lawful basis necessary to answer the above-referenced charter questions?</w:t>
            </w:r>
          </w:p>
        </w:tc>
      </w:tr>
      <w:tr w:rsidR="00587011" w:rsidRPr="007F7501" w14:paraId="1FDEAB6D" w14:textId="27C6B4A2" w:rsidTr="00587011">
        <w:tc>
          <w:tcPr>
            <w:tcW w:w="2306" w:type="dxa"/>
            <w:tcBorders>
              <w:top w:val="single" w:sz="18" w:space="0" w:color="auto"/>
              <w:left w:val="single" w:sz="18" w:space="0" w:color="000000"/>
              <w:bottom w:val="single" w:sz="18" w:space="0" w:color="000000"/>
              <w:right w:val="single" w:sz="18" w:space="0" w:color="000000"/>
            </w:tcBorders>
            <w:shd w:val="clear" w:color="auto" w:fill="FBE4D5" w:themeFill="accent2" w:themeFillTint="33"/>
          </w:tcPr>
          <w:p w14:paraId="42BA48B7" w14:textId="725F1778" w:rsidR="00587011" w:rsidRPr="007F7501" w:rsidRDefault="00587011" w:rsidP="00585504">
            <w:pPr>
              <w:pStyle w:val="ListParagraph"/>
              <w:numPr>
                <w:ilvl w:val="0"/>
                <w:numId w:val="19"/>
              </w:numPr>
              <w:spacing w:before="100" w:beforeAutospacing="1" w:after="100" w:afterAutospacing="1"/>
              <w:rPr>
                <w:rFonts w:cstheme="minorHAnsi"/>
                <w:sz w:val="22"/>
                <w:szCs w:val="22"/>
              </w:rPr>
            </w:pPr>
            <w:r w:rsidRPr="007F7501">
              <w:rPr>
                <w:sz w:val="22"/>
                <w:szCs w:val="22"/>
              </w:rPr>
              <w:lastRenderedPageBreak/>
              <w:fldChar w:fldCharType="begin"/>
            </w:r>
            <w:r w:rsidRPr="007F7501">
              <w:rPr>
                <w:sz w:val="22"/>
                <w:szCs w:val="22"/>
              </w:rPr>
              <w:instrText xml:space="preserve"> HYPERLINK "https://community.icann.org/download/attachments/102138857/Natural%20vs.%20Legal%20Memo.docx?version=1&amp;modificationDate=1548874825000&amp;api=v2" </w:instrText>
            </w:r>
            <w:r w:rsidRPr="007F7501">
              <w:rPr>
                <w:sz w:val="22"/>
                <w:szCs w:val="22"/>
              </w:rPr>
              <w:fldChar w:fldCharType="separate"/>
            </w:r>
            <w:r w:rsidRPr="007F7501">
              <w:rPr>
                <w:rFonts w:eastAsia="Times New Roman" w:cstheme="minorHAnsi"/>
                <w:color w:val="0052CC"/>
                <w:sz w:val="22"/>
                <w:szCs w:val="22"/>
                <w:u w:val="single"/>
              </w:rPr>
              <w:t>Natural vs. Legal Memo.docx</w:t>
            </w:r>
            <w:r w:rsidRPr="007F7501">
              <w:rPr>
                <w:rFonts w:eastAsia="Times New Roman" w:cstheme="minorHAnsi"/>
                <w:color w:val="0052CC"/>
                <w:sz w:val="22"/>
                <w:szCs w:val="22"/>
                <w:u w:val="single"/>
              </w:rPr>
              <w:fldChar w:fldCharType="end"/>
            </w:r>
          </w:p>
        </w:tc>
        <w:tc>
          <w:tcPr>
            <w:tcW w:w="6593" w:type="dxa"/>
            <w:tcBorders>
              <w:top w:val="single" w:sz="18" w:space="0" w:color="auto"/>
              <w:left w:val="single" w:sz="18" w:space="0" w:color="000000"/>
              <w:bottom w:val="single" w:sz="18" w:space="0" w:color="000000"/>
              <w:right w:val="single" w:sz="18" w:space="0" w:color="000000"/>
            </w:tcBorders>
            <w:shd w:val="clear" w:color="auto" w:fill="FBE4D5" w:themeFill="accent2" w:themeFillTint="33"/>
          </w:tcPr>
          <w:p w14:paraId="74F74519" w14:textId="13C21CE0" w:rsidR="00587011" w:rsidRPr="007F7501" w:rsidRDefault="00587011" w:rsidP="00676A07">
            <w:pPr>
              <w:numPr>
                <w:ilvl w:val="0"/>
                <w:numId w:val="6"/>
              </w:numPr>
              <w:spacing w:line="276" w:lineRule="atLeast"/>
              <w:rPr>
                <w:color w:val="000000"/>
                <w:sz w:val="22"/>
                <w:szCs w:val="22"/>
              </w:rPr>
            </w:pPr>
            <w:r w:rsidRPr="007F7501">
              <w:rPr>
                <w:color w:val="000000"/>
                <w:sz w:val="22"/>
                <w:szCs w:val="22"/>
              </w:rPr>
              <w:t>Paragraph 14 references how “important it is that the personal data is accurate.” Whose perspective determines this importance (e.g., data subject, controller, processor, 3P)? (CPH)</w:t>
            </w:r>
          </w:p>
          <w:p w14:paraId="09D59CB1" w14:textId="3642D22A" w:rsidR="00587011" w:rsidRPr="007F7501" w:rsidRDefault="00587011" w:rsidP="00676A07">
            <w:pPr>
              <w:numPr>
                <w:ilvl w:val="0"/>
                <w:numId w:val="6"/>
              </w:numPr>
              <w:spacing w:line="276" w:lineRule="atLeast"/>
              <w:rPr>
                <w:color w:val="000000"/>
                <w:sz w:val="22"/>
                <w:szCs w:val="22"/>
              </w:rPr>
            </w:pPr>
            <w:r w:rsidRPr="007F7501">
              <w:rPr>
                <w:color w:val="000000"/>
                <w:sz w:val="22"/>
                <w:szCs w:val="22"/>
              </w:rPr>
              <w:t>Paragraph 17 references a “risk of liability.” How do you characterize the level of risk of liability - low, medium, or high?  What threshold (e.g., how likely) of registrant incorrect self-identification triggers this risk of liability? (CPH)</w:t>
            </w:r>
          </w:p>
          <w:p w14:paraId="4D22D933" w14:textId="1A3F2211" w:rsidR="00587011" w:rsidRPr="007F7501" w:rsidRDefault="00587011" w:rsidP="00676A07">
            <w:pPr>
              <w:numPr>
                <w:ilvl w:val="0"/>
                <w:numId w:val="6"/>
              </w:numPr>
              <w:spacing w:line="276" w:lineRule="atLeast"/>
              <w:rPr>
                <w:color w:val="000000"/>
                <w:sz w:val="22"/>
                <w:szCs w:val="22"/>
              </w:rPr>
            </w:pPr>
            <w:r w:rsidRPr="007F7501">
              <w:rPr>
                <w:color w:val="000000"/>
                <w:sz w:val="22"/>
                <w:szCs w:val="22"/>
              </w:rPr>
              <w:t>Could the risk of liability be mitigated if the registrant is asked if the email is “role based” or identifies an actual individual? (BC)</w:t>
            </w:r>
          </w:p>
          <w:p w14:paraId="4CF362F3" w14:textId="00382BB6" w:rsidR="00587011" w:rsidRPr="007F7501" w:rsidRDefault="00587011" w:rsidP="00676A07">
            <w:pPr>
              <w:numPr>
                <w:ilvl w:val="0"/>
                <w:numId w:val="6"/>
              </w:numPr>
              <w:spacing w:line="276" w:lineRule="atLeast"/>
              <w:rPr>
                <w:color w:val="000000"/>
                <w:sz w:val="22"/>
                <w:szCs w:val="22"/>
              </w:rPr>
            </w:pPr>
            <w:r w:rsidRPr="007F7501">
              <w:rPr>
                <w:color w:val="000000"/>
                <w:sz w:val="22"/>
                <w:szCs w:val="22"/>
              </w:rPr>
              <w:t>Is the level of risk of liability identified in response to #2 above the same for the liability referenced in paragraph 23?  If not, how and why is it different? (CPH)</w:t>
            </w:r>
          </w:p>
          <w:p w14:paraId="3027F3EC" w14:textId="7A621279" w:rsidR="00587011" w:rsidRPr="007F7501" w:rsidRDefault="00587011" w:rsidP="00676A07">
            <w:pPr>
              <w:numPr>
                <w:ilvl w:val="0"/>
                <w:numId w:val="6"/>
              </w:numPr>
              <w:spacing w:line="276" w:lineRule="atLeast"/>
              <w:rPr>
                <w:color w:val="000000"/>
                <w:sz w:val="22"/>
                <w:szCs w:val="22"/>
              </w:rPr>
            </w:pPr>
            <w:r w:rsidRPr="007F7501">
              <w:rPr>
                <w:color w:val="000000"/>
                <w:sz w:val="22"/>
                <w:szCs w:val="22"/>
              </w:rPr>
              <w:t>Are there any decisions, proceedings, or other guidance in which sending a confirmation email was found to decrease the risk of liability? (CPH)</w:t>
            </w:r>
          </w:p>
          <w:p w14:paraId="02B65AFF" w14:textId="16521163" w:rsidR="00587011" w:rsidRPr="007F7501" w:rsidRDefault="00587011" w:rsidP="00676A07">
            <w:pPr>
              <w:numPr>
                <w:ilvl w:val="0"/>
                <w:numId w:val="6"/>
              </w:numPr>
              <w:spacing w:line="276" w:lineRule="atLeast"/>
              <w:rPr>
                <w:color w:val="000000"/>
                <w:sz w:val="22"/>
                <w:szCs w:val="22"/>
              </w:rPr>
            </w:pPr>
            <w:r w:rsidRPr="007F7501">
              <w:rPr>
                <w:color w:val="000000"/>
                <w:sz w:val="22"/>
                <w:szCs w:val="22"/>
              </w:rPr>
              <w:t>Did this analysis consider how ccTLDs currently distinguish between natural and legal persons? (BC)</w:t>
            </w:r>
          </w:p>
          <w:p w14:paraId="3EB99F67" w14:textId="03752A56" w:rsidR="00587011" w:rsidRPr="007F7501" w:rsidRDefault="00587011" w:rsidP="00272E10">
            <w:pPr>
              <w:spacing w:line="276" w:lineRule="atLeast"/>
              <w:ind w:left="360"/>
              <w:rPr>
                <w:color w:val="000000"/>
                <w:sz w:val="22"/>
                <w:szCs w:val="22"/>
              </w:rPr>
            </w:pPr>
          </w:p>
          <w:p w14:paraId="7F847D3A" w14:textId="77777777" w:rsidR="00587011" w:rsidRPr="007F7501" w:rsidRDefault="00587011" w:rsidP="00676A07">
            <w:pPr>
              <w:tabs>
                <w:tab w:val="num" w:pos="720"/>
              </w:tabs>
              <w:spacing w:before="100" w:beforeAutospacing="1" w:after="100" w:afterAutospacing="1"/>
              <w:rPr>
                <w:sz w:val="22"/>
                <w:szCs w:val="22"/>
              </w:rPr>
            </w:pPr>
          </w:p>
        </w:tc>
        <w:tc>
          <w:tcPr>
            <w:tcW w:w="2934" w:type="dxa"/>
            <w:tcBorders>
              <w:top w:val="single" w:sz="18" w:space="0" w:color="auto"/>
              <w:left w:val="single" w:sz="18" w:space="0" w:color="000000"/>
              <w:bottom w:val="single" w:sz="18" w:space="0" w:color="000000"/>
              <w:right w:val="single" w:sz="18" w:space="0" w:color="000000"/>
            </w:tcBorders>
            <w:shd w:val="clear" w:color="auto" w:fill="FBE4D5" w:themeFill="accent2" w:themeFillTint="33"/>
          </w:tcPr>
          <w:p w14:paraId="5018E058" w14:textId="77777777" w:rsidR="00587011" w:rsidRPr="007F7501" w:rsidRDefault="00587011" w:rsidP="00676A07">
            <w:pPr>
              <w:tabs>
                <w:tab w:val="num" w:pos="720"/>
              </w:tabs>
              <w:spacing w:before="100" w:beforeAutospacing="1" w:after="100" w:afterAutospacing="1"/>
              <w:rPr>
                <w:sz w:val="22"/>
                <w:szCs w:val="22"/>
              </w:rPr>
            </w:pPr>
            <w:r w:rsidRPr="007F7501">
              <w:rPr>
                <w:sz w:val="22"/>
                <w:szCs w:val="22"/>
              </w:rPr>
              <w:t xml:space="preserve">Further to Recommendation 17 from the EPDP Team’s Final Report, the EPDP Team is expected to resolve the natural vs. legal issue in Phase 2. </w:t>
            </w:r>
          </w:p>
          <w:p w14:paraId="18C517BA" w14:textId="044D8588" w:rsidR="00587011" w:rsidRPr="00587011" w:rsidRDefault="00587011" w:rsidP="0097420E">
            <w:pPr>
              <w:rPr>
                <w:color w:val="000000"/>
                <w:sz w:val="22"/>
                <w:szCs w:val="22"/>
              </w:rPr>
            </w:pPr>
            <w:r w:rsidRPr="007F7501">
              <w:rPr>
                <w:sz w:val="22"/>
                <w:szCs w:val="22"/>
              </w:rPr>
              <w:t>Specifically, the EPDP Team will be looking to confirm</w:t>
            </w:r>
            <w:r w:rsidRPr="007F7501">
              <w:rPr>
                <w:color w:val="000000"/>
                <w:sz w:val="22"/>
                <w:szCs w:val="22"/>
              </w:rPr>
              <w:t xml:space="preserve"> (1) the feasibility and risks associated with differentiation of registrant status as legal or natural persons across multiple jurisdictions; (2) whether contracted parties should be allowed or required to treat legal and natural persons differently and; if the answer to (2) is ‘must be required’ (3) what mechanism is needed to ensure a reliable determination of legal vs. natural status.</w:t>
            </w:r>
          </w:p>
        </w:tc>
        <w:tc>
          <w:tcPr>
            <w:tcW w:w="2521" w:type="dxa"/>
            <w:tcBorders>
              <w:top w:val="single" w:sz="18" w:space="0" w:color="auto"/>
              <w:left w:val="single" w:sz="18" w:space="0" w:color="000000"/>
              <w:bottom w:val="single" w:sz="18" w:space="0" w:color="000000"/>
              <w:right w:val="single" w:sz="18" w:space="0" w:color="000000"/>
            </w:tcBorders>
            <w:shd w:val="clear" w:color="auto" w:fill="FBE4D5" w:themeFill="accent2" w:themeFillTint="33"/>
          </w:tcPr>
          <w:p w14:paraId="77E69AA4" w14:textId="2E62FF72" w:rsidR="007D5A78" w:rsidRDefault="00074688" w:rsidP="00676A07">
            <w:pPr>
              <w:tabs>
                <w:tab w:val="num" w:pos="720"/>
              </w:tabs>
              <w:spacing w:before="100" w:beforeAutospacing="1" w:after="100" w:afterAutospacing="1"/>
              <w:rPr>
                <w:sz w:val="22"/>
                <w:szCs w:val="22"/>
              </w:rPr>
            </w:pPr>
            <w:r>
              <w:rPr>
                <w:sz w:val="22"/>
                <w:szCs w:val="22"/>
              </w:rPr>
              <w:t>Will these questions assist the EPDP Team in its further analysis of differentiation based on natural vs. legal persons?</w:t>
            </w:r>
          </w:p>
          <w:p w14:paraId="0D0C61B4" w14:textId="64C77E96" w:rsidR="00587011" w:rsidRPr="007F7501" w:rsidRDefault="00587011" w:rsidP="00676A07">
            <w:pPr>
              <w:tabs>
                <w:tab w:val="num" w:pos="720"/>
              </w:tabs>
              <w:spacing w:before="100" w:beforeAutospacing="1" w:after="100" w:afterAutospacing="1"/>
              <w:rPr>
                <w:sz w:val="22"/>
                <w:szCs w:val="22"/>
              </w:rPr>
            </w:pPr>
            <w:r>
              <w:rPr>
                <w:sz w:val="22"/>
                <w:szCs w:val="22"/>
              </w:rPr>
              <w:t xml:space="preserve">Is </w:t>
            </w:r>
            <w:r w:rsidRPr="007F7501">
              <w:rPr>
                <w:sz w:val="22"/>
                <w:szCs w:val="22"/>
              </w:rPr>
              <w:t xml:space="preserve">Question 6 </w:t>
            </w:r>
            <w:r>
              <w:rPr>
                <w:sz w:val="22"/>
                <w:szCs w:val="22"/>
              </w:rPr>
              <w:t>a question for the EPDP to consider or is it</w:t>
            </w:r>
            <w:r w:rsidRPr="007F7501">
              <w:rPr>
                <w:sz w:val="22"/>
                <w:szCs w:val="22"/>
              </w:rPr>
              <w:t xml:space="preserve"> more appropriate to forward to ICANN org for flagging in the study to be conducted</w:t>
            </w:r>
            <w:r>
              <w:rPr>
                <w:sz w:val="22"/>
                <w:szCs w:val="22"/>
              </w:rPr>
              <w:t>?</w:t>
            </w:r>
          </w:p>
        </w:tc>
      </w:tr>
      <w:tr w:rsidR="00587011" w:rsidRPr="007F7501" w14:paraId="1136B7EC" w14:textId="2F0CE85F" w:rsidTr="00587011">
        <w:tc>
          <w:tcPr>
            <w:tcW w:w="2306" w:type="dxa"/>
            <w:tcBorders>
              <w:top w:val="single" w:sz="18" w:space="0" w:color="000000"/>
              <w:left w:val="single" w:sz="18" w:space="0" w:color="000000"/>
              <w:bottom w:val="single" w:sz="18" w:space="0" w:color="000000"/>
              <w:right w:val="single" w:sz="18" w:space="0" w:color="000000"/>
            </w:tcBorders>
          </w:tcPr>
          <w:p w14:paraId="3C6331F7" w14:textId="1ED3CAEE" w:rsidR="00587011" w:rsidRPr="007F7501" w:rsidRDefault="00587011" w:rsidP="00585504">
            <w:pPr>
              <w:pStyle w:val="ListParagraph"/>
              <w:numPr>
                <w:ilvl w:val="0"/>
                <w:numId w:val="19"/>
              </w:numPr>
              <w:spacing w:before="100" w:beforeAutospacing="1" w:after="100" w:afterAutospacing="1"/>
              <w:rPr>
                <w:rFonts w:cstheme="minorHAnsi"/>
                <w:sz w:val="22"/>
                <w:szCs w:val="22"/>
              </w:rPr>
            </w:pPr>
            <w:hyperlink r:id="rId5" w:history="1">
              <w:r w:rsidRPr="007F7501">
                <w:rPr>
                  <w:rFonts w:eastAsia="Times New Roman" w:cstheme="minorHAnsi"/>
                  <w:color w:val="0052CC"/>
                  <w:sz w:val="22"/>
                  <w:szCs w:val="22"/>
                  <w:u w:val="single"/>
                </w:rPr>
                <w:t>Technical Contact Memo.docx</w:t>
              </w:r>
            </w:hyperlink>
          </w:p>
        </w:tc>
        <w:tc>
          <w:tcPr>
            <w:tcW w:w="6593" w:type="dxa"/>
            <w:tcBorders>
              <w:top w:val="single" w:sz="18" w:space="0" w:color="000000"/>
              <w:left w:val="single" w:sz="18" w:space="0" w:color="000000"/>
              <w:bottom w:val="single" w:sz="18" w:space="0" w:color="000000"/>
              <w:right w:val="single" w:sz="18" w:space="0" w:color="000000"/>
            </w:tcBorders>
          </w:tcPr>
          <w:p w14:paraId="4B9E14C3" w14:textId="52D89986" w:rsidR="00587011" w:rsidRPr="007F7501" w:rsidRDefault="00587011" w:rsidP="00676A07">
            <w:pPr>
              <w:numPr>
                <w:ilvl w:val="0"/>
                <w:numId w:val="7"/>
              </w:numPr>
              <w:spacing w:line="276" w:lineRule="atLeast"/>
              <w:rPr>
                <w:color w:val="000000"/>
                <w:sz w:val="22"/>
                <w:szCs w:val="22"/>
              </w:rPr>
            </w:pPr>
            <w:r w:rsidRPr="007F7501">
              <w:rPr>
                <w:color w:val="000000"/>
                <w:sz w:val="22"/>
                <w:szCs w:val="22"/>
              </w:rPr>
              <w:t>Is it correct that the best way to eliminate liability is to prohibit the Registered Name Holder (RNH) from submitting personal data for a Technical Contact where the RNH is not the Technical Contact?  If not, why not?</w:t>
            </w:r>
            <w:r>
              <w:rPr>
                <w:color w:val="000000"/>
                <w:sz w:val="22"/>
                <w:szCs w:val="22"/>
              </w:rPr>
              <w:t xml:space="preserve"> (CPH)</w:t>
            </w:r>
          </w:p>
          <w:p w14:paraId="0A8F5BB4" w14:textId="2F65DBA2" w:rsidR="00587011" w:rsidRPr="007F7501" w:rsidRDefault="00587011" w:rsidP="00676A07">
            <w:pPr>
              <w:numPr>
                <w:ilvl w:val="0"/>
                <w:numId w:val="7"/>
              </w:numPr>
              <w:spacing w:line="276" w:lineRule="atLeast"/>
              <w:rPr>
                <w:color w:val="000000"/>
                <w:sz w:val="22"/>
                <w:szCs w:val="22"/>
              </w:rPr>
            </w:pPr>
            <w:r w:rsidRPr="007F7501">
              <w:rPr>
                <w:color w:val="000000"/>
                <w:sz w:val="22"/>
                <w:szCs w:val="22"/>
              </w:rPr>
              <w:t>What impact, if any, does requiring the RNH to certify that it provided notice to the Technical Contact have on potential liability? On the risk of an enforcement action?</w:t>
            </w:r>
            <w:r>
              <w:rPr>
                <w:color w:val="000000"/>
                <w:sz w:val="22"/>
                <w:szCs w:val="22"/>
              </w:rPr>
              <w:t xml:space="preserve"> (CPH)</w:t>
            </w:r>
          </w:p>
          <w:p w14:paraId="4480A181" w14:textId="77777777" w:rsidR="00587011" w:rsidRPr="007F7501" w:rsidRDefault="00587011" w:rsidP="00676A07">
            <w:pPr>
              <w:tabs>
                <w:tab w:val="num" w:pos="720"/>
              </w:tabs>
              <w:spacing w:before="100" w:beforeAutospacing="1" w:after="100" w:afterAutospacing="1"/>
              <w:rPr>
                <w:sz w:val="22"/>
                <w:szCs w:val="22"/>
              </w:rPr>
            </w:pPr>
          </w:p>
        </w:tc>
        <w:tc>
          <w:tcPr>
            <w:tcW w:w="2934" w:type="dxa"/>
            <w:tcBorders>
              <w:top w:val="single" w:sz="18" w:space="0" w:color="000000"/>
              <w:left w:val="single" w:sz="18" w:space="0" w:color="000000"/>
              <w:bottom w:val="single" w:sz="18" w:space="0" w:color="000000"/>
              <w:right w:val="single" w:sz="18" w:space="0" w:color="000000"/>
            </w:tcBorders>
          </w:tcPr>
          <w:p w14:paraId="15C0A45D" w14:textId="4E1C4657" w:rsidR="00587011" w:rsidRPr="007F7501" w:rsidRDefault="00587011" w:rsidP="00676A07">
            <w:pPr>
              <w:tabs>
                <w:tab w:val="num" w:pos="720"/>
              </w:tabs>
              <w:spacing w:before="100" w:beforeAutospacing="1" w:after="100" w:afterAutospacing="1"/>
              <w:rPr>
                <w:sz w:val="22"/>
                <w:szCs w:val="22"/>
              </w:rPr>
            </w:pPr>
            <w:r w:rsidRPr="007F7501">
              <w:rPr>
                <w:sz w:val="22"/>
                <w:szCs w:val="22"/>
              </w:rPr>
              <w:t>The issue of implementing the updated requirements for the provision of technical contact information are not part of the Phase 2 Charter questions; instead, these questions may be relevant for the implementation of Recommendation 5 from the EPDP’s Phase 1 Final Report.</w:t>
            </w:r>
          </w:p>
        </w:tc>
        <w:tc>
          <w:tcPr>
            <w:tcW w:w="2521" w:type="dxa"/>
            <w:tcBorders>
              <w:top w:val="single" w:sz="18" w:space="0" w:color="000000"/>
              <w:left w:val="single" w:sz="18" w:space="0" w:color="000000"/>
              <w:bottom w:val="single" w:sz="18" w:space="0" w:color="000000"/>
              <w:right w:val="single" w:sz="18" w:space="0" w:color="000000"/>
            </w:tcBorders>
          </w:tcPr>
          <w:p w14:paraId="1D3B3DE9" w14:textId="77777777" w:rsidR="00587011" w:rsidRPr="007F7501" w:rsidRDefault="00587011" w:rsidP="00676A07">
            <w:pPr>
              <w:tabs>
                <w:tab w:val="num" w:pos="720"/>
              </w:tabs>
              <w:spacing w:before="100" w:beforeAutospacing="1" w:after="100" w:afterAutospacing="1"/>
              <w:rPr>
                <w:sz w:val="22"/>
                <w:szCs w:val="22"/>
              </w:rPr>
            </w:pPr>
          </w:p>
        </w:tc>
      </w:tr>
      <w:tr w:rsidR="00587011" w:rsidRPr="007F7501" w14:paraId="78010698" w14:textId="04C2CC5F" w:rsidTr="00587011">
        <w:tc>
          <w:tcPr>
            <w:tcW w:w="2306"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7B3A823E" w14:textId="45F6B045" w:rsidR="00587011" w:rsidRPr="007F7501" w:rsidRDefault="00587011" w:rsidP="00585504">
            <w:pPr>
              <w:pStyle w:val="ListParagraph"/>
              <w:numPr>
                <w:ilvl w:val="0"/>
                <w:numId w:val="19"/>
              </w:numPr>
              <w:spacing w:before="100" w:beforeAutospacing="1" w:after="100" w:afterAutospacing="1"/>
              <w:rPr>
                <w:rFonts w:cstheme="minorHAnsi"/>
                <w:sz w:val="22"/>
                <w:szCs w:val="22"/>
              </w:rPr>
            </w:pPr>
            <w:r w:rsidRPr="007F7501">
              <w:rPr>
                <w:sz w:val="22"/>
                <w:szCs w:val="22"/>
              </w:rPr>
              <w:fldChar w:fldCharType="begin"/>
            </w:r>
            <w:r w:rsidRPr="007F7501">
              <w:rPr>
                <w:sz w:val="22"/>
                <w:szCs w:val="22"/>
              </w:rPr>
              <w:instrText xml:space="preserve"> HYPERLINK "https://community.icann.org/download/attachments/102138857/ICANN%20-%20Memo%20on%20Accuracy.docx?version=1&amp;modificationDate=1550152014000&amp;api=v2" </w:instrText>
            </w:r>
            <w:r w:rsidRPr="007F7501">
              <w:rPr>
                <w:sz w:val="22"/>
                <w:szCs w:val="22"/>
              </w:rPr>
              <w:fldChar w:fldCharType="separate"/>
            </w:r>
            <w:r w:rsidRPr="007F7501">
              <w:rPr>
                <w:rFonts w:eastAsia="Times New Roman" w:cstheme="minorHAnsi"/>
                <w:color w:val="0052CC"/>
                <w:sz w:val="22"/>
                <w:szCs w:val="22"/>
                <w:u w:val="single"/>
              </w:rPr>
              <w:t>Accuracy.docx</w:t>
            </w:r>
            <w:r w:rsidRPr="007F7501">
              <w:rPr>
                <w:rFonts w:eastAsia="Times New Roman" w:cstheme="minorHAnsi"/>
                <w:color w:val="0052CC"/>
                <w:sz w:val="22"/>
                <w:szCs w:val="22"/>
                <w:u w:val="single"/>
              </w:rPr>
              <w:fldChar w:fldCharType="end"/>
            </w:r>
          </w:p>
        </w:tc>
        <w:tc>
          <w:tcPr>
            <w:tcW w:w="6593"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2511A2C8" w14:textId="4F87D1BE" w:rsidR="00587011" w:rsidRPr="00C2215C" w:rsidRDefault="00587011" w:rsidP="00C2215C">
            <w:pPr>
              <w:pStyle w:val="ListParagraph"/>
              <w:numPr>
                <w:ilvl w:val="0"/>
                <w:numId w:val="8"/>
              </w:numPr>
              <w:spacing w:line="276" w:lineRule="atLeast"/>
              <w:rPr>
                <w:color w:val="000000"/>
                <w:sz w:val="22"/>
                <w:szCs w:val="22"/>
              </w:rPr>
            </w:pPr>
            <w:r w:rsidRPr="00C2215C">
              <w:rPr>
                <w:color w:val="000000"/>
                <w:sz w:val="22"/>
                <w:szCs w:val="22"/>
              </w:rPr>
              <w:t xml:space="preserve">Would you please provide any specific guidance about or examples of the “serious consequences” referenced in paragraph 8? </w:t>
            </w:r>
            <w:r w:rsidRPr="00C2215C">
              <w:rPr>
                <w:color w:val="000000"/>
                <w:sz w:val="22"/>
                <w:szCs w:val="22"/>
              </w:rPr>
              <w:t>(CPH)</w:t>
            </w:r>
          </w:p>
          <w:p w14:paraId="309E8622" w14:textId="0D229438" w:rsidR="00587011" w:rsidRPr="00C2215C" w:rsidRDefault="00587011" w:rsidP="00C2215C">
            <w:pPr>
              <w:pStyle w:val="ListParagraph"/>
              <w:numPr>
                <w:ilvl w:val="0"/>
                <w:numId w:val="8"/>
              </w:numPr>
              <w:spacing w:line="276" w:lineRule="atLeast"/>
              <w:rPr>
                <w:color w:val="000000"/>
                <w:sz w:val="22"/>
                <w:szCs w:val="22"/>
              </w:rPr>
            </w:pPr>
            <w:r w:rsidRPr="00C2215C">
              <w:rPr>
                <w:color w:val="000000"/>
                <w:sz w:val="22"/>
                <w:szCs w:val="22"/>
              </w:rPr>
              <w:t xml:space="preserve">Would you please identify the “relevant parties” referenced in paragraph 21? </w:t>
            </w:r>
            <w:r w:rsidRPr="00C2215C">
              <w:rPr>
                <w:color w:val="000000"/>
                <w:sz w:val="22"/>
                <w:szCs w:val="22"/>
              </w:rPr>
              <w:t>(CPH)</w:t>
            </w:r>
          </w:p>
          <w:p w14:paraId="386B5597" w14:textId="02B6432C" w:rsidR="00587011" w:rsidRPr="00C2215C" w:rsidRDefault="00587011" w:rsidP="00C2215C">
            <w:pPr>
              <w:numPr>
                <w:ilvl w:val="0"/>
                <w:numId w:val="7"/>
              </w:numPr>
              <w:spacing w:line="276" w:lineRule="atLeast"/>
              <w:rPr>
                <w:color w:val="000000"/>
                <w:sz w:val="22"/>
                <w:szCs w:val="22"/>
              </w:rPr>
            </w:pPr>
            <w:r w:rsidRPr="007F7501">
              <w:rPr>
                <w:color w:val="000000"/>
                <w:sz w:val="22"/>
                <w:szCs w:val="22"/>
              </w:rPr>
              <w:lastRenderedPageBreak/>
              <w:t xml:space="preserve">Did this analysis consider statistics from the WHOIS ARS on accuracy levels and/or the findings of the 1st and 2nd WHOIS Review Team with regard to accuracy? </w:t>
            </w:r>
            <w:r>
              <w:rPr>
                <w:color w:val="000000"/>
                <w:sz w:val="22"/>
                <w:szCs w:val="22"/>
              </w:rPr>
              <w:t>(</w:t>
            </w:r>
            <w:r>
              <w:rPr>
                <w:color w:val="000000"/>
                <w:sz w:val="22"/>
                <w:szCs w:val="22"/>
              </w:rPr>
              <w:t>B</w:t>
            </w:r>
            <w:r>
              <w:rPr>
                <w:color w:val="000000"/>
                <w:sz w:val="22"/>
                <w:szCs w:val="22"/>
              </w:rPr>
              <w:t>C)</w:t>
            </w:r>
            <w:r w:rsidRPr="00C2215C">
              <w:rPr>
                <w:color w:val="000000"/>
                <w:sz w:val="22"/>
                <w:szCs w:val="22"/>
              </w:rPr>
              <w:t xml:space="preserve"> </w:t>
            </w:r>
          </w:p>
          <w:p w14:paraId="0EA3767E" w14:textId="77777777" w:rsidR="00587011" w:rsidRPr="007F7501" w:rsidRDefault="00587011" w:rsidP="00676A07">
            <w:pPr>
              <w:tabs>
                <w:tab w:val="num" w:pos="720"/>
              </w:tabs>
              <w:spacing w:before="100" w:beforeAutospacing="1" w:after="100" w:afterAutospacing="1"/>
              <w:rPr>
                <w:sz w:val="22"/>
                <w:szCs w:val="22"/>
              </w:rPr>
            </w:pPr>
          </w:p>
        </w:tc>
        <w:tc>
          <w:tcPr>
            <w:tcW w:w="2934"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72BDBB82" w14:textId="77777777" w:rsidR="00587011" w:rsidRDefault="00587011" w:rsidP="00903B2A">
            <w:pPr>
              <w:tabs>
                <w:tab w:val="num" w:pos="720"/>
              </w:tabs>
              <w:spacing w:before="100" w:beforeAutospacing="1" w:after="100" w:afterAutospacing="1"/>
              <w:rPr>
                <w:sz w:val="22"/>
                <w:szCs w:val="22"/>
              </w:rPr>
            </w:pPr>
            <w:r w:rsidRPr="007F7501">
              <w:rPr>
                <w:sz w:val="22"/>
                <w:szCs w:val="22"/>
              </w:rPr>
              <w:lastRenderedPageBreak/>
              <w:t xml:space="preserve">For reference, recommendation 4 of the EPDP’s Phase 1 Final Report provides: </w:t>
            </w:r>
          </w:p>
          <w:p w14:paraId="087787C6" w14:textId="0FCAD0ED" w:rsidR="00587011" w:rsidRPr="007F7501" w:rsidRDefault="00587011" w:rsidP="00903B2A">
            <w:pPr>
              <w:tabs>
                <w:tab w:val="num" w:pos="720"/>
              </w:tabs>
              <w:spacing w:before="100" w:beforeAutospacing="1" w:after="100" w:afterAutospacing="1"/>
              <w:rPr>
                <w:sz w:val="22"/>
                <w:szCs w:val="22"/>
              </w:rPr>
            </w:pPr>
            <w:r w:rsidRPr="007F7501">
              <w:rPr>
                <w:sz w:val="22"/>
                <w:szCs w:val="22"/>
              </w:rPr>
              <w:lastRenderedPageBreak/>
              <w:t xml:space="preserve">The EPDP Team recommends that requirements related to the accuracy of registration data under the current ICANN contracts and consensus policies shall not be affected by this policy. </w:t>
            </w:r>
          </w:p>
          <w:p w14:paraId="441C8E89" w14:textId="77777777" w:rsidR="00587011" w:rsidRPr="007F7501" w:rsidRDefault="00587011" w:rsidP="00903B2A">
            <w:pPr>
              <w:tabs>
                <w:tab w:val="num" w:pos="720"/>
              </w:tabs>
              <w:spacing w:before="100" w:beforeAutospacing="1" w:after="100" w:afterAutospacing="1"/>
              <w:rPr>
                <w:sz w:val="22"/>
                <w:szCs w:val="22"/>
              </w:rPr>
            </w:pPr>
            <w:r w:rsidRPr="007F7501">
              <w:rPr>
                <w:sz w:val="22"/>
                <w:szCs w:val="22"/>
              </w:rPr>
              <w:t>FN: The topic of accuracy as related to GDPR compliance is expected to be considered further as well as the WHOIS Accuracy Reporting System.</w:t>
            </w:r>
          </w:p>
          <w:p w14:paraId="30057DE4" w14:textId="568483D6" w:rsidR="00587011" w:rsidRPr="007F7501" w:rsidRDefault="00587011" w:rsidP="00903B2A">
            <w:pPr>
              <w:tabs>
                <w:tab w:val="num" w:pos="720"/>
              </w:tabs>
              <w:spacing w:before="100" w:beforeAutospacing="1" w:after="100" w:afterAutospacing="1"/>
              <w:rPr>
                <w:sz w:val="22"/>
                <w:szCs w:val="22"/>
              </w:rPr>
            </w:pPr>
          </w:p>
        </w:tc>
        <w:tc>
          <w:tcPr>
            <w:tcW w:w="2521"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4026F8E2" w14:textId="34C29AA2" w:rsidR="00587011" w:rsidRPr="007F7501" w:rsidRDefault="00587011" w:rsidP="00903B2A">
            <w:pPr>
              <w:tabs>
                <w:tab w:val="num" w:pos="720"/>
              </w:tabs>
              <w:spacing w:before="100" w:beforeAutospacing="1" w:after="100" w:afterAutospacing="1"/>
              <w:rPr>
                <w:sz w:val="22"/>
                <w:szCs w:val="22"/>
              </w:rPr>
            </w:pPr>
            <w:r w:rsidRPr="007F7501">
              <w:rPr>
                <w:sz w:val="22"/>
                <w:szCs w:val="22"/>
              </w:rPr>
              <w:lastRenderedPageBreak/>
              <w:t xml:space="preserve">WHOIS accuracy is noted as an area to be further considered in Phase 2, and as such, further legal guidance may be </w:t>
            </w:r>
            <w:r w:rsidRPr="007F7501">
              <w:rPr>
                <w:sz w:val="22"/>
                <w:szCs w:val="22"/>
              </w:rPr>
              <w:lastRenderedPageBreak/>
              <w:t>necessary.  Will the clarifying questions assist in the Team’s analysis?</w:t>
            </w:r>
          </w:p>
        </w:tc>
      </w:tr>
      <w:tr w:rsidR="00587011" w:rsidRPr="007F7501" w14:paraId="023DED25" w14:textId="3226BB90" w:rsidTr="00587011">
        <w:tc>
          <w:tcPr>
            <w:tcW w:w="2306"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5A66F8A4" w14:textId="25F4E991" w:rsidR="00587011" w:rsidRPr="007F7501" w:rsidRDefault="00587011" w:rsidP="00585504">
            <w:pPr>
              <w:pStyle w:val="ListParagraph"/>
              <w:numPr>
                <w:ilvl w:val="0"/>
                <w:numId w:val="19"/>
              </w:numPr>
              <w:spacing w:before="100" w:beforeAutospacing="1" w:after="100" w:afterAutospacing="1"/>
              <w:rPr>
                <w:rFonts w:cstheme="minorHAnsi"/>
                <w:sz w:val="22"/>
                <w:szCs w:val="22"/>
              </w:rPr>
            </w:pPr>
            <w:hyperlink r:id="rId6" w:history="1">
              <w:r w:rsidRPr="007F7501">
                <w:rPr>
                  <w:rFonts w:eastAsia="Times New Roman" w:cstheme="minorHAnsi"/>
                  <w:color w:val="0052CC"/>
                  <w:sz w:val="22"/>
                  <w:szCs w:val="22"/>
                  <w:u w:val="single"/>
                </w:rPr>
                <w:t>City field.docx</w:t>
              </w:r>
            </w:hyperlink>
          </w:p>
        </w:tc>
        <w:tc>
          <w:tcPr>
            <w:tcW w:w="6593"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28726238" w14:textId="38C5D893" w:rsidR="00587011" w:rsidRPr="00C2215C" w:rsidRDefault="00587011" w:rsidP="00C2215C">
            <w:pPr>
              <w:pStyle w:val="ListParagraph"/>
              <w:numPr>
                <w:ilvl w:val="0"/>
                <w:numId w:val="9"/>
              </w:numPr>
              <w:spacing w:line="276" w:lineRule="atLeast"/>
              <w:rPr>
                <w:color w:val="000000"/>
                <w:sz w:val="22"/>
                <w:szCs w:val="22"/>
              </w:rPr>
            </w:pPr>
            <w:r w:rsidRPr="00C2215C">
              <w:rPr>
                <w:color w:val="000000"/>
                <w:sz w:val="22"/>
                <w:szCs w:val="22"/>
              </w:rPr>
              <w:t xml:space="preserve">Would you please identify the specific types of “further information” and “more information” (as referenced in paragraph 3.16) that are needed/required? </w:t>
            </w:r>
            <w:r w:rsidRPr="00C2215C">
              <w:rPr>
                <w:color w:val="000000"/>
                <w:sz w:val="22"/>
                <w:szCs w:val="22"/>
              </w:rPr>
              <w:t>(CPH)</w:t>
            </w:r>
          </w:p>
          <w:p w14:paraId="5A203AC5" w14:textId="1E138063" w:rsidR="00587011" w:rsidRPr="00C2215C" w:rsidRDefault="00587011" w:rsidP="00C2215C">
            <w:pPr>
              <w:pStyle w:val="ListParagraph"/>
              <w:numPr>
                <w:ilvl w:val="0"/>
                <w:numId w:val="9"/>
              </w:numPr>
              <w:spacing w:line="276" w:lineRule="atLeast"/>
              <w:rPr>
                <w:color w:val="000000"/>
                <w:sz w:val="22"/>
                <w:szCs w:val="22"/>
              </w:rPr>
            </w:pPr>
            <w:r w:rsidRPr="00C2215C">
              <w:rPr>
                <w:color w:val="000000"/>
                <w:sz w:val="22"/>
                <w:szCs w:val="22"/>
              </w:rPr>
              <w:t xml:space="preserve">Is it correct to conclude that the lawfulness of publication of the “City” field is highly factually and contextually dependent? </w:t>
            </w:r>
            <w:r w:rsidRPr="00C2215C">
              <w:rPr>
                <w:color w:val="000000"/>
                <w:sz w:val="22"/>
                <w:szCs w:val="22"/>
              </w:rPr>
              <w:t>(CPH)</w:t>
            </w:r>
          </w:p>
          <w:p w14:paraId="472ED170" w14:textId="6C5A2A93" w:rsidR="00587011" w:rsidRPr="007F7501" w:rsidRDefault="00587011" w:rsidP="00C2215C">
            <w:pPr>
              <w:spacing w:line="276" w:lineRule="atLeast"/>
              <w:rPr>
                <w:color w:val="000000"/>
                <w:sz w:val="22"/>
                <w:szCs w:val="22"/>
              </w:rPr>
            </w:pPr>
          </w:p>
          <w:p w14:paraId="3B5D9C7F" w14:textId="77777777" w:rsidR="00587011" w:rsidRPr="007F7501" w:rsidRDefault="00587011" w:rsidP="00676A07">
            <w:pPr>
              <w:tabs>
                <w:tab w:val="num" w:pos="720"/>
              </w:tabs>
              <w:spacing w:before="100" w:beforeAutospacing="1" w:after="100" w:afterAutospacing="1"/>
              <w:rPr>
                <w:sz w:val="22"/>
                <w:szCs w:val="22"/>
              </w:rPr>
            </w:pPr>
          </w:p>
        </w:tc>
        <w:tc>
          <w:tcPr>
            <w:tcW w:w="2934"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4C809AB3" w14:textId="4F70CE3E" w:rsidR="00587011" w:rsidRDefault="00587011" w:rsidP="0097420E">
            <w:pPr>
              <w:rPr>
                <w:sz w:val="22"/>
                <w:szCs w:val="22"/>
              </w:rPr>
            </w:pPr>
            <w:r w:rsidRPr="007F7501">
              <w:rPr>
                <w:sz w:val="22"/>
                <w:szCs w:val="22"/>
              </w:rPr>
              <w:t xml:space="preserve">Further to recommendation 11 of the EPDP Team’s Phase 1 Final Report, the EPDP Team recommends that redaction must be applied as follows to this data element: City. The EPDP Team expects to receive further legal advice on this topic which it will analyze in phase 2. </w:t>
            </w:r>
          </w:p>
          <w:p w14:paraId="35A5005C" w14:textId="160B891D" w:rsidR="00587011" w:rsidRDefault="00587011" w:rsidP="0097420E">
            <w:pPr>
              <w:rPr>
                <w:sz w:val="22"/>
                <w:szCs w:val="22"/>
              </w:rPr>
            </w:pPr>
          </w:p>
          <w:p w14:paraId="114983B7" w14:textId="2CA1D17E" w:rsidR="00587011" w:rsidRPr="007F7501" w:rsidRDefault="00587011" w:rsidP="00691E94">
            <w:pPr>
              <w:rPr>
                <w:sz w:val="22"/>
                <w:szCs w:val="22"/>
              </w:rPr>
            </w:pPr>
          </w:p>
        </w:tc>
        <w:tc>
          <w:tcPr>
            <w:tcW w:w="2521" w:type="dxa"/>
            <w:tcBorders>
              <w:top w:val="single" w:sz="18" w:space="0" w:color="000000"/>
              <w:left w:val="single" w:sz="18" w:space="0" w:color="000000"/>
              <w:bottom w:val="single" w:sz="18" w:space="0" w:color="000000"/>
              <w:right w:val="single" w:sz="18" w:space="0" w:color="000000"/>
            </w:tcBorders>
            <w:shd w:val="clear" w:color="auto" w:fill="FBE4D5" w:themeFill="accent2" w:themeFillTint="33"/>
          </w:tcPr>
          <w:p w14:paraId="11BEBE98" w14:textId="77777777" w:rsidR="007D5A78" w:rsidRDefault="007D5A78" w:rsidP="007D5A78">
            <w:pPr>
              <w:rPr>
                <w:sz w:val="22"/>
                <w:szCs w:val="22"/>
              </w:rPr>
            </w:pPr>
            <w:r>
              <w:rPr>
                <w:sz w:val="22"/>
                <w:szCs w:val="22"/>
              </w:rPr>
              <w:t>In Phase 2, the EPDP Team is expected to c</w:t>
            </w:r>
            <w:r w:rsidRPr="00691E94">
              <w:rPr>
                <w:sz w:val="22"/>
                <w:szCs w:val="22"/>
              </w:rPr>
              <w:t xml:space="preserve">onfirm whether there needs to be a change to the phase 1 recommendation that the city field should be redacted in the public RDDS. </w:t>
            </w:r>
          </w:p>
          <w:p w14:paraId="672DB85C" w14:textId="77777777" w:rsidR="007D5A78" w:rsidRDefault="007D5A78" w:rsidP="007D5A78">
            <w:pPr>
              <w:rPr>
                <w:sz w:val="22"/>
                <w:szCs w:val="22"/>
              </w:rPr>
            </w:pPr>
          </w:p>
          <w:p w14:paraId="12F64567" w14:textId="4594592C" w:rsidR="00587011" w:rsidRPr="007F7501" w:rsidRDefault="007D5A78" w:rsidP="007D5A78">
            <w:pPr>
              <w:rPr>
                <w:sz w:val="22"/>
                <w:szCs w:val="22"/>
              </w:rPr>
            </w:pPr>
            <w:r w:rsidRPr="007F7501">
              <w:rPr>
                <w:sz w:val="22"/>
                <w:szCs w:val="22"/>
              </w:rPr>
              <w:t xml:space="preserve">As such, clarifying legal questions regarding the redaction of City Field </w:t>
            </w:r>
            <w:r>
              <w:rPr>
                <w:sz w:val="22"/>
                <w:szCs w:val="22"/>
              </w:rPr>
              <w:t>seem</w:t>
            </w:r>
            <w:r w:rsidRPr="007F7501">
              <w:rPr>
                <w:sz w:val="22"/>
                <w:szCs w:val="22"/>
              </w:rPr>
              <w:t xml:space="preserve"> apposite to the EPDP Team’s work in Phase 2.</w:t>
            </w:r>
            <w:r>
              <w:rPr>
                <w:sz w:val="22"/>
                <w:szCs w:val="22"/>
              </w:rPr>
              <w:t xml:space="preserve"> Does the EPDP Team believe these</w:t>
            </w:r>
            <w:r>
              <w:rPr>
                <w:sz w:val="22"/>
                <w:szCs w:val="22"/>
              </w:rPr>
              <w:t xml:space="preserve"> </w:t>
            </w:r>
            <w:r>
              <w:rPr>
                <w:sz w:val="22"/>
                <w:szCs w:val="22"/>
              </w:rPr>
              <w:t>questions are appropriate to put forward in this context?</w:t>
            </w:r>
          </w:p>
        </w:tc>
      </w:tr>
      <w:tr w:rsidR="00587011" w:rsidRPr="007F7501" w14:paraId="11D66AE3" w14:textId="0CD13BD7" w:rsidTr="00587011">
        <w:tc>
          <w:tcPr>
            <w:tcW w:w="2306" w:type="dxa"/>
            <w:tcBorders>
              <w:top w:val="single" w:sz="18" w:space="0" w:color="000000"/>
              <w:left w:val="single" w:sz="18" w:space="0" w:color="000000"/>
              <w:bottom w:val="single" w:sz="18" w:space="0" w:color="000000"/>
              <w:right w:val="single" w:sz="18" w:space="0" w:color="000000"/>
            </w:tcBorders>
          </w:tcPr>
          <w:p w14:paraId="1CBF65B5" w14:textId="1F2D14C6" w:rsidR="00587011" w:rsidRPr="007F7501" w:rsidRDefault="00587011" w:rsidP="00585504">
            <w:pPr>
              <w:pStyle w:val="ListParagraph"/>
              <w:numPr>
                <w:ilvl w:val="0"/>
                <w:numId w:val="19"/>
              </w:numPr>
              <w:spacing w:before="100" w:beforeAutospacing="1" w:after="100" w:afterAutospacing="1"/>
              <w:rPr>
                <w:rFonts w:cstheme="minorHAnsi"/>
                <w:sz w:val="22"/>
                <w:szCs w:val="22"/>
              </w:rPr>
            </w:pPr>
            <w:hyperlink r:id="rId7" w:history="1">
              <w:r w:rsidRPr="007F7501">
                <w:rPr>
                  <w:rFonts w:eastAsia="Times New Roman" w:cstheme="minorHAnsi"/>
                  <w:color w:val="0052CC"/>
                  <w:sz w:val="22"/>
                  <w:szCs w:val="22"/>
                  <w:u w:val="single"/>
                </w:rPr>
                <w:t>Territorial Scope.docx</w:t>
              </w:r>
            </w:hyperlink>
          </w:p>
        </w:tc>
        <w:tc>
          <w:tcPr>
            <w:tcW w:w="6593" w:type="dxa"/>
            <w:tcBorders>
              <w:top w:val="single" w:sz="18" w:space="0" w:color="000000"/>
              <w:left w:val="single" w:sz="18" w:space="0" w:color="000000"/>
              <w:bottom w:val="single" w:sz="18" w:space="0" w:color="000000"/>
              <w:right w:val="single" w:sz="18" w:space="0" w:color="000000"/>
            </w:tcBorders>
          </w:tcPr>
          <w:p w14:paraId="75AD8C3F" w14:textId="7F458ECF" w:rsidR="00587011" w:rsidRPr="00074688" w:rsidRDefault="00587011" w:rsidP="00074688">
            <w:pPr>
              <w:pStyle w:val="ListParagraph"/>
              <w:numPr>
                <w:ilvl w:val="0"/>
                <w:numId w:val="25"/>
              </w:numPr>
              <w:spacing w:line="276" w:lineRule="atLeast"/>
              <w:rPr>
                <w:color w:val="000000"/>
                <w:sz w:val="22"/>
                <w:szCs w:val="22"/>
              </w:rPr>
            </w:pPr>
            <w:r w:rsidRPr="00C2215C">
              <w:rPr>
                <w:color w:val="000000"/>
                <w:sz w:val="22"/>
                <w:szCs w:val="22"/>
              </w:rPr>
              <w:t xml:space="preserve">Given the narrow question posed in paragraph 1.1, the analysis leading to the conclusion in the last sentence of paragraph 6.9 is unclear. Would you please clarify? </w:t>
            </w:r>
            <w:r w:rsidRPr="00C2215C">
              <w:rPr>
                <w:color w:val="000000"/>
                <w:sz w:val="22"/>
                <w:szCs w:val="22"/>
              </w:rPr>
              <w:t>(CPH)</w:t>
            </w:r>
            <w:bookmarkStart w:id="0" w:name="_GoBack"/>
            <w:bookmarkEnd w:id="0"/>
          </w:p>
        </w:tc>
        <w:tc>
          <w:tcPr>
            <w:tcW w:w="2934" w:type="dxa"/>
            <w:tcBorders>
              <w:top w:val="single" w:sz="18" w:space="0" w:color="000000"/>
              <w:left w:val="single" w:sz="18" w:space="0" w:color="000000"/>
              <w:bottom w:val="single" w:sz="18" w:space="0" w:color="000000"/>
              <w:right w:val="single" w:sz="18" w:space="0" w:color="000000"/>
            </w:tcBorders>
          </w:tcPr>
          <w:p w14:paraId="1DEA4646" w14:textId="5AF8AF33" w:rsidR="00587011" w:rsidRPr="007F7501" w:rsidRDefault="00587011" w:rsidP="00676A07">
            <w:pPr>
              <w:tabs>
                <w:tab w:val="num" w:pos="720"/>
              </w:tabs>
              <w:spacing w:before="100" w:beforeAutospacing="1" w:after="100" w:afterAutospacing="1"/>
              <w:rPr>
                <w:sz w:val="22"/>
                <w:szCs w:val="22"/>
              </w:rPr>
            </w:pPr>
            <w:r w:rsidRPr="007F7501">
              <w:rPr>
                <w:color w:val="000000"/>
                <w:sz w:val="22"/>
                <w:szCs w:val="22"/>
              </w:rPr>
              <w:t xml:space="preserve">This question is not part of the Charter questions for Phase 2. </w:t>
            </w:r>
          </w:p>
        </w:tc>
        <w:tc>
          <w:tcPr>
            <w:tcW w:w="2521" w:type="dxa"/>
            <w:tcBorders>
              <w:top w:val="single" w:sz="18" w:space="0" w:color="000000"/>
              <w:left w:val="single" w:sz="18" w:space="0" w:color="000000"/>
              <w:bottom w:val="single" w:sz="18" w:space="0" w:color="000000"/>
              <w:right w:val="single" w:sz="18" w:space="0" w:color="000000"/>
            </w:tcBorders>
          </w:tcPr>
          <w:p w14:paraId="51F15C27" w14:textId="77777777" w:rsidR="00587011" w:rsidRPr="007F7501" w:rsidRDefault="00587011" w:rsidP="00676A07">
            <w:pPr>
              <w:tabs>
                <w:tab w:val="num" w:pos="720"/>
              </w:tabs>
              <w:spacing w:before="100" w:beforeAutospacing="1" w:after="100" w:afterAutospacing="1"/>
              <w:rPr>
                <w:color w:val="000000"/>
                <w:sz w:val="22"/>
                <w:szCs w:val="22"/>
              </w:rPr>
            </w:pPr>
          </w:p>
        </w:tc>
      </w:tr>
      <w:tr w:rsidR="00587011" w:rsidRPr="007F7501" w14:paraId="27E0214B" w14:textId="33693516" w:rsidTr="00587011">
        <w:trPr>
          <w:trHeight w:val="75"/>
        </w:trPr>
        <w:tc>
          <w:tcPr>
            <w:tcW w:w="2306" w:type="dxa"/>
            <w:tcBorders>
              <w:top w:val="single" w:sz="18" w:space="0" w:color="000000"/>
              <w:left w:val="single" w:sz="18" w:space="0" w:color="000000"/>
              <w:bottom w:val="single" w:sz="18" w:space="0" w:color="000000"/>
              <w:right w:val="single" w:sz="18" w:space="0" w:color="000000"/>
            </w:tcBorders>
          </w:tcPr>
          <w:p w14:paraId="69CF3298" w14:textId="3084A4D1" w:rsidR="00587011" w:rsidRPr="007F7501" w:rsidRDefault="00587011" w:rsidP="00585504">
            <w:pPr>
              <w:pStyle w:val="ListParagraph"/>
              <w:numPr>
                <w:ilvl w:val="0"/>
                <w:numId w:val="19"/>
              </w:numPr>
              <w:spacing w:before="100" w:beforeAutospacing="1" w:after="100" w:afterAutospacing="1"/>
              <w:rPr>
                <w:rFonts w:cstheme="minorHAnsi"/>
                <w:sz w:val="22"/>
                <w:szCs w:val="22"/>
              </w:rPr>
            </w:pPr>
            <w:hyperlink r:id="rId8" w:history="1">
              <w:r w:rsidRPr="007F7501">
                <w:rPr>
                  <w:rFonts w:eastAsia="Times New Roman" w:cstheme="minorHAnsi"/>
                  <w:color w:val="0052CC"/>
                  <w:sz w:val="22"/>
                  <w:szCs w:val="22"/>
                  <w:u w:val="single"/>
                </w:rPr>
                <w:t>Thick WHOIS.docx</w:t>
              </w:r>
            </w:hyperlink>
          </w:p>
        </w:tc>
        <w:tc>
          <w:tcPr>
            <w:tcW w:w="6593" w:type="dxa"/>
            <w:tcBorders>
              <w:top w:val="single" w:sz="18" w:space="0" w:color="000000"/>
              <w:left w:val="single" w:sz="18" w:space="0" w:color="000000"/>
              <w:right w:val="single" w:sz="18" w:space="0" w:color="000000"/>
            </w:tcBorders>
          </w:tcPr>
          <w:p w14:paraId="78C3C976" w14:textId="460F9353" w:rsidR="00587011" w:rsidRPr="00C2215C" w:rsidRDefault="00587011" w:rsidP="00C2215C">
            <w:pPr>
              <w:pStyle w:val="ListParagraph"/>
              <w:numPr>
                <w:ilvl w:val="0"/>
                <w:numId w:val="11"/>
              </w:numPr>
              <w:tabs>
                <w:tab w:val="num" w:pos="720"/>
              </w:tabs>
              <w:spacing w:before="100" w:beforeAutospacing="1" w:after="100" w:afterAutospacing="1"/>
              <w:rPr>
                <w:sz w:val="22"/>
                <w:szCs w:val="22"/>
              </w:rPr>
            </w:pPr>
            <w:r w:rsidRPr="007F7501">
              <w:rPr>
                <w:color w:val="000000"/>
                <w:sz w:val="22"/>
                <w:szCs w:val="22"/>
              </w:rPr>
              <w:t xml:space="preserve">Did this analysis consider GNSO’s Final Report and analysis in support of the Thick WHOIS policy recommendations? </w:t>
            </w:r>
            <w:r>
              <w:rPr>
                <w:color w:val="000000"/>
                <w:sz w:val="22"/>
                <w:szCs w:val="22"/>
              </w:rPr>
              <w:t>(BC)</w:t>
            </w:r>
          </w:p>
          <w:p w14:paraId="570ACB2F" w14:textId="77777777" w:rsidR="00587011" w:rsidRDefault="00587011" w:rsidP="00C2215C">
            <w:pPr>
              <w:tabs>
                <w:tab w:val="num" w:pos="720"/>
              </w:tabs>
              <w:spacing w:before="100" w:beforeAutospacing="1" w:after="100" w:afterAutospacing="1"/>
              <w:rPr>
                <w:color w:val="000000"/>
                <w:sz w:val="22"/>
                <w:szCs w:val="22"/>
              </w:rPr>
            </w:pPr>
          </w:p>
          <w:p w14:paraId="2C3D9B4A" w14:textId="77777777" w:rsidR="00587011" w:rsidRDefault="00587011" w:rsidP="00C2215C">
            <w:pPr>
              <w:tabs>
                <w:tab w:val="num" w:pos="720"/>
              </w:tabs>
              <w:spacing w:before="100" w:beforeAutospacing="1" w:after="100" w:afterAutospacing="1"/>
              <w:rPr>
                <w:color w:val="000000"/>
                <w:sz w:val="22"/>
                <w:szCs w:val="22"/>
              </w:rPr>
            </w:pPr>
          </w:p>
          <w:p w14:paraId="4CD4F0E5" w14:textId="6AE04777" w:rsidR="00587011" w:rsidRPr="00C2215C" w:rsidRDefault="00587011" w:rsidP="00C2215C">
            <w:pPr>
              <w:tabs>
                <w:tab w:val="num" w:pos="720"/>
              </w:tabs>
              <w:spacing w:before="100" w:beforeAutospacing="1" w:after="100" w:afterAutospacing="1"/>
              <w:rPr>
                <w:sz w:val="22"/>
                <w:szCs w:val="22"/>
              </w:rPr>
            </w:pPr>
            <w:r w:rsidRPr="00C2215C">
              <w:rPr>
                <w:sz w:val="22"/>
                <w:szCs w:val="22"/>
              </w:rPr>
              <w:t xml:space="preserve">   </w:t>
            </w:r>
          </w:p>
        </w:tc>
        <w:tc>
          <w:tcPr>
            <w:tcW w:w="2934" w:type="dxa"/>
            <w:tcBorders>
              <w:top w:val="single" w:sz="18" w:space="0" w:color="000000"/>
              <w:left w:val="single" w:sz="18" w:space="0" w:color="000000"/>
              <w:bottom w:val="single" w:sz="18" w:space="0" w:color="000000"/>
              <w:right w:val="single" w:sz="18" w:space="0" w:color="000000"/>
            </w:tcBorders>
          </w:tcPr>
          <w:p w14:paraId="202A6ED0" w14:textId="73D9F7F7" w:rsidR="00587011" w:rsidRPr="007F7501" w:rsidRDefault="00587011" w:rsidP="00676A07">
            <w:pPr>
              <w:tabs>
                <w:tab w:val="num" w:pos="720"/>
              </w:tabs>
              <w:spacing w:before="100" w:beforeAutospacing="1" w:after="100" w:afterAutospacing="1"/>
              <w:rPr>
                <w:sz w:val="22"/>
                <w:szCs w:val="22"/>
              </w:rPr>
            </w:pPr>
            <w:r w:rsidRPr="007F7501">
              <w:rPr>
                <w:sz w:val="22"/>
                <w:szCs w:val="22"/>
              </w:rPr>
              <w:t>N</w:t>
            </w:r>
            <w:r w:rsidRPr="007F7501">
              <w:rPr>
                <w:color w:val="000000"/>
                <w:sz w:val="22"/>
                <w:szCs w:val="22"/>
              </w:rPr>
              <w:t>ote: The Thick WHOIS Final Report was referenced multiple times within Bird &amp; Bird’s memo; accordingly, it may be helpful to clarify the specific issue and note why this question is specifically relevant to EPDP Team’s work in Phase 2.</w:t>
            </w:r>
          </w:p>
        </w:tc>
        <w:tc>
          <w:tcPr>
            <w:tcW w:w="2521" w:type="dxa"/>
            <w:tcBorders>
              <w:top w:val="single" w:sz="18" w:space="0" w:color="000000"/>
              <w:left w:val="single" w:sz="18" w:space="0" w:color="000000"/>
              <w:bottom w:val="single" w:sz="18" w:space="0" w:color="000000"/>
              <w:right w:val="single" w:sz="18" w:space="0" w:color="000000"/>
            </w:tcBorders>
          </w:tcPr>
          <w:p w14:paraId="66265C90" w14:textId="77777777" w:rsidR="00587011" w:rsidRPr="007F7501" w:rsidRDefault="00587011" w:rsidP="00676A07">
            <w:pPr>
              <w:tabs>
                <w:tab w:val="num" w:pos="720"/>
              </w:tabs>
              <w:spacing w:before="100" w:beforeAutospacing="1" w:after="100" w:afterAutospacing="1"/>
              <w:rPr>
                <w:sz w:val="22"/>
                <w:szCs w:val="22"/>
              </w:rPr>
            </w:pPr>
          </w:p>
        </w:tc>
      </w:tr>
    </w:tbl>
    <w:p w14:paraId="5FC445C4" w14:textId="13C22D8D" w:rsidR="00585504" w:rsidRPr="007F7501" w:rsidRDefault="00585504">
      <w:pPr>
        <w:rPr>
          <w:sz w:val="22"/>
          <w:szCs w:val="22"/>
        </w:rPr>
      </w:pPr>
    </w:p>
    <w:p w14:paraId="1B5A2F59" w14:textId="77777777" w:rsidR="00585504" w:rsidRPr="007F7501" w:rsidRDefault="00585504">
      <w:pPr>
        <w:rPr>
          <w:sz w:val="22"/>
          <w:szCs w:val="22"/>
        </w:rPr>
      </w:pPr>
      <w:r w:rsidRPr="007F7501">
        <w:rPr>
          <w:sz w:val="22"/>
          <w:szCs w:val="22"/>
        </w:rPr>
        <w:br w:type="page"/>
      </w:r>
    </w:p>
    <w:p w14:paraId="4E57A783" w14:textId="3D1C9C42" w:rsidR="00404709" w:rsidRPr="007F7501" w:rsidRDefault="00585504">
      <w:pPr>
        <w:rPr>
          <w:sz w:val="22"/>
          <w:szCs w:val="22"/>
        </w:rPr>
      </w:pPr>
      <w:r w:rsidRPr="007F7501">
        <w:rPr>
          <w:sz w:val="22"/>
          <w:szCs w:val="22"/>
        </w:rPr>
        <w:lastRenderedPageBreak/>
        <w:t>Questions Submitted to Date:</w:t>
      </w:r>
    </w:p>
    <w:p w14:paraId="10B959B5" w14:textId="77777777" w:rsidR="00585504" w:rsidRPr="007F7501" w:rsidRDefault="00585504" w:rsidP="00585504">
      <w:pPr>
        <w:rPr>
          <w:rFonts w:eastAsia="Times New Roman" w:cs="Times New Roman"/>
          <w:color w:val="000000"/>
          <w:sz w:val="22"/>
          <w:szCs w:val="22"/>
          <w:u w:val="single"/>
        </w:rPr>
      </w:pPr>
    </w:p>
    <w:p w14:paraId="43B6131A" w14:textId="4DC72525" w:rsidR="00585504" w:rsidRPr="007F7501" w:rsidRDefault="00585504" w:rsidP="00585504">
      <w:pPr>
        <w:rPr>
          <w:rFonts w:eastAsia="Times New Roman" w:cs="Times New Roman"/>
          <w:b/>
          <w:color w:val="000000"/>
          <w:sz w:val="22"/>
          <w:szCs w:val="22"/>
          <w:u w:val="single"/>
        </w:rPr>
      </w:pPr>
      <w:r w:rsidRPr="007F7501">
        <w:rPr>
          <w:rFonts w:eastAsia="Times New Roman" w:cs="Times New Roman"/>
          <w:b/>
          <w:color w:val="000000"/>
          <w:sz w:val="22"/>
          <w:szCs w:val="22"/>
          <w:u w:val="single"/>
        </w:rPr>
        <w:t>CPH</w:t>
      </w:r>
    </w:p>
    <w:p w14:paraId="6BE8EE68" w14:textId="77777777" w:rsidR="00585504" w:rsidRPr="007F7501" w:rsidRDefault="00585504" w:rsidP="00585504">
      <w:pPr>
        <w:rPr>
          <w:rFonts w:eastAsia="Times New Roman" w:cs="Times New Roman"/>
          <w:color w:val="000000"/>
          <w:sz w:val="22"/>
          <w:szCs w:val="22"/>
          <w:u w:val="single"/>
        </w:rPr>
      </w:pPr>
    </w:p>
    <w:p w14:paraId="3A9F1039" w14:textId="31B3399D"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u w:val="single"/>
        </w:rPr>
        <w:t>6(1)(b) Memo</w:t>
      </w:r>
    </w:p>
    <w:p w14:paraId="033E233E"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01DAAE69" w14:textId="6B10E3D5" w:rsidR="00585504" w:rsidRPr="00585504" w:rsidRDefault="00585504" w:rsidP="00585504">
      <w:pPr>
        <w:numPr>
          <w:ilvl w:val="0"/>
          <w:numId w:val="13"/>
        </w:numPr>
        <w:spacing w:line="276" w:lineRule="atLeast"/>
        <w:rPr>
          <w:rFonts w:eastAsia="Times New Roman" w:cs="Times New Roman"/>
          <w:color w:val="000000"/>
          <w:sz w:val="22"/>
          <w:szCs w:val="22"/>
        </w:rPr>
      </w:pPr>
      <w:r w:rsidRPr="00585504">
        <w:rPr>
          <w:rFonts w:eastAsia="Times New Roman" w:cs="Times New Roman"/>
          <w:color w:val="000000"/>
          <w:sz w:val="22"/>
          <w:szCs w:val="22"/>
        </w:rPr>
        <w:t>Does the EDPB’s “Guidelines 2/2019 on the processing of personal data under Art. 6(1)(b) GDPR in the context of the provision of online services to data subjects” (adopted 9 Apr. 2019) affect your analysis and, if so, how?</w:t>
      </w:r>
      <w:r w:rsidRPr="007F7501">
        <w:rPr>
          <w:rFonts w:eastAsia="Times New Roman" w:cs="Times New Roman"/>
          <w:color w:val="000000"/>
          <w:sz w:val="22"/>
          <w:szCs w:val="22"/>
        </w:rPr>
        <w:t xml:space="preserve"> (A1)</w:t>
      </w:r>
    </w:p>
    <w:p w14:paraId="3D619E0E"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64F95A7E"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u w:val="single"/>
        </w:rPr>
        <w:t>Natural v. Legal Persons Memo</w:t>
      </w:r>
    </w:p>
    <w:p w14:paraId="4D117D0C"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32F71711" w14:textId="453E352F" w:rsidR="00585504" w:rsidRPr="00585504" w:rsidRDefault="00585504" w:rsidP="00585504">
      <w:pPr>
        <w:numPr>
          <w:ilvl w:val="0"/>
          <w:numId w:val="14"/>
        </w:numPr>
        <w:spacing w:line="276" w:lineRule="atLeast"/>
        <w:rPr>
          <w:rFonts w:eastAsia="Times New Roman" w:cs="Times New Roman"/>
          <w:color w:val="000000"/>
          <w:sz w:val="22"/>
          <w:szCs w:val="22"/>
        </w:rPr>
      </w:pPr>
      <w:r w:rsidRPr="00585504">
        <w:rPr>
          <w:rFonts w:eastAsia="Times New Roman" w:cs="Times New Roman"/>
          <w:color w:val="000000"/>
          <w:sz w:val="22"/>
          <w:szCs w:val="22"/>
        </w:rPr>
        <w:t>Paragraph 14 references how “important it is that the personal data is accurate.” Whose perspective determines this importance (e.g., data subject, controller, processor, 3P)?</w:t>
      </w:r>
      <w:r w:rsidRPr="007F7501">
        <w:rPr>
          <w:rFonts w:eastAsia="Times New Roman" w:cs="Times New Roman"/>
          <w:color w:val="000000"/>
          <w:sz w:val="22"/>
          <w:szCs w:val="22"/>
        </w:rPr>
        <w:t xml:space="preserve"> (B1)</w:t>
      </w:r>
    </w:p>
    <w:p w14:paraId="4C3CBB9F" w14:textId="77727EF9" w:rsidR="00585504" w:rsidRPr="00585504" w:rsidRDefault="00585504" w:rsidP="00585504">
      <w:pPr>
        <w:numPr>
          <w:ilvl w:val="0"/>
          <w:numId w:val="14"/>
        </w:numPr>
        <w:spacing w:line="276" w:lineRule="atLeast"/>
        <w:rPr>
          <w:rFonts w:eastAsia="Times New Roman" w:cs="Times New Roman"/>
          <w:color w:val="000000"/>
          <w:sz w:val="22"/>
          <w:szCs w:val="22"/>
        </w:rPr>
      </w:pPr>
      <w:r w:rsidRPr="00585504">
        <w:rPr>
          <w:rFonts w:eastAsia="Times New Roman" w:cs="Times New Roman"/>
          <w:color w:val="000000"/>
          <w:sz w:val="22"/>
          <w:szCs w:val="22"/>
        </w:rPr>
        <w:t>Paragraph 17 references a “risk of liability.” How do you characterize the level of risk of liability - low, medium, or high?  What threshold (e.g., how likely) of registrant incorrect self-identification triggers this risk of liability?</w:t>
      </w:r>
      <w:r w:rsidRPr="007F7501">
        <w:rPr>
          <w:rFonts w:eastAsia="Times New Roman" w:cs="Times New Roman"/>
          <w:color w:val="000000"/>
          <w:sz w:val="22"/>
          <w:szCs w:val="22"/>
        </w:rPr>
        <w:t xml:space="preserve"> (B2) </w:t>
      </w:r>
    </w:p>
    <w:p w14:paraId="50F69170" w14:textId="08BA0FD0" w:rsidR="00585504" w:rsidRPr="00585504" w:rsidRDefault="00585504" w:rsidP="00585504">
      <w:pPr>
        <w:numPr>
          <w:ilvl w:val="0"/>
          <w:numId w:val="14"/>
        </w:numPr>
        <w:spacing w:line="276" w:lineRule="atLeast"/>
        <w:rPr>
          <w:rFonts w:eastAsia="Times New Roman" w:cs="Times New Roman"/>
          <w:color w:val="000000"/>
          <w:sz w:val="22"/>
          <w:szCs w:val="22"/>
        </w:rPr>
      </w:pPr>
      <w:r w:rsidRPr="00585504">
        <w:rPr>
          <w:rFonts w:eastAsia="Times New Roman" w:cs="Times New Roman"/>
          <w:color w:val="000000"/>
          <w:sz w:val="22"/>
          <w:szCs w:val="22"/>
        </w:rPr>
        <w:t>Is the level of risk of liability identified in response to #2 above the same for the liability referenced in paragraph 23?  If not, how and why is it different?</w:t>
      </w:r>
      <w:r w:rsidRPr="007F7501">
        <w:rPr>
          <w:rFonts w:eastAsia="Times New Roman" w:cs="Times New Roman"/>
          <w:color w:val="000000"/>
          <w:sz w:val="22"/>
          <w:szCs w:val="22"/>
        </w:rPr>
        <w:t xml:space="preserve"> (B4)</w:t>
      </w:r>
    </w:p>
    <w:p w14:paraId="1E3644E4" w14:textId="28A72D48" w:rsidR="00585504" w:rsidRPr="00585504" w:rsidRDefault="00585504" w:rsidP="00585504">
      <w:pPr>
        <w:numPr>
          <w:ilvl w:val="0"/>
          <w:numId w:val="14"/>
        </w:numPr>
        <w:spacing w:line="276" w:lineRule="atLeast"/>
        <w:rPr>
          <w:rFonts w:eastAsia="Times New Roman" w:cs="Times New Roman"/>
          <w:color w:val="000000"/>
          <w:sz w:val="22"/>
          <w:szCs w:val="22"/>
        </w:rPr>
      </w:pPr>
      <w:r w:rsidRPr="00585504">
        <w:rPr>
          <w:rFonts w:eastAsia="Times New Roman" w:cs="Times New Roman"/>
          <w:color w:val="000000"/>
          <w:sz w:val="22"/>
          <w:szCs w:val="22"/>
        </w:rPr>
        <w:t>Are there any decisions, proceedings, or other guidance in which sending a confirmation email was found to decrease the risk of liability?</w:t>
      </w:r>
      <w:r w:rsidRPr="007F7501">
        <w:rPr>
          <w:rFonts w:eastAsia="Times New Roman" w:cs="Times New Roman"/>
          <w:color w:val="000000"/>
          <w:sz w:val="22"/>
          <w:szCs w:val="22"/>
        </w:rPr>
        <w:t xml:space="preserve"> (B5)</w:t>
      </w:r>
    </w:p>
    <w:p w14:paraId="22FD9215"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74D9EC65"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u w:val="single"/>
        </w:rPr>
        <w:t>Technical Contact Memo</w:t>
      </w:r>
    </w:p>
    <w:p w14:paraId="674EC471"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53D316AA" w14:textId="0B687F9B" w:rsidR="00585504" w:rsidRPr="00585504" w:rsidRDefault="00585504" w:rsidP="00585504">
      <w:pPr>
        <w:numPr>
          <w:ilvl w:val="0"/>
          <w:numId w:val="15"/>
        </w:numPr>
        <w:spacing w:line="276" w:lineRule="atLeast"/>
        <w:rPr>
          <w:rFonts w:eastAsia="Times New Roman" w:cs="Times New Roman"/>
          <w:color w:val="000000"/>
          <w:sz w:val="22"/>
          <w:szCs w:val="22"/>
        </w:rPr>
      </w:pPr>
      <w:r w:rsidRPr="00585504">
        <w:rPr>
          <w:rFonts w:eastAsia="Times New Roman" w:cs="Times New Roman"/>
          <w:color w:val="000000"/>
          <w:sz w:val="22"/>
          <w:szCs w:val="22"/>
        </w:rPr>
        <w:t>Is it correct that the best way to eliminate liability is to prohibit the Registered Name Holder (RNH) from submitting personal data for a Technical Contact where the RNH is not the Technical Contact?  If not, why not?</w:t>
      </w:r>
      <w:r w:rsidRPr="007F7501">
        <w:rPr>
          <w:rFonts w:eastAsia="Times New Roman" w:cs="Times New Roman"/>
          <w:color w:val="000000"/>
          <w:sz w:val="22"/>
          <w:szCs w:val="22"/>
        </w:rPr>
        <w:t xml:space="preserve"> (C1)</w:t>
      </w:r>
    </w:p>
    <w:p w14:paraId="64195C03" w14:textId="34A32246" w:rsidR="00585504" w:rsidRPr="00585504" w:rsidRDefault="00585504" w:rsidP="00585504">
      <w:pPr>
        <w:numPr>
          <w:ilvl w:val="0"/>
          <w:numId w:val="15"/>
        </w:numPr>
        <w:spacing w:line="276" w:lineRule="atLeast"/>
        <w:rPr>
          <w:rFonts w:eastAsia="Times New Roman" w:cs="Times New Roman"/>
          <w:color w:val="000000"/>
          <w:sz w:val="22"/>
          <w:szCs w:val="22"/>
        </w:rPr>
      </w:pPr>
      <w:r w:rsidRPr="00585504">
        <w:rPr>
          <w:rFonts w:eastAsia="Times New Roman" w:cs="Times New Roman"/>
          <w:color w:val="000000"/>
          <w:sz w:val="22"/>
          <w:szCs w:val="22"/>
        </w:rPr>
        <w:t>What impact, if any, does requiring the RNH to certify that it provided notice to the Technical Contact have on potential liability? On the risk of an enforcement action?</w:t>
      </w:r>
      <w:r w:rsidRPr="007F7501">
        <w:rPr>
          <w:rFonts w:eastAsia="Times New Roman" w:cs="Times New Roman"/>
          <w:color w:val="000000"/>
          <w:sz w:val="22"/>
          <w:szCs w:val="22"/>
        </w:rPr>
        <w:t xml:space="preserve"> (C2)</w:t>
      </w:r>
    </w:p>
    <w:p w14:paraId="3BEBBA47"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5D5611CE"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u w:val="single"/>
        </w:rPr>
        <w:t>Accuracy</w:t>
      </w:r>
    </w:p>
    <w:p w14:paraId="49F5E7C6"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79C96BE5" w14:textId="4A861870" w:rsidR="00585504" w:rsidRPr="00585504" w:rsidRDefault="00585504" w:rsidP="00585504">
      <w:pPr>
        <w:numPr>
          <w:ilvl w:val="0"/>
          <w:numId w:val="16"/>
        </w:numPr>
        <w:spacing w:line="276" w:lineRule="atLeast"/>
        <w:rPr>
          <w:rFonts w:eastAsia="Times New Roman" w:cs="Times New Roman"/>
          <w:color w:val="000000"/>
          <w:sz w:val="22"/>
          <w:szCs w:val="22"/>
        </w:rPr>
      </w:pPr>
      <w:r w:rsidRPr="00585504">
        <w:rPr>
          <w:rFonts w:eastAsia="Times New Roman" w:cs="Times New Roman"/>
          <w:color w:val="000000"/>
          <w:sz w:val="22"/>
          <w:szCs w:val="22"/>
        </w:rPr>
        <w:t>Would you please provide any specific guidance about or examples of the “serious consequences” referenced in paragraph 8?</w:t>
      </w:r>
      <w:r w:rsidR="00130B4F" w:rsidRPr="007F7501">
        <w:rPr>
          <w:rFonts w:eastAsia="Times New Roman" w:cs="Times New Roman"/>
          <w:color w:val="000000"/>
          <w:sz w:val="22"/>
          <w:szCs w:val="22"/>
        </w:rPr>
        <w:t xml:space="preserve"> (D1)</w:t>
      </w:r>
    </w:p>
    <w:p w14:paraId="3F3D2FA5" w14:textId="1E1BFDD2" w:rsidR="00585504" w:rsidRPr="00585504" w:rsidRDefault="00585504" w:rsidP="00585504">
      <w:pPr>
        <w:numPr>
          <w:ilvl w:val="0"/>
          <w:numId w:val="16"/>
        </w:numPr>
        <w:spacing w:line="276" w:lineRule="atLeast"/>
        <w:rPr>
          <w:rFonts w:eastAsia="Times New Roman" w:cs="Times New Roman"/>
          <w:color w:val="000000"/>
          <w:sz w:val="22"/>
          <w:szCs w:val="22"/>
        </w:rPr>
      </w:pPr>
      <w:r w:rsidRPr="00585504">
        <w:rPr>
          <w:rFonts w:eastAsia="Times New Roman" w:cs="Times New Roman"/>
          <w:color w:val="000000"/>
          <w:sz w:val="22"/>
          <w:szCs w:val="22"/>
        </w:rPr>
        <w:t>Would you please identify the “relevant parties” referenced in paragraph 21?</w:t>
      </w:r>
      <w:r w:rsidR="00130B4F" w:rsidRPr="007F7501">
        <w:rPr>
          <w:rFonts w:eastAsia="Times New Roman" w:cs="Times New Roman"/>
          <w:color w:val="000000"/>
          <w:sz w:val="22"/>
          <w:szCs w:val="22"/>
        </w:rPr>
        <w:t xml:space="preserve"> (D2)</w:t>
      </w:r>
    </w:p>
    <w:p w14:paraId="2959A5BC"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6F37DA23"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u w:val="single"/>
        </w:rPr>
        <w:t>City Field</w:t>
      </w:r>
    </w:p>
    <w:p w14:paraId="4CB85D6F"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57E55ABE" w14:textId="4BA87833" w:rsidR="00585504" w:rsidRPr="00585504" w:rsidRDefault="00585504" w:rsidP="00585504">
      <w:pPr>
        <w:numPr>
          <w:ilvl w:val="0"/>
          <w:numId w:val="17"/>
        </w:numPr>
        <w:spacing w:line="276" w:lineRule="atLeast"/>
        <w:rPr>
          <w:rFonts w:eastAsia="Times New Roman" w:cs="Times New Roman"/>
          <w:color w:val="000000"/>
          <w:sz w:val="22"/>
          <w:szCs w:val="22"/>
        </w:rPr>
      </w:pPr>
      <w:r w:rsidRPr="00585504">
        <w:rPr>
          <w:rFonts w:eastAsia="Times New Roman" w:cs="Times New Roman"/>
          <w:color w:val="000000"/>
          <w:sz w:val="22"/>
          <w:szCs w:val="22"/>
        </w:rPr>
        <w:t>Would you please identify the specific types of “further information” and “more information” (as referenced in paragraph 3.16) that are needed/required?</w:t>
      </w:r>
      <w:r w:rsidR="00130B4F" w:rsidRPr="007F7501">
        <w:rPr>
          <w:rFonts w:eastAsia="Times New Roman" w:cs="Times New Roman"/>
          <w:color w:val="000000"/>
          <w:sz w:val="22"/>
          <w:szCs w:val="22"/>
        </w:rPr>
        <w:t xml:space="preserve"> (E1)</w:t>
      </w:r>
    </w:p>
    <w:p w14:paraId="14D708B0" w14:textId="60793750" w:rsidR="00585504" w:rsidRPr="00585504" w:rsidRDefault="00585504" w:rsidP="00585504">
      <w:pPr>
        <w:numPr>
          <w:ilvl w:val="0"/>
          <w:numId w:val="17"/>
        </w:numPr>
        <w:spacing w:line="276" w:lineRule="atLeast"/>
        <w:rPr>
          <w:rFonts w:eastAsia="Times New Roman" w:cs="Times New Roman"/>
          <w:color w:val="000000"/>
          <w:sz w:val="22"/>
          <w:szCs w:val="22"/>
        </w:rPr>
      </w:pPr>
      <w:r w:rsidRPr="00585504">
        <w:rPr>
          <w:rFonts w:eastAsia="Times New Roman" w:cs="Times New Roman"/>
          <w:color w:val="000000"/>
          <w:sz w:val="22"/>
          <w:szCs w:val="22"/>
        </w:rPr>
        <w:t>Is it correct to conclude that the lawfulness of publication of the “City” field is highly factually and contextually dependent?</w:t>
      </w:r>
      <w:r w:rsidR="00130B4F" w:rsidRPr="007F7501">
        <w:rPr>
          <w:rFonts w:eastAsia="Times New Roman" w:cs="Times New Roman"/>
          <w:color w:val="000000"/>
          <w:sz w:val="22"/>
          <w:szCs w:val="22"/>
        </w:rPr>
        <w:t xml:space="preserve"> (E2)</w:t>
      </w:r>
    </w:p>
    <w:p w14:paraId="1874FD5D"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5B289FD1"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u w:val="single"/>
        </w:rPr>
        <w:t>Territorial Scope</w:t>
      </w:r>
    </w:p>
    <w:p w14:paraId="4087F642" w14:textId="77777777" w:rsidR="00585504" w:rsidRPr="00585504" w:rsidRDefault="00585504" w:rsidP="00585504">
      <w:pPr>
        <w:rPr>
          <w:rFonts w:eastAsia="Times New Roman" w:cs="Times New Roman"/>
          <w:color w:val="000000"/>
          <w:sz w:val="22"/>
          <w:szCs w:val="22"/>
        </w:rPr>
      </w:pPr>
      <w:r w:rsidRPr="00585504">
        <w:rPr>
          <w:rFonts w:eastAsia="Times New Roman" w:cs="Times New Roman"/>
          <w:color w:val="000000"/>
          <w:sz w:val="22"/>
          <w:szCs w:val="22"/>
        </w:rPr>
        <w:t> </w:t>
      </w:r>
    </w:p>
    <w:p w14:paraId="3AFF19F1" w14:textId="59D87449" w:rsidR="00585504" w:rsidRPr="007F7501" w:rsidRDefault="00585504" w:rsidP="00585504">
      <w:pPr>
        <w:numPr>
          <w:ilvl w:val="0"/>
          <w:numId w:val="18"/>
        </w:numPr>
        <w:spacing w:line="276" w:lineRule="atLeast"/>
        <w:rPr>
          <w:rFonts w:eastAsia="Times New Roman" w:cs="Times New Roman"/>
          <w:color w:val="000000"/>
          <w:sz w:val="22"/>
          <w:szCs w:val="22"/>
        </w:rPr>
      </w:pPr>
      <w:r w:rsidRPr="00585504">
        <w:rPr>
          <w:rFonts w:eastAsia="Times New Roman" w:cs="Times New Roman"/>
          <w:color w:val="000000"/>
          <w:sz w:val="22"/>
          <w:szCs w:val="22"/>
        </w:rPr>
        <w:lastRenderedPageBreak/>
        <w:t>Given the narrow question posed in paragraph 1.1, the analysis leading to the conclusion in the last sentence of paragraph 6.9 is unclear. Would you please clarify?</w:t>
      </w:r>
      <w:r w:rsidR="00130B4F" w:rsidRPr="007F7501">
        <w:rPr>
          <w:rFonts w:eastAsia="Times New Roman" w:cs="Times New Roman"/>
          <w:color w:val="000000"/>
          <w:sz w:val="22"/>
          <w:szCs w:val="22"/>
        </w:rPr>
        <w:t xml:space="preserve"> (F1)</w:t>
      </w:r>
    </w:p>
    <w:p w14:paraId="5FF20942" w14:textId="1DF73C31" w:rsidR="00130B4F" w:rsidRPr="007F7501" w:rsidRDefault="00130B4F" w:rsidP="00130B4F">
      <w:pPr>
        <w:spacing w:line="276" w:lineRule="atLeast"/>
        <w:rPr>
          <w:rFonts w:eastAsia="Times New Roman" w:cs="Times New Roman"/>
          <w:color w:val="000000"/>
          <w:sz w:val="22"/>
          <w:szCs w:val="22"/>
        </w:rPr>
      </w:pPr>
    </w:p>
    <w:p w14:paraId="30CCF147" w14:textId="74F61644" w:rsidR="00130B4F" w:rsidRPr="007F7501" w:rsidRDefault="00130B4F" w:rsidP="00130B4F">
      <w:pPr>
        <w:spacing w:line="276" w:lineRule="atLeast"/>
        <w:rPr>
          <w:rFonts w:eastAsia="Times New Roman" w:cs="Times New Roman"/>
          <w:b/>
          <w:color w:val="000000"/>
          <w:sz w:val="22"/>
          <w:szCs w:val="22"/>
          <w:u w:val="single"/>
        </w:rPr>
      </w:pPr>
      <w:r w:rsidRPr="007F7501">
        <w:rPr>
          <w:rFonts w:eastAsia="Times New Roman" w:cs="Times New Roman"/>
          <w:b/>
          <w:color w:val="000000"/>
          <w:sz w:val="22"/>
          <w:szCs w:val="22"/>
          <w:u w:val="single"/>
        </w:rPr>
        <w:t>BC</w:t>
      </w:r>
    </w:p>
    <w:p w14:paraId="1FC133C7" w14:textId="51EC238C" w:rsidR="00130B4F" w:rsidRPr="007F7501" w:rsidRDefault="00130B4F" w:rsidP="00130B4F">
      <w:pPr>
        <w:spacing w:line="276" w:lineRule="atLeast"/>
        <w:rPr>
          <w:rFonts w:eastAsia="Times New Roman" w:cs="Times New Roman"/>
          <w:b/>
          <w:color w:val="000000"/>
          <w:sz w:val="22"/>
          <w:szCs w:val="22"/>
          <w:u w:val="single"/>
        </w:rPr>
      </w:pPr>
    </w:p>
    <w:p w14:paraId="6D0D51C2" w14:textId="77777777" w:rsidR="00130B4F" w:rsidRPr="00585504" w:rsidRDefault="00130B4F" w:rsidP="00130B4F">
      <w:pPr>
        <w:rPr>
          <w:rFonts w:eastAsia="Times New Roman" w:cs="Times New Roman"/>
          <w:color w:val="000000"/>
          <w:sz w:val="22"/>
          <w:szCs w:val="22"/>
        </w:rPr>
      </w:pPr>
      <w:r w:rsidRPr="00585504">
        <w:rPr>
          <w:rFonts w:eastAsia="Times New Roman" w:cs="Times New Roman"/>
          <w:color w:val="000000"/>
          <w:sz w:val="22"/>
          <w:szCs w:val="22"/>
          <w:u w:val="single"/>
        </w:rPr>
        <w:t>6(1)(b) Memo</w:t>
      </w:r>
    </w:p>
    <w:p w14:paraId="190FC28C" w14:textId="77777777" w:rsidR="00130B4F" w:rsidRPr="007F7501" w:rsidRDefault="00130B4F" w:rsidP="00130B4F">
      <w:pPr>
        <w:rPr>
          <w:rFonts w:eastAsia="Times New Roman" w:cs="Times New Roman"/>
          <w:color w:val="000000"/>
          <w:sz w:val="22"/>
          <w:szCs w:val="22"/>
        </w:rPr>
      </w:pPr>
    </w:p>
    <w:p w14:paraId="5BF8F17E" w14:textId="5E93A500" w:rsidR="00130B4F" w:rsidRPr="00130B4F" w:rsidRDefault="00130B4F" w:rsidP="00130B4F">
      <w:pPr>
        <w:rPr>
          <w:rFonts w:eastAsia="Times New Roman" w:cs="Times New Roman"/>
          <w:color w:val="000000"/>
          <w:sz w:val="22"/>
          <w:szCs w:val="22"/>
        </w:rPr>
      </w:pPr>
      <w:r w:rsidRPr="00130B4F">
        <w:rPr>
          <w:rFonts w:eastAsia="Times New Roman" w:cs="Times New Roman"/>
          <w:color w:val="000000"/>
          <w:sz w:val="22"/>
          <w:szCs w:val="22"/>
        </w:rPr>
        <w:t>Our comments on the legal bases topic have been influenced by both the 6(1)(f) memo and the recent EC communication, so we’ve broken our clarifying questions into 2 groupings, one for 6(1)(b) and one for 6(1)(e).</w:t>
      </w:r>
    </w:p>
    <w:p w14:paraId="785546F6" w14:textId="77777777" w:rsidR="00130B4F" w:rsidRPr="00130B4F" w:rsidRDefault="00130B4F" w:rsidP="00130B4F">
      <w:pPr>
        <w:numPr>
          <w:ilvl w:val="0"/>
          <w:numId w:val="20"/>
        </w:numPr>
        <w:rPr>
          <w:rFonts w:eastAsia="Times New Roman" w:cs="Times New Roman"/>
          <w:color w:val="000000"/>
          <w:sz w:val="22"/>
          <w:szCs w:val="22"/>
        </w:rPr>
      </w:pPr>
      <w:r w:rsidRPr="00130B4F">
        <w:rPr>
          <w:rFonts w:eastAsia="Times New Roman" w:cs="Times New Roman"/>
          <w:b/>
          <w:bCs/>
          <w:color w:val="000000"/>
          <w:sz w:val="22"/>
          <w:szCs w:val="22"/>
        </w:rPr>
        <w:t>Performance of Contract</w:t>
      </w:r>
      <w:r w:rsidRPr="00130B4F">
        <w:rPr>
          <w:rFonts w:eastAsia="Times New Roman" w:cs="Times New Roman"/>
          <w:color w:val="000000"/>
          <w:sz w:val="22"/>
          <w:szCs w:val="22"/>
        </w:rPr>
        <w:t> – B&amp;B should revisit its analysis in light of the recent EC Letter where it notes:</w:t>
      </w:r>
    </w:p>
    <w:p w14:paraId="7A90438D" w14:textId="77777777" w:rsidR="00130B4F" w:rsidRPr="00130B4F" w:rsidRDefault="00130B4F" w:rsidP="00130B4F">
      <w:pPr>
        <w:ind w:left="720"/>
        <w:rPr>
          <w:rFonts w:eastAsia="Times New Roman" w:cs="Times New Roman"/>
          <w:color w:val="000000"/>
          <w:sz w:val="22"/>
          <w:szCs w:val="22"/>
        </w:rPr>
      </w:pPr>
      <w:r w:rsidRPr="00130B4F">
        <w:rPr>
          <w:rFonts w:eastAsia="Times New Roman" w:cs="Times New Roman"/>
          <w:i/>
          <w:iCs/>
          <w:color w:val="000000"/>
          <w:sz w:val="22"/>
          <w:szCs w:val="22"/>
        </w:rPr>
        <w:t>“As explained in our comments, Art. 6(1)f GDPR (legitimate interest) is one of the six possible legal bases provided under Art. 6(1) GDPR. For instance, disclosure of nonpublic gTLD registration data could be necessary for compliance with a legal obligation to which the contracted parties are subject (see Art. 6(1)c GDPR).</w:t>
      </w:r>
      <w:r w:rsidRPr="00130B4F">
        <w:rPr>
          <w:rFonts w:eastAsia="Times New Roman" w:cs="Times New Roman"/>
          <w:color w:val="000000"/>
          <w:sz w:val="22"/>
          <w:szCs w:val="22"/>
        </w:rPr>
        <w:t>”</w:t>
      </w:r>
    </w:p>
    <w:p w14:paraId="0B7C5F8D" w14:textId="77777777" w:rsidR="00130B4F" w:rsidRPr="00130B4F" w:rsidRDefault="00130B4F" w:rsidP="00130B4F">
      <w:pPr>
        <w:ind w:left="720"/>
        <w:rPr>
          <w:rFonts w:eastAsia="Times New Roman" w:cs="Times New Roman"/>
          <w:color w:val="000000"/>
          <w:sz w:val="22"/>
          <w:szCs w:val="22"/>
        </w:rPr>
      </w:pPr>
      <w:r w:rsidRPr="00130B4F">
        <w:rPr>
          <w:rFonts w:eastAsia="Times New Roman" w:cs="Times New Roman"/>
          <w:color w:val="000000"/>
          <w:sz w:val="22"/>
          <w:szCs w:val="22"/>
        </w:rPr>
        <w:t>This is consistent with the B&amp;B memo that recognizes that a direct contract with the data subject is not necessary.</w:t>
      </w:r>
    </w:p>
    <w:p w14:paraId="3D6A6A48" w14:textId="77777777" w:rsidR="00130B4F" w:rsidRPr="00130B4F" w:rsidRDefault="00130B4F" w:rsidP="00130B4F">
      <w:pPr>
        <w:numPr>
          <w:ilvl w:val="1"/>
          <w:numId w:val="21"/>
        </w:numPr>
        <w:rPr>
          <w:rFonts w:eastAsia="Times New Roman" w:cs="Times New Roman"/>
          <w:color w:val="000000"/>
          <w:sz w:val="22"/>
          <w:szCs w:val="22"/>
        </w:rPr>
      </w:pPr>
      <w:r w:rsidRPr="00130B4F">
        <w:rPr>
          <w:rFonts w:eastAsia="Times New Roman" w:cs="Times New Roman"/>
          <w:color w:val="000000"/>
          <w:sz w:val="22"/>
          <w:szCs w:val="22"/>
        </w:rPr>
        <w:t>To identify 6(1)(b) as purpose for processing registration data, we should follow up on the B &amp; B advice that-</w:t>
      </w:r>
    </w:p>
    <w:p w14:paraId="367C1FA1" w14:textId="77777777" w:rsidR="00130B4F" w:rsidRPr="00130B4F" w:rsidRDefault="00130B4F" w:rsidP="00130B4F">
      <w:pPr>
        <w:ind w:left="1440"/>
        <w:rPr>
          <w:rFonts w:eastAsia="Times New Roman" w:cs="Times New Roman"/>
          <w:color w:val="000000"/>
          <w:sz w:val="22"/>
          <w:szCs w:val="22"/>
        </w:rPr>
      </w:pPr>
      <w:r w:rsidRPr="00130B4F">
        <w:rPr>
          <w:rFonts w:eastAsia="Times New Roman" w:cs="Times New Roman"/>
          <w:color w:val="000000"/>
          <w:sz w:val="22"/>
          <w:szCs w:val="22"/>
        </w:rPr>
        <w:t>“</w:t>
      </w:r>
      <w:r w:rsidRPr="00130B4F">
        <w:rPr>
          <w:rFonts w:eastAsia="Times New Roman" w:cs="Times New Roman"/>
          <w:i/>
          <w:iCs/>
          <w:color w:val="000000"/>
          <w:sz w:val="22"/>
          <w:szCs w:val="22"/>
        </w:rPr>
        <w:t>it will be necessary to require that the specific third party or at least the processing by the third party is, at least abstractly, already known to the data subject at the time the contract is concluded and that the controller, as the contractual partner, informs the data subject of this prior to the transfer to the third party”</w:t>
      </w:r>
    </w:p>
    <w:p w14:paraId="52D6244D" w14:textId="77777777" w:rsidR="00130B4F" w:rsidRPr="00130B4F" w:rsidRDefault="00130B4F" w:rsidP="00130B4F">
      <w:pPr>
        <w:numPr>
          <w:ilvl w:val="1"/>
          <w:numId w:val="22"/>
        </w:numPr>
        <w:rPr>
          <w:rFonts w:eastAsia="Times New Roman" w:cs="Times New Roman"/>
          <w:color w:val="000000"/>
          <w:sz w:val="22"/>
          <w:szCs w:val="22"/>
        </w:rPr>
      </w:pPr>
      <w:r w:rsidRPr="00130B4F">
        <w:rPr>
          <w:rFonts w:eastAsia="Times New Roman" w:cs="Times New Roman"/>
          <w:color w:val="000000"/>
          <w:sz w:val="22"/>
          <w:szCs w:val="22"/>
        </w:rPr>
        <w:t>B&amp;B should clarify why it believes that the only basis for providing WHOIS is for the prevention of DNS abuse.  Its conclusion in Paragraph 10 does not consider the other purposes identified by the EPDP in Rec 1, and, in any event should consider the </w:t>
      </w:r>
      <w:r w:rsidRPr="00130B4F">
        <w:rPr>
          <w:rFonts w:eastAsia="Times New Roman" w:cs="Times New Roman"/>
          <w:sz w:val="22"/>
          <w:szCs w:val="22"/>
        </w:rPr>
        <w:t>recent </w:t>
      </w:r>
      <w:r w:rsidRPr="00130B4F">
        <w:rPr>
          <w:rFonts w:eastAsia="Times New Roman" w:cs="Times New Roman"/>
          <w:color w:val="000000"/>
          <w:sz w:val="22"/>
          <w:szCs w:val="22"/>
        </w:rPr>
        <w:t>EC recognition that ICANN has a broad purpose to:</w:t>
      </w:r>
    </w:p>
    <w:p w14:paraId="7C3B7C61" w14:textId="77777777" w:rsidR="00130B4F" w:rsidRPr="00130B4F" w:rsidRDefault="00130B4F" w:rsidP="00130B4F">
      <w:pPr>
        <w:rPr>
          <w:rFonts w:eastAsia="Times New Roman" w:cs="Times New Roman"/>
          <w:color w:val="000000"/>
          <w:sz w:val="22"/>
          <w:szCs w:val="22"/>
        </w:rPr>
      </w:pPr>
      <w:r w:rsidRPr="00130B4F">
        <w:rPr>
          <w:rFonts w:eastAsia="Times New Roman" w:cs="Times New Roman"/>
          <w:color w:val="000000"/>
          <w:sz w:val="22"/>
          <w:szCs w:val="22"/>
        </w:rPr>
        <w:t> </w:t>
      </w:r>
    </w:p>
    <w:p w14:paraId="111F9059" w14:textId="6B7F9798" w:rsidR="00130B4F" w:rsidRPr="00130B4F" w:rsidRDefault="00130B4F" w:rsidP="00130B4F">
      <w:pPr>
        <w:ind w:left="1800"/>
        <w:rPr>
          <w:rFonts w:eastAsia="Times New Roman" w:cs="Times New Roman"/>
          <w:color w:val="000000"/>
          <w:sz w:val="22"/>
          <w:szCs w:val="22"/>
        </w:rPr>
      </w:pPr>
      <w:r w:rsidRPr="00130B4F">
        <w:rPr>
          <w:rFonts w:eastAsia="Times New Roman" w:cs="Times New Roman"/>
          <w:i/>
          <w:iCs/>
          <w:color w:val="000000"/>
          <w:sz w:val="22"/>
          <w:szCs w:val="22"/>
        </w:rPr>
        <w:t>‘contribute to the maintenance of the security, stability, and resiliency of the Domain Name System in accordance with ICANN's mission’, which is at the core of the role of ICANN as the “guardian” of the Domain Name System</w:t>
      </w:r>
      <w:r w:rsidRPr="00130B4F">
        <w:rPr>
          <w:rFonts w:eastAsia="Times New Roman" w:cs="Times New Roman"/>
          <w:color w:val="000000"/>
          <w:sz w:val="22"/>
          <w:szCs w:val="22"/>
        </w:rPr>
        <w:t>.”</w:t>
      </w:r>
      <w:r w:rsidRPr="007F7501">
        <w:rPr>
          <w:rFonts w:eastAsia="Times New Roman" w:cs="Times New Roman"/>
          <w:color w:val="000000"/>
          <w:sz w:val="22"/>
          <w:szCs w:val="22"/>
        </w:rPr>
        <w:t xml:space="preserve"> (</w:t>
      </w:r>
      <w:r w:rsidR="00C61A7B" w:rsidRPr="007F7501">
        <w:rPr>
          <w:rFonts w:eastAsia="Times New Roman" w:cs="Times New Roman"/>
          <w:color w:val="000000"/>
          <w:sz w:val="22"/>
          <w:szCs w:val="22"/>
        </w:rPr>
        <w:t>A3)</w:t>
      </w:r>
    </w:p>
    <w:p w14:paraId="02F16A99" w14:textId="77777777" w:rsidR="00130B4F" w:rsidRPr="00130B4F" w:rsidRDefault="00130B4F" w:rsidP="00130B4F">
      <w:pPr>
        <w:numPr>
          <w:ilvl w:val="0"/>
          <w:numId w:val="23"/>
        </w:numPr>
        <w:rPr>
          <w:rFonts w:eastAsia="Times New Roman" w:cs="Times New Roman"/>
          <w:color w:val="000000"/>
          <w:sz w:val="22"/>
          <w:szCs w:val="22"/>
        </w:rPr>
      </w:pPr>
      <w:r w:rsidRPr="00130B4F">
        <w:rPr>
          <w:rFonts w:eastAsia="Times New Roman" w:cs="Times New Roman"/>
          <w:b/>
          <w:bCs/>
          <w:color w:val="000000"/>
          <w:sz w:val="22"/>
          <w:szCs w:val="22"/>
        </w:rPr>
        <w:t>WHOIS in the Public Interest</w:t>
      </w:r>
      <w:r w:rsidRPr="00130B4F">
        <w:rPr>
          <w:rFonts w:eastAsia="Times New Roman" w:cs="Times New Roman"/>
          <w:color w:val="000000"/>
          <w:sz w:val="22"/>
          <w:szCs w:val="22"/>
        </w:rPr>
        <w:t> - Similarly, B&amp;B should advise on the extent to which GDPR’s public interest basis 6(1)e is applicable, in light of the EC’s recognition that:</w:t>
      </w:r>
    </w:p>
    <w:p w14:paraId="02930EE8" w14:textId="695A99BF" w:rsidR="00130B4F" w:rsidRPr="00130B4F" w:rsidRDefault="00130B4F" w:rsidP="00130B4F">
      <w:pPr>
        <w:ind w:left="720"/>
        <w:rPr>
          <w:rFonts w:eastAsia="Times New Roman" w:cs="Times New Roman"/>
          <w:color w:val="000000"/>
          <w:sz w:val="22"/>
          <w:szCs w:val="22"/>
        </w:rPr>
      </w:pPr>
      <w:r w:rsidRPr="00130B4F">
        <w:rPr>
          <w:rFonts w:eastAsia="Times New Roman" w:cs="Times New Roman"/>
          <w:i/>
          <w:iCs/>
          <w:color w:val="000000"/>
          <w:sz w:val="22"/>
          <w:szCs w:val="22"/>
        </w:rPr>
        <w:t>“With regard to the formulation of purpose two, the European Commission acknowledges ICANN’s central role and responsibility for ensuring the security, stability and resilience of the Internet Domain Name System and that in doing so it acts in the public interest.”</w:t>
      </w:r>
      <w:r w:rsidR="00C61A7B" w:rsidRPr="007F7501">
        <w:rPr>
          <w:rFonts w:eastAsia="Times New Roman" w:cs="Times New Roman"/>
          <w:i/>
          <w:iCs/>
          <w:color w:val="000000"/>
          <w:sz w:val="22"/>
          <w:szCs w:val="22"/>
        </w:rPr>
        <w:t xml:space="preserve"> </w:t>
      </w:r>
      <w:r w:rsidR="00C61A7B" w:rsidRPr="007F7501">
        <w:rPr>
          <w:rFonts w:eastAsia="Times New Roman" w:cs="Times New Roman"/>
          <w:iCs/>
          <w:color w:val="000000"/>
          <w:sz w:val="22"/>
          <w:szCs w:val="22"/>
        </w:rPr>
        <w:t>(A3)</w:t>
      </w:r>
    </w:p>
    <w:p w14:paraId="5EAF8AE9" w14:textId="77777777" w:rsidR="00130B4F" w:rsidRPr="00130B4F" w:rsidRDefault="00130B4F" w:rsidP="00130B4F">
      <w:pPr>
        <w:rPr>
          <w:rFonts w:eastAsia="Times New Roman" w:cs="Times New Roman"/>
          <w:color w:val="000000"/>
          <w:sz w:val="22"/>
          <w:szCs w:val="22"/>
        </w:rPr>
      </w:pPr>
      <w:r w:rsidRPr="00130B4F">
        <w:rPr>
          <w:rFonts w:eastAsia="Times New Roman" w:cs="Times New Roman"/>
          <w:color w:val="000000"/>
          <w:sz w:val="22"/>
          <w:szCs w:val="22"/>
        </w:rPr>
        <w:t> </w:t>
      </w:r>
    </w:p>
    <w:p w14:paraId="2246E09C" w14:textId="2534CB49" w:rsidR="00C61A7B" w:rsidRPr="007F7501" w:rsidRDefault="00C61A7B" w:rsidP="00C61A7B">
      <w:pPr>
        <w:rPr>
          <w:rFonts w:eastAsia="Times New Roman" w:cs="Times New Roman"/>
          <w:color w:val="000000"/>
          <w:sz w:val="22"/>
          <w:szCs w:val="22"/>
          <w:u w:val="single"/>
        </w:rPr>
      </w:pPr>
      <w:r w:rsidRPr="007F7501">
        <w:rPr>
          <w:rFonts w:eastAsia="Times New Roman" w:cs="Times New Roman"/>
          <w:color w:val="000000"/>
          <w:sz w:val="22"/>
          <w:szCs w:val="22"/>
          <w:u w:val="single"/>
        </w:rPr>
        <w:t>Natural v. Legal Persons Memo</w:t>
      </w:r>
    </w:p>
    <w:p w14:paraId="75677F3E" w14:textId="77777777" w:rsidR="00C61A7B" w:rsidRPr="007F7501" w:rsidRDefault="00C61A7B" w:rsidP="00C61A7B">
      <w:pPr>
        <w:rPr>
          <w:rFonts w:eastAsia="Times New Roman" w:cs="Times New Roman"/>
          <w:color w:val="000000"/>
          <w:sz w:val="22"/>
          <w:szCs w:val="22"/>
        </w:rPr>
      </w:pPr>
    </w:p>
    <w:p w14:paraId="7C0FA6A3" w14:textId="77777777" w:rsidR="00130B4F" w:rsidRPr="00130B4F" w:rsidRDefault="00130B4F" w:rsidP="00130B4F">
      <w:pPr>
        <w:numPr>
          <w:ilvl w:val="1"/>
          <w:numId w:val="24"/>
        </w:numPr>
        <w:rPr>
          <w:rFonts w:eastAsia="Times New Roman" w:cs="Times New Roman"/>
          <w:color w:val="000000"/>
          <w:sz w:val="22"/>
          <w:szCs w:val="22"/>
        </w:rPr>
      </w:pPr>
      <w:r w:rsidRPr="00130B4F">
        <w:rPr>
          <w:rFonts w:eastAsia="Times New Roman" w:cs="Times New Roman"/>
          <w:color w:val="000000"/>
          <w:sz w:val="22"/>
          <w:szCs w:val="22"/>
        </w:rPr>
        <w:t xml:space="preserve">The EDPD should explore with B&amp;B the possible ways of protecting against an erroneous identification as a legal person.  The policy recommendations could point to different practices that exist today (relying on the CCTLD research referenced in the EPDP Phase 1 report) that could enable the natural/legal person distinction to be made.   For example, the EPDP could propose a verification component, based on a number of indicators that can determine whether the registrant is </w:t>
      </w:r>
      <w:proofErr w:type="gramStart"/>
      <w:r w:rsidRPr="00130B4F">
        <w:rPr>
          <w:rFonts w:eastAsia="Times New Roman" w:cs="Times New Roman"/>
          <w:color w:val="000000"/>
          <w:sz w:val="22"/>
          <w:szCs w:val="22"/>
        </w:rPr>
        <w:t>a  legal</w:t>
      </w:r>
      <w:proofErr w:type="gramEnd"/>
      <w:r w:rsidRPr="00130B4F">
        <w:rPr>
          <w:rFonts w:eastAsia="Times New Roman" w:cs="Times New Roman"/>
          <w:color w:val="000000"/>
          <w:sz w:val="22"/>
          <w:szCs w:val="22"/>
        </w:rPr>
        <w:t xml:space="preserve"> entity.</w:t>
      </w:r>
    </w:p>
    <w:p w14:paraId="7F78B485" w14:textId="72AB573A" w:rsidR="00130B4F" w:rsidRPr="00130B4F" w:rsidRDefault="00130B4F" w:rsidP="00130B4F">
      <w:pPr>
        <w:numPr>
          <w:ilvl w:val="1"/>
          <w:numId w:val="24"/>
        </w:numPr>
        <w:rPr>
          <w:rFonts w:eastAsia="Times New Roman" w:cs="Times New Roman"/>
          <w:color w:val="000000"/>
          <w:sz w:val="22"/>
          <w:szCs w:val="22"/>
        </w:rPr>
      </w:pPr>
      <w:r w:rsidRPr="00130B4F">
        <w:rPr>
          <w:rFonts w:eastAsia="Times New Roman" w:cs="Times New Roman"/>
          <w:color w:val="000000"/>
          <w:sz w:val="22"/>
          <w:szCs w:val="22"/>
        </w:rPr>
        <w:t>Has B&amp;B considered how the natural/legal person distinction is handled by ccTLDs?</w:t>
      </w:r>
      <w:r w:rsidR="00C61A7B" w:rsidRPr="007F7501">
        <w:rPr>
          <w:rFonts w:eastAsia="Times New Roman" w:cs="Times New Roman"/>
          <w:color w:val="000000"/>
          <w:sz w:val="22"/>
          <w:szCs w:val="22"/>
        </w:rPr>
        <w:t xml:space="preserve"> (B6)</w:t>
      </w:r>
    </w:p>
    <w:p w14:paraId="54B25584" w14:textId="0809F635" w:rsidR="00130B4F" w:rsidRPr="00130B4F" w:rsidRDefault="00130B4F" w:rsidP="00130B4F">
      <w:pPr>
        <w:numPr>
          <w:ilvl w:val="1"/>
          <w:numId w:val="24"/>
        </w:numPr>
        <w:rPr>
          <w:rFonts w:eastAsia="Times New Roman" w:cs="Times New Roman"/>
          <w:color w:val="000000"/>
          <w:sz w:val="22"/>
          <w:szCs w:val="22"/>
        </w:rPr>
      </w:pPr>
      <w:r w:rsidRPr="00130B4F">
        <w:rPr>
          <w:rFonts w:eastAsia="Times New Roman" w:cs="Times New Roman"/>
          <w:color w:val="000000"/>
          <w:sz w:val="22"/>
          <w:szCs w:val="22"/>
        </w:rPr>
        <w:t xml:space="preserve">With regard to concerns about emails possibly containing personal info – has B &amp; B considered whether the risk could be mitigated if the registrant is asked if the email </w:t>
      </w:r>
      <w:proofErr w:type="gramStart"/>
      <w:r w:rsidRPr="00130B4F">
        <w:rPr>
          <w:rFonts w:eastAsia="Times New Roman" w:cs="Times New Roman"/>
          <w:color w:val="000000"/>
          <w:sz w:val="22"/>
          <w:szCs w:val="22"/>
        </w:rPr>
        <w:t>is  “</w:t>
      </w:r>
      <w:proofErr w:type="gramEnd"/>
      <w:r w:rsidRPr="00130B4F">
        <w:rPr>
          <w:rFonts w:eastAsia="Times New Roman" w:cs="Times New Roman"/>
          <w:color w:val="000000"/>
          <w:sz w:val="22"/>
          <w:szCs w:val="22"/>
        </w:rPr>
        <w:t>role based” or identifies an actual individual? </w:t>
      </w:r>
      <w:r w:rsidR="00C61A7B" w:rsidRPr="007F7501">
        <w:rPr>
          <w:rFonts w:eastAsia="Times New Roman" w:cs="Times New Roman"/>
          <w:color w:val="000000"/>
          <w:sz w:val="22"/>
          <w:szCs w:val="22"/>
        </w:rPr>
        <w:t>(B3)</w:t>
      </w:r>
    </w:p>
    <w:p w14:paraId="24FCB703" w14:textId="77777777" w:rsidR="00C61A7B" w:rsidRPr="007F7501" w:rsidRDefault="00C61A7B" w:rsidP="00130B4F">
      <w:pPr>
        <w:rPr>
          <w:rFonts w:eastAsia="Times New Roman" w:cs="Times New Roman"/>
          <w:b/>
          <w:bCs/>
          <w:color w:val="000000"/>
          <w:sz w:val="22"/>
          <w:szCs w:val="22"/>
        </w:rPr>
      </w:pPr>
    </w:p>
    <w:p w14:paraId="272158BC" w14:textId="77777777" w:rsidR="00C61A7B" w:rsidRPr="00585504" w:rsidRDefault="00C61A7B" w:rsidP="00C61A7B">
      <w:pPr>
        <w:rPr>
          <w:rFonts w:eastAsia="Times New Roman" w:cs="Times New Roman"/>
          <w:color w:val="000000"/>
          <w:sz w:val="22"/>
          <w:szCs w:val="22"/>
        </w:rPr>
      </w:pPr>
      <w:r w:rsidRPr="00585504">
        <w:rPr>
          <w:rFonts w:eastAsia="Times New Roman" w:cs="Times New Roman"/>
          <w:color w:val="000000"/>
          <w:sz w:val="22"/>
          <w:szCs w:val="22"/>
          <w:u w:val="single"/>
        </w:rPr>
        <w:t>Accuracy</w:t>
      </w:r>
    </w:p>
    <w:p w14:paraId="2EBAC6F3" w14:textId="77777777" w:rsidR="00C61A7B" w:rsidRPr="007F7501" w:rsidRDefault="00C61A7B" w:rsidP="00130B4F">
      <w:pPr>
        <w:rPr>
          <w:rFonts w:eastAsia="Times New Roman" w:cs="Times New Roman"/>
          <w:color w:val="000000"/>
          <w:sz w:val="22"/>
          <w:szCs w:val="22"/>
        </w:rPr>
      </w:pPr>
    </w:p>
    <w:p w14:paraId="588784E4" w14:textId="0309EC4C" w:rsidR="00130B4F" w:rsidRPr="00130B4F" w:rsidRDefault="00130B4F" w:rsidP="00130B4F">
      <w:pPr>
        <w:rPr>
          <w:rFonts w:eastAsia="Times New Roman" w:cs="Times New Roman"/>
          <w:color w:val="000000"/>
          <w:sz w:val="22"/>
          <w:szCs w:val="22"/>
        </w:rPr>
      </w:pPr>
      <w:r w:rsidRPr="00130B4F">
        <w:rPr>
          <w:rFonts w:eastAsia="Times New Roman" w:cs="Times New Roman"/>
          <w:color w:val="000000"/>
          <w:sz w:val="22"/>
          <w:szCs w:val="22"/>
        </w:rPr>
        <w:t>Has B&amp;B reviewed the statistics from the WHOIS ARS on accuracy levels or the findings of the 1</w:t>
      </w:r>
      <w:r w:rsidRPr="00130B4F">
        <w:rPr>
          <w:rFonts w:eastAsia="Times New Roman" w:cs="Times New Roman"/>
          <w:color w:val="000000"/>
          <w:sz w:val="22"/>
          <w:szCs w:val="22"/>
          <w:vertAlign w:val="superscript"/>
        </w:rPr>
        <w:t>st</w:t>
      </w:r>
      <w:r w:rsidRPr="00130B4F">
        <w:rPr>
          <w:rFonts w:eastAsia="Times New Roman" w:cs="Times New Roman"/>
          <w:color w:val="000000"/>
          <w:sz w:val="22"/>
          <w:szCs w:val="22"/>
        </w:rPr>
        <w:t> and 2</w:t>
      </w:r>
      <w:r w:rsidRPr="00130B4F">
        <w:rPr>
          <w:rFonts w:eastAsia="Times New Roman" w:cs="Times New Roman"/>
          <w:color w:val="000000"/>
          <w:sz w:val="22"/>
          <w:szCs w:val="22"/>
          <w:vertAlign w:val="superscript"/>
        </w:rPr>
        <w:t>nd</w:t>
      </w:r>
      <w:r w:rsidRPr="00130B4F">
        <w:rPr>
          <w:rFonts w:eastAsia="Times New Roman" w:cs="Times New Roman"/>
          <w:color w:val="000000"/>
          <w:sz w:val="22"/>
          <w:szCs w:val="22"/>
        </w:rPr>
        <w:t> WHOIS RT with regard to accuracy?  This should factor into the summary conclusions in Paragraph 21.</w:t>
      </w:r>
      <w:r w:rsidR="00C61A7B" w:rsidRPr="007F7501">
        <w:rPr>
          <w:rFonts w:eastAsia="Times New Roman" w:cs="Times New Roman"/>
          <w:color w:val="000000"/>
          <w:sz w:val="22"/>
          <w:szCs w:val="22"/>
        </w:rPr>
        <w:t xml:space="preserve"> (D3)</w:t>
      </w:r>
    </w:p>
    <w:p w14:paraId="17369BDE" w14:textId="77777777" w:rsidR="00C61A7B" w:rsidRPr="007F7501" w:rsidRDefault="00C61A7B" w:rsidP="00130B4F">
      <w:pPr>
        <w:rPr>
          <w:rFonts w:eastAsia="Times New Roman" w:cs="Times New Roman"/>
          <w:b/>
          <w:bCs/>
          <w:color w:val="000000"/>
          <w:sz w:val="22"/>
          <w:szCs w:val="22"/>
        </w:rPr>
      </w:pPr>
    </w:p>
    <w:p w14:paraId="7C313050" w14:textId="175E48FE" w:rsidR="00C61A7B" w:rsidRPr="007F7501" w:rsidRDefault="00C61A7B" w:rsidP="00130B4F">
      <w:pPr>
        <w:rPr>
          <w:rFonts w:eastAsia="Times New Roman" w:cs="Times New Roman"/>
          <w:color w:val="000000"/>
          <w:sz w:val="22"/>
          <w:szCs w:val="22"/>
          <w:u w:val="single"/>
        </w:rPr>
      </w:pPr>
      <w:r w:rsidRPr="007F7501">
        <w:rPr>
          <w:rFonts w:eastAsia="Times New Roman" w:cs="Times New Roman"/>
          <w:color w:val="000000"/>
          <w:sz w:val="22"/>
          <w:szCs w:val="22"/>
          <w:u w:val="single"/>
        </w:rPr>
        <w:t>Thick WHOIS</w:t>
      </w:r>
    </w:p>
    <w:p w14:paraId="6201F3CC" w14:textId="04D39C97" w:rsidR="00130B4F" w:rsidRPr="00130B4F" w:rsidRDefault="00130B4F" w:rsidP="00130B4F">
      <w:pPr>
        <w:rPr>
          <w:rFonts w:eastAsia="Times New Roman" w:cs="Times New Roman"/>
          <w:color w:val="000000"/>
          <w:sz w:val="22"/>
          <w:szCs w:val="22"/>
        </w:rPr>
      </w:pPr>
      <w:r w:rsidRPr="00130B4F">
        <w:rPr>
          <w:rFonts w:eastAsia="Times New Roman" w:cs="Times New Roman"/>
          <w:color w:val="000000"/>
          <w:sz w:val="22"/>
          <w:szCs w:val="22"/>
        </w:rPr>
        <w:t>Did B&amp;B review the GNSO’s Final Report and analysis in support of the Thick WHOIS policy recommendations?  Specifically, the consensus policy was based on recognized benefits to the Internet Ecosystem of having Thick WHOIS.  For example, under the Thick WHOIS policy, the registry is the authoritative place for domain name registration records.  </w:t>
      </w:r>
      <w:r w:rsidR="00C61A7B" w:rsidRPr="007F7501">
        <w:rPr>
          <w:rFonts w:eastAsia="Times New Roman" w:cs="Times New Roman"/>
          <w:color w:val="000000"/>
          <w:sz w:val="22"/>
          <w:szCs w:val="22"/>
        </w:rPr>
        <w:t>(G1)</w:t>
      </w:r>
    </w:p>
    <w:p w14:paraId="6B1C8BEC" w14:textId="77777777" w:rsidR="00130B4F" w:rsidRPr="007F7501" w:rsidRDefault="00130B4F" w:rsidP="00130B4F">
      <w:pPr>
        <w:spacing w:line="276" w:lineRule="atLeast"/>
        <w:rPr>
          <w:rFonts w:eastAsia="Times New Roman" w:cs="Times New Roman"/>
          <w:b/>
          <w:color w:val="000000"/>
          <w:sz w:val="22"/>
          <w:szCs w:val="22"/>
          <w:u w:val="single"/>
        </w:rPr>
      </w:pPr>
    </w:p>
    <w:p w14:paraId="0F251DDC" w14:textId="77777777" w:rsidR="00130B4F" w:rsidRPr="00585504" w:rsidRDefault="00130B4F" w:rsidP="00130B4F">
      <w:pPr>
        <w:spacing w:line="276" w:lineRule="atLeast"/>
        <w:rPr>
          <w:rFonts w:eastAsia="Times New Roman" w:cs="Times New Roman"/>
          <w:color w:val="000000"/>
          <w:sz w:val="22"/>
          <w:szCs w:val="22"/>
        </w:rPr>
      </w:pPr>
    </w:p>
    <w:p w14:paraId="0DA37030" w14:textId="77777777" w:rsidR="00585504" w:rsidRPr="007F7501" w:rsidRDefault="00585504">
      <w:pPr>
        <w:rPr>
          <w:sz w:val="22"/>
          <w:szCs w:val="22"/>
        </w:rPr>
      </w:pPr>
    </w:p>
    <w:sectPr w:rsidR="00585504" w:rsidRPr="007F7501" w:rsidSect="005855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6C"/>
    <w:multiLevelType w:val="multilevel"/>
    <w:tmpl w:val="A114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2653F"/>
    <w:multiLevelType w:val="multilevel"/>
    <w:tmpl w:val="967A57E0"/>
    <w:lvl w:ilvl="0">
      <w:start w:val="1"/>
      <w:numFmt w:val="decimal"/>
      <w:lvlText w:val="%1."/>
      <w:lvlJc w:val="left"/>
      <w:pPr>
        <w:tabs>
          <w:tab w:val="num" w:pos="360"/>
        </w:tabs>
        <w:ind w:left="360" w:hanging="360"/>
      </w:pPr>
      <w:rPr>
        <w:sz w:val="21"/>
        <w:szCs w:val="2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0786343"/>
    <w:multiLevelType w:val="multilevel"/>
    <w:tmpl w:val="8D28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66A7E"/>
    <w:multiLevelType w:val="multilevel"/>
    <w:tmpl w:val="D448810C"/>
    <w:lvl w:ilvl="0">
      <w:start w:val="1"/>
      <w:numFmt w:val="decimal"/>
      <w:lvlText w:val="%1."/>
      <w:lvlJc w:val="left"/>
      <w:pPr>
        <w:tabs>
          <w:tab w:val="num" w:pos="360"/>
        </w:tabs>
        <w:ind w:left="360" w:hanging="360"/>
      </w:pPr>
      <w:rPr>
        <w:sz w:val="21"/>
        <w:szCs w:val="2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F87292"/>
    <w:multiLevelType w:val="multilevel"/>
    <w:tmpl w:val="47D08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F77C7"/>
    <w:multiLevelType w:val="hybridMultilevel"/>
    <w:tmpl w:val="923A5D50"/>
    <w:lvl w:ilvl="0" w:tplc="3286AAC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A477F"/>
    <w:multiLevelType w:val="hybridMultilevel"/>
    <w:tmpl w:val="BFA4A23A"/>
    <w:lvl w:ilvl="0" w:tplc="09FA352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D1466"/>
    <w:multiLevelType w:val="multilevel"/>
    <w:tmpl w:val="8D38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600E0"/>
    <w:multiLevelType w:val="multilevel"/>
    <w:tmpl w:val="757C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948B8"/>
    <w:multiLevelType w:val="multilevel"/>
    <w:tmpl w:val="F5BE1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B76888"/>
    <w:multiLevelType w:val="hybridMultilevel"/>
    <w:tmpl w:val="EE54A830"/>
    <w:lvl w:ilvl="0" w:tplc="EC841140">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86C9F"/>
    <w:multiLevelType w:val="hybridMultilevel"/>
    <w:tmpl w:val="551A3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6244F2"/>
    <w:multiLevelType w:val="hybridMultilevel"/>
    <w:tmpl w:val="B55E5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5028DF"/>
    <w:multiLevelType w:val="multilevel"/>
    <w:tmpl w:val="811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816A13"/>
    <w:multiLevelType w:val="multilevel"/>
    <w:tmpl w:val="5BA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FA1F8D"/>
    <w:multiLevelType w:val="multilevel"/>
    <w:tmpl w:val="717AC33A"/>
    <w:lvl w:ilvl="0">
      <w:start w:val="1"/>
      <w:numFmt w:val="decimal"/>
      <w:lvlText w:val="%1."/>
      <w:lvlJc w:val="left"/>
      <w:pPr>
        <w:tabs>
          <w:tab w:val="num" w:pos="360"/>
        </w:tabs>
        <w:ind w:left="360" w:hanging="360"/>
      </w:pPr>
      <w:rPr>
        <w:sz w:val="21"/>
        <w:szCs w:val="2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99F6EF3"/>
    <w:multiLevelType w:val="multilevel"/>
    <w:tmpl w:val="68A4D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677C6"/>
    <w:multiLevelType w:val="hybridMultilevel"/>
    <w:tmpl w:val="BFA4A23A"/>
    <w:lvl w:ilvl="0" w:tplc="09FA352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A27057"/>
    <w:multiLevelType w:val="multilevel"/>
    <w:tmpl w:val="0CB8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52455B"/>
    <w:multiLevelType w:val="multilevel"/>
    <w:tmpl w:val="12CA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47AAC"/>
    <w:multiLevelType w:val="hybridMultilevel"/>
    <w:tmpl w:val="FAA4F33C"/>
    <w:lvl w:ilvl="0" w:tplc="47061CD2">
      <w:start w:val="1"/>
      <w:numFmt w:val="decimal"/>
      <w:lvlText w:val="%1."/>
      <w:lvlJc w:val="left"/>
      <w:pPr>
        <w:ind w:left="720" w:hanging="360"/>
      </w:pPr>
      <w:rPr>
        <w:rFonts w:eastAsia="Times New Roman" w:hint="default"/>
        <w:color w:val="172B4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C0C83"/>
    <w:multiLevelType w:val="multilevel"/>
    <w:tmpl w:val="99169160"/>
    <w:lvl w:ilvl="0">
      <w:start w:val="1"/>
      <w:numFmt w:val="decimal"/>
      <w:lvlText w:val="%1."/>
      <w:lvlJc w:val="left"/>
      <w:pPr>
        <w:tabs>
          <w:tab w:val="num" w:pos="360"/>
        </w:tabs>
        <w:ind w:left="360" w:hanging="360"/>
      </w:pPr>
      <w:rPr>
        <w:sz w:val="21"/>
        <w:szCs w:val="2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F7B0138"/>
    <w:multiLevelType w:val="multilevel"/>
    <w:tmpl w:val="D16C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F23FD0"/>
    <w:multiLevelType w:val="multilevel"/>
    <w:tmpl w:val="0F8A7912"/>
    <w:lvl w:ilvl="0">
      <w:start w:val="1"/>
      <w:numFmt w:val="decimal"/>
      <w:lvlText w:val="%1."/>
      <w:lvlJc w:val="left"/>
      <w:pPr>
        <w:tabs>
          <w:tab w:val="num" w:pos="360"/>
        </w:tabs>
        <w:ind w:left="360" w:hanging="360"/>
      </w:pPr>
      <w:rPr>
        <w:sz w:val="21"/>
        <w:szCs w:val="2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D73736D"/>
    <w:multiLevelType w:val="multilevel"/>
    <w:tmpl w:val="DEF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10"/>
  </w:num>
  <w:num w:numId="4">
    <w:abstractNumId w:val="7"/>
  </w:num>
  <w:num w:numId="5">
    <w:abstractNumId w:val="17"/>
  </w:num>
  <w:num w:numId="6">
    <w:abstractNumId w:val="23"/>
  </w:num>
  <w:num w:numId="7">
    <w:abstractNumId w:val="15"/>
  </w:num>
  <w:num w:numId="8">
    <w:abstractNumId w:val="21"/>
  </w:num>
  <w:num w:numId="9">
    <w:abstractNumId w:val="3"/>
  </w:num>
  <w:num w:numId="10">
    <w:abstractNumId w:val="1"/>
  </w:num>
  <w:num w:numId="11">
    <w:abstractNumId w:val="12"/>
  </w:num>
  <w:num w:numId="12">
    <w:abstractNumId w:val="6"/>
  </w:num>
  <w:num w:numId="13">
    <w:abstractNumId w:val="18"/>
  </w:num>
  <w:num w:numId="14">
    <w:abstractNumId w:val="8"/>
  </w:num>
  <w:num w:numId="15">
    <w:abstractNumId w:val="16"/>
  </w:num>
  <w:num w:numId="16">
    <w:abstractNumId w:val="24"/>
  </w:num>
  <w:num w:numId="17">
    <w:abstractNumId w:val="19"/>
  </w:num>
  <w:num w:numId="18">
    <w:abstractNumId w:val="0"/>
  </w:num>
  <w:num w:numId="19">
    <w:abstractNumId w:val="5"/>
  </w:num>
  <w:num w:numId="20">
    <w:abstractNumId w:val="13"/>
  </w:num>
  <w:num w:numId="21">
    <w:abstractNumId w:val="2"/>
  </w:num>
  <w:num w:numId="22">
    <w:abstractNumId w:val="9"/>
  </w:num>
  <w:num w:numId="23">
    <w:abstractNumId w:val="1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07"/>
    <w:rsid w:val="00074688"/>
    <w:rsid w:val="001042AB"/>
    <w:rsid w:val="00130B4F"/>
    <w:rsid w:val="00237BC0"/>
    <w:rsid w:val="00272E10"/>
    <w:rsid w:val="003A5EAF"/>
    <w:rsid w:val="003B7024"/>
    <w:rsid w:val="00404709"/>
    <w:rsid w:val="004076B0"/>
    <w:rsid w:val="00440B65"/>
    <w:rsid w:val="004414C3"/>
    <w:rsid w:val="00585504"/>
    <w:rsid w:val="00587011"/>
    <w:rsid w:val="005A0E1E"/>
    <w:rsid w:val="005D47E7"/>
    <w:rsid w:val="00676A07"/>
    <w:rsid w:val="00691E94"/>
    <w:rsid w:val="006963F4"/>
    <w:rsid w:val="0071285B"/>
    <w:rsid w:val="007B69A4"/>
    <w:rsid w:val="007D5A78"/>
    <w:rsid w:val="007F7501"/>
    <w:rsid w:val="008768AA"/>
    <w:rsid w:val="008D49D8"/>
    <w:rsid w:val="00903B2A"/>
    <w:rsid w:val="009111E8"/>
    <w:rsid w:val="009157CC"/>
    <w:rsid w:val="00917C43"/>
    <w:rsid w:val="0097420E"/>
    <w:rsid w:val="009A6F95"/>
    <w:rsid w:val="00A2184E"/>
    <w:rsid w:val="00AE5EEC"/>
    <w:rsid w:val="00B52818"/>
    <w:rsid w:val="00B973B1"/>
    <w:rsid w:val="00C2215C"/>
    <w:rsid w:val="00C61A7B"/>
    <w:rsid w:val="00D30FDC"/>
    <w:rsid w:val="00D751A7"/>
    <w:rsid w:val="00DC58CE"/>
    <w:rsid w:val="00F94C3E"/>
    <w:rsid w:val="00FD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398A"/>
  <w15:chartTrackingRefBased/>
  <w15:docId w15:val="{9A1CB109-0190-F842-8538-8BA2A235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A07"/>
    <w:rPr>
      <w:color w:val="0000FF"/>
      <w:u w:val="single"/>
    </w:rPr>
  </w:style>
  <w:style w:type="table" w:styleId="TableGrid">
    <w:name w:val="Table Grid"/>
    <w:basedOn w:val="TableNormal"/>
    <w:uiPriority w:val="39"/>
    <w:rsid w:val="0067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A07"/>
    <w:pPr>
      <w:ind w:left="720"/>
      <w:contextualSpacing/>
    </w:pPr>
  </w:style>
  <w:style w:type="character" w:customStyle="1" w:styleId="apple-converted-space">
    <w:name w:val="apple-converted-space"/>
    <w:basedOn w:val="DefaultParagraphFont"/>
    <w:rsid w:val="0013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9220">
      <w:bodyDiv w:val="1"/>
      <w:marLeft w:val="0"/>
      <w:marRight w:val="0"/>
      <w:marTop w:val="0"/>
      <w:marBottom w:val="0"/>
      <w:divBdr>
        <w:top w:val="none" w:sz="0" w:space="0" w:color="auto"/>
        <w:left w:val="none" w:sz="0" w:space="0" w:color="auto"/>
        <w:bottom w:val="none" w:sz="0" w:space="0" w:color="auto"/>
        <w:right w:val="none" w:sz="0" w:space="0" w:color="auto"/>
      </w:divBdr>
    </w:div>
    <w:div w:id="86967116">
      <w:bodyDiv w:val="1"/>
      <w:marLeft w:val="0"/>
      <w:marRight w:val="0"/>
      <w:marTop w:val="0"/>
      <w:marBottom w:val="0"/>
      <w:divBdr>
        <w:top w:val="none" w:sz="0" w:space="0" w:color="auto"/>
        <w:left w:val="none" w:sz="0" w:space="0" w:color="auto"/>
        <w:bottom w:val="none" w:sz="0" w:space="0" w:color="auto"/>
        <w:right w:val="none" w:sz="0" w:space="0" w:color="auto"/>
      </w:divBdr>
    </w:div>
    <w:div w:id="156775145">
      <w:bodyDiv w:val="1"/>
      <w:marLeft w:val="0"/>
      <w:marRight w:val="0"/>
      <w:marTop w:val="0"/>
      <w:marBottom w:val="0"/>
      <w:divBdr>
        <w:top w:val="none" w:sz="0" w:space="0" w:color="auto"/>
        <w:left w:val="none" w:sz="0" w:space="0" w:color="auto"/>
        <w:bottom w:val="none" w:sz="0" w:space="0" w:color="auto"/>
        <w:right w:val="none" w:sz="0" w:space="0" w:color="auto"/>
      </w:divBdr>
    </w:div>
    <w:div w:id="191116935">
      <w:bodyDiv w:val="1"/>
      <w:marLeft w:val="0"/>
      <w:marRight w:val="0"/>
      <w:marTop w:val="0"/>
      <w:marBottom w:val="0"/>
      <w:divBdr>
        <w:top w:val="none" w:sz="0" w:space="0" w:color="auto"/>
        <w:left w:val="none" w:sz="0" w:space="0" w:color="auto"/>
        <w:bottom w:val="none" w:sz="0" w:space="0" w:color="auto"/>
        <w:right w:val="none" w:sz="0" w:space="0" w:color="auto"/>
      </w:divBdr>
    </w:div>
    <w:div w:id="204224735">
      <w:bodyDiv w:val="1"/>
      <w:marLeft w:val="0"/>
      <w:marRight w:val="0"/>
      <w:marTop w:val="0"/>
      <w:marBottom w:val="0"/>
      <w:divBdr>
        <w:top w:val="none" w:sz="0" w:space="0" w:color="auto"/>
        <w:left w:val="none" w:sz="0" w:space="0" w:color="auto"/>
        <w:bottom w:val="none" w:sz="0" w:space="0" w:color="auto"/>
        <w:right w:val="none" w:sz="0" w:space="0" w:color="auto"/>
      </w:divBdr>
    </w:div>
    <w:div w:id="242838318">
      <w:bodyDiv w:val="1"/>
      <w:marLeft w:val="0"/>
      <w:marRight w:val="0"/>
      <w:marTop w:val="0"/>
      <w:marBottom w:val="0"/>
      <w:divBdr>
        <w:top w:val="none" w:sz="0" w:space="0" w:color="auto"/>
        <w:left w:val="none" w:sz="0" w:space="0" w:color="auto"/>
        <w:bottom w:val="none" w:sz="0" w:space="0" w:color="auto"/>
        <w:right w:val="none" w:sz="0" w:space="0" w:color="auto"/>
      </w:divBdr>
    </w:div>
    <w:div w:id="297880813">
      <w:bodyDiv w:val="1"/>
      <w:marLeft w:val="0"/>
      <w:marRight w:val="0"/>
      <w:marTop w:val="0"/>
      <w:marBottom w:val="0"/>
      <w:divBdr>
        <w:top w:val="none" w:sz="0" w:space="0" w:color="auto"/>
        <w:left w:val="none" w:sz="0" w:space="0" w:color="auto"/>
        <w:bottom w:val="none" w:sz="0" w:space="0" w:color="auto"/>
        <w:right w:val="none" w:sz="0" w:space="0" w:color="auto"/>
      </w:divBdr>
    </w:div>
    <w:div w:id="351810826">
      <w:bodyDiv w:val="1"/>
      <w:marLeft w:val="0"/>
      <w:marRight w:val="0"/>
      <w:marTop w:val="0"/>
      <w:marBottom w:val="0"/>
      <w:divBdr>
        <w:top w:val="none" w:sz="0" w:space="0" w:color="auto"/>
        <w:left w:val="none" w:sz="0" w:space="0" w:color="auto"/>
        <w:bottom w:val="none" w:sz="0" w:space="0" w:color="auto"/>
        <w:right w:val="none" w:sz="0" w:space="0" w:color="auto"/>
      </w:divBdr>
    </w:div>
    <w:div w:id="355278392">
      <w:bodyDiv w:val="1"/>
      <w:marLeft w:val="0"/>
      <w:marRight w:val="0"/>
      <w:marTop w:val="0"/>
      <w:marBottom w:val="0"/>
      <w:divBdr>
        <w:top w:val="none" w:sz="0" w:space="0" w:color="auto"/>
        <w:left w:val="none" w:sz="0" w:space="0" w:color="auto"/>
        <w:bottom w:val="none" w:sz="0" w:space="0" w:color="auto"/>
        <w:right w:val="none" w:sz="0" w:space="0" w:color="auto"/>
      </w:divBdr>
    </w:div>
    <w:div w:id="602952983">
      <w:bodyDiv w:val="1"/>
      <w:marLeft w:val="0"/>
      <w:marRight w:val="0"/>
      <w:marTop w:val="0"/>
      <w:marBottom w:val="0"/>
      <w:divBdr>
        <w:top w:val="none" w:sz="0" w:space="0" w:color="auto"/>
        <w:left w:val="none" w:sz="0" w:space="0" w:color="auto"/>
        <w:bottom w:val="none" w:sz="0" w:space="0" w:color="auto"/>
        <w:right w:val="none" w:sz="0" w:space="0" w:color="auto"/>
      </w:divBdr>
    </w:div>
    <w:div w:id="625114049">
      <w:bodyDiv w:val="1"/>
      <w:marLeft w:val="0"/>
      <w:marRight w:val="0"/>
      <w:marTop w:val="0"/>
      <w:marBottom w:val="0"/>
      <w:divBdr>
        <w:top w:val="none" w:sz="0" w:space="0" w:color="auto"/>
        <w:left w:val="none" w:sz="0" w:space="0" w:color="auto"/>
        <w:bottom w:val="none" w:sz="0" w:space="0" w:color="auto"/>
        <w:right w:val="none" w:sz="0" w:space="0" w:color="auto"/>
      </w:divBdr>
    </w:div>
    <w:div w:id="674116875">
      <w:bodyDiv w:val="1"/>
      <w:marLeft w:val="0"/>
      <w:marRight w:val="0"/>
      <w:marTop w:val="0"/>
      <w:marBottom w:val="0"/>
      <w:divBdr>
        <w:top w:val="none" w:sz="0" w:space="0" w:color="auto"/>
        <w:left w:val="none" w:sz="0" w:space="0" w:color="auto"/>
        <w:bottom w:val="none" w:sz="0" w:space="0" w:color="auto"/>
        <w:right w:val="none" w:sz="0" w:space="0" w:color="auto"/>
      </w:divBdr>
    </w:div>
    <w:div w:id="827600063">
      <w:bodyDiv w:val="1"/>
      <w:marLeft w:val="0"/>
      <w:marRight w:val="0"/>
      <w:marTop w:val="0"/>
      <w:marBottom w:val="0"/>
      <w:divBdr>
        <w:top w:val="none" w:sz="0" w:space="0" w:color="auto"/>
        <w:left w:val="none" w:sz="0" w:space="0" w:color="auto"/>
        <w:bottom w:val="none" w:sz="0" w:space="0" w:color="auto"/>
        <w:right w:val="none" w:sz="0" w:space="0" w:color="auto"/>
      </w:divBdr>
    </w:div>
    <w:div w:id="862859387">
      <w:bodyDiv w:val="1"/>
      <w:marLeft w:val="0"/>
      <w:marRight w:val="0"/>
      <w:marTop w:val="0"/>
      <w:marBottom w:val="0"/>
      <w:divBdr>
        <w:top w:val="none" w:sz="0" w:space="0" w:color="auto"/>
        <w:left w:val="none" w:sz="0" w:space="0" w:color="auto"/>
        <w:bottom w:val="none" w:sz="0" w:space="0" w:color="auto"/>
        <w:right w:val="none" w:sz="0" w:space="0" w:color="auto"/>
      </w:divBdr>
    </w:div>
    <w:div w:id="937522138">
      <w:bodyDiv w:val="1"/>
      <w:marLeft w:val="0"/>
      <w:marRight w:val="0"/>
      <w:marTop w:val="0"/>
      <w:marBottom w:val="0"/>
      <w:divBdr>
        <w:top w:val="none" w:sz="0" w:space="0" w:color="auto"/>
        <w:left w:val="none" w:sz="0" w:space="0" w:color="auto"/>
        <w:bottom w:val="none" w:sz="0" w:space="0" w:color="auto"/>
        <w:right w:val="none" w:sz="0" w:space="0" w:color="auto"/>
      </w:divBdr>
    </w:div>
    <w:div w:id="1034042037">
      <w:bodyDiv w:val="1"/>
      <w:marLeft w:val="0"/>
      <w:marRight w:val="0"/>
      <w:marTop w:val="0"/>
      <w:marBottom w:val="0"/>
      <w:divBdr>
        <w:top w:val="none" w:sz="0" w:space="0" w:color="auto"/>
        <w:left w:val="none" w:sz="0" w:space="0" w:color="auto"/>
        <w:bottom w:val="none" w:sz="0" w:space="0" w:color="auto"/>
        <w:right w:val="none" w:sz="0" w:space="0" w:color="auto"/>
      </w:divBdr>
    </w:div>
    <w:div w:id="1124155455">
      <w:bodyDiv w:val="1"/>
      <w:marLeft w:val="0"/>
      <w:marRight w:val="0"/>
      <w:marTop w:val="0"/>
      <w:marBottom w:val="0"/>
      <w:divBdr>
        <w:top w:val="none" w:sz="0" w:space="0" w:color="auto"/>
        <w:left w:val="none" w:sz="0" w:space="0" w:color="auto"/>
        <w:bottom w:val="none" w:sz="0" w:space="0" w:color="auto"/>
        <w:right w:val="none" w:sz="0" w:space="0" w:color="auto"/>
      </w:divBdr>
    </w:div>
    <w:div w:id="1290207707">
      <w:bodyDiv w:val="1"/>
      <w:marLeft w:val="0"/>
      <w:marRight w:val="0"/>
      <w:marTop w:val="0"/>
      <w:marBottom w:val="0"/>
      <w:divBdr>
        <w:top w:val="none" w:sz="0" w:space="0" w:color="auto"/>
        <w:left w:val="none" w:sz="0" w:space="0" w:color="auto"/>
        <w:bottom w:val="none" w:sz="0" w:space="0" w:color="auto"/>
        <w:right w:val="none" w:sz="0" w:space="0" w:color="auto"/>
      </w:divBdr>
    </w:div>
    <w:div w:id="1302076836">
      <w:bodyDiv w:val="1"/>
      <w:marLeft w:val="0"/>
      <w:marRight w:val="0"/>
      <w:marTop w:val="0"/>
      <w:marBottom w:val="0"/>
      <w:divBdr>
        <w:top w:val="none" w:sz="0" w:space="0" w:color="auto"/>
        <w:left w:val="none" w:sz="0" w:space="0" w:color="auto"/>
        <w:bottom w:val="none" w:sz="0" w:space="0" w:color="auto"/>
        <w:right w:val="none" w:sz="0" w:space="0" w:color="auto"/>
      </w:divBdr>
    </w:div>
    <w:div w:id="1620260477">
      <w:bodyDiv w:val="1"/>
      <w:marLeft w:val="0"/>
      <w:marRight w:val="0"/>
      <w:marTop w:val="0"/>
      <w:marBottom w:val="0"/>
      <w:divBdr>
        <w:top w:val="none" w:sz="0" w:space="0" w:color="auto"/>
        <w:left w:val="none" w:sz="0" w:space="0" w:color="auto"/>
        <w:bottom w:val="none" w:sz="0" w:space="0" w:color="auto"/>
        <w:right w:val="none" w:sz="0" w:space="0" w:color="auto"/>
      </w:divBdr>
    </w:div>
    <w:div w:id="1653018554">
      <w:bodyDiv w:val="1"/>
      <w:marLeft w:val="0"/>
      <w:marRight w:val="0"/>
      <w:marTop w:val="0"/>
      <w:marBottom w:val="0"/>
      <w:divBdr>
        <w:top w:val="none" w:sz="0" w:space="0" w:color="auto"/>
        <w:left w:val="none" w:sz="0" w:space="0" w:color="auto"/>
        <w:bottom w:val="none" w:sz="0" w:space="0" w:color="auto"/>
        <w:right w:val="none" w:sz="0" w:space="0" w:color="auto"/>
      </w:divBdr>
    </w:div>
    <w:div w:id="1880966728">
      <w:bodyDiv w:val="1"/>
      <w:marLeft w:val="0"/>
      <w:marRight w:val="0"/>
      <w:marTop w:val="0"/>
      <w:marBottom w:val="0"/>
      <w:divBdr>
        <w:top w:val="none" w:sz="0" w:space="0" w:color="auto"/>
        <w:left w:val="none" w:sz="0" w:space="0" w:color="auto"/>
        <w:bottom w:val="none" w:sz="0" w:space="0" w:color="auto"/>
        <w:right w:val="none" w:sz="0" w:space="0" w:color="auto"/>
      </w:divBdr>
    </w:div>
    <w:div w:id="1909730306">
      <w:bodyDiv w:val="1"/>
      <w:marLeft w:val="0"/>
      <w:marRight w:val="0"/>
      <w:marTop w:val="0"/>
      <w:marBottom w:val="0"/>
      <w:divBdr>
        <w:top w:val="none" w:sz="0" w:space="0" w:color="auto"/>
        <w:left w:val="none" w:sz="0" w:space="0" w:color="auto"/>
        <w:bottom w:val="none" w:sz="0" w:space="0" w:color="auto"/>
        <w:right w:val="none" w:sz="0" w:space="0" w:color="auto"/>
      </w:divBdr>
    </w:div>
    <w:div w:id="2048866603">
      <w:bodyDiv w:val="1"/>
      <w:marLeft w:val="0"/>
      <w:marRight w:val="0"/>
      <w:marTop w:val="0"/>
      <w:marBottom w:val="0"/>
      <w:divBdr>
        <w:top w:val="none" w:sz="0" w:space="0" w:color="auto"/>
        <w:left w:val="none" w:sz="0" w:space="0" w:color="auto"/>
        <w:bottom w:val="none" w:sz="0" w:space="0" w:color="auto"/>
        <w:right w:val="none" w:sz="0" w:space="0" w:color="auto"/>
      </w:divBdr>
    </w:div>
    <w:div w:id="2112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02138857/ICANN%20-%20Memo%20on%20thick%20Whois%5B1%5D.docx?version=1&amp;modificationDate=1552176734000&amp;api=v2" TargetMode="External"/><Relationship Id="rId3" Type="http://schemas.openxmlformats.org/officeDocument/2006/relationships/settings" Target="settings.xml"/><Relationship Id="rId7" Type="http://schemas.openxmlformats.org/officeDocument/2006/relationships/hyperlink" Target="https://community.icann.org/download/attachments/102138857/ICANN%20-%20Memo%20on%20Territorial%20Scope%20.docx?version=1&amp;modificationDate=1552176561000&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ownload/attachments/102138857/ICANN%20-%20Memo%20on%20publication%20of%20the%20City%20field%20%28130219%29.docx?version=1&amp;modificationDate=1550152144000&amp;api=v2" TargetMode="External"/><Relationship Id="rId5" Type="http://schemas.openxmlformats.org/officeDocument/2006/relationships/hyperlink" Target="https://community.icann.org/download/attachments/102138857/Technical%20Contact%20Memo.docx?version=1&amp;modificationDate=1548874839000&amp;api=v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14</cp:revision>
  <dcterms:created xsi:type="dcterms:W3CDTF">2019-05-20T18:59:00Z</dcterms:created>
  <dcterms:modified xsi:type="dcterms:W3CDTF">2019-05-21T18:00:00Z</dcterms:modified>
</cp:coreProperties>
</file>