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62146CF" w:rsidR="00FE7180" w:rsidRDefault="00CF0F98" w:rsidP="0021274D">
      <w:pPr>
        <w:jc w:val="center"/>
        <w:rPr>
          <w:b/>
        </w:rPr>
      </w:pPr>
      <w:bookmarkStart w:id="0" w:name="_gjdgxs" w:colFirst="0" w:colLast="0"/>
      <w:bookmarkEnd w:id="0"/>
      <w:r>
        <w:rPr>
          <w:b/>
        </w:rPr>
        <w:t>Proposed EPDP Team Phase 2 Working Definitions</w:t>
      </w:r>
    </w:p>
    <w:p w14:paraId="00000002" w14:textId="77777777" w:rsidR="00FE7180" w:rsidRDefault="00FE7180">
      <w:pPr>
        <w:rPr>
          <w:b/>
        </w:rPr>
      </w:pPr>
    </w:p>
    <w:p w14:paraId="00000003" w14:textId="77777777" w:rsidR="00FE7180" w:rsidRDefault="00CF0F98">
      <w:pPr>
        <w:rPr>
          <w:i/>
        </w:rPr>
      </w:pPr>
      <w:r>
        <w:rPr>
          <w:i/>
        </w:rPr>
        <w:t xml:space="preserve">Note: these working definitions are intended to ensure that the same meaning is associated with the different terms that are used throughout the EPDP Team deliberations. These working definitions are by no means intended to limit the scope or predetermine the outcome of the EPDP Team’s deliberations. Once the EPDP Team finalizes its deliberations, it will revisit these working definitions and adjust them, as needed, so that they align with the EPDP Team’s recommendations. This alignment should also consider definitions that have been adopted in the context of other efforts such as the Privacy and Proxy Services Accreditation Implementation (PPSAI).  </w:t>
      </w:r>
    </w:p>
    <w:p w14:paraId="00000004" w14:textId="0D221EA7" w:rsidR="00FE7180" w:rsidRDefault="00FE7180">
      <w:pPr>
        <w:rPr>
          <w:i/>
        </w:rPr>
      </w:pPr>
    </w:p>
    <w:p w14:paraId="7682D862" w14:textId="77777777" w:rsidR="003F1DB4" w:rsidRPr="0021274D" w:rsidRDefault="003F1DB4" w:rsidP="003F1DB4">
      <w:r w:rsidRPr="0021274D">
        <w:t xml:space="preserve">For the purpose of EPDP Phase 2 </w:t>
      </w:r>
      <w:proofErr w:type="gramStart"/>
      <w:r w:rsidRPr="0021274D">
        <w:t>work</w:t>
      </w:r>
      <w:proofErr w:type="gramEnd"/>
      <w:r w:rsidRPr="0021274D">
        <w:t xml:space="preserve"> the term access can/should be interpreted in two ways:</w:t>
      </w:r>
    </w:p>
    <w:p w14:paraId="14B41407" w14:textId="15BE6BB1" w:rsidR="003F1DB4" w:rsidRDefault="003F1DB4" w:rsidP="003F1DB4">
      <w:pPr>
        <w:rPr>
          <w:i/>
        </w:rPr>
      </w:pPr>
      <w:proofErr w:type="gramStart"/>
      <w:r w:rsidRPr="0021274D">
        <w:t>access</w:t>
      </w:r>
      <w:proofErr w:type="gramEnd"/>
      <w:r w:rsidRPr="0021274D">
        <w:t xml:space="preserve"> as a right  and access as a process</w:t>
      </w:r>
    </w:p>
    <w:p w14:paraId="70FEB56C" w14:textId="77777777" w:rsidR="003F1DB4" w:rsidRDefault="003F1DB4">
      <w:pPr>
        <w:rPr>
          <w:i/>
        </w:rPr>
      </w:pPr>
    </w:p>
    <w:p w14:paraId="6B23B4BB" w14:textId="3EEBF0AB" w:rsidR="009E3748" w:rsidRPr="009E3748" w:rsidRDefault="009E3748">
      <w:pPr>
        <w:numPr>
          <w:ilvl w:val="0"/>
          <w:numId w:val="1"/>
        </w:numPr>
      </w:pPr>
      <w:r w:rsidRPr="0021274D">
        <w:rPr>
          <w:b/>
        </w:rPr>
        <w:t>Right of access</w:t>
      </w:r>
      <w:r>
        <w:t xml:space="preserve"> (by the data subject) refers to the right of individuals to obtain a copy of their personal data related to a domain name registration.</w:t>
      </w:r>
    </w:p>
    <w:p w14:paraId="52FDFE2C" w14:textId="77777777" w:rsidR="009E3748" w:rsidRPr="009E3748" w:rsidRDefault="009E3748" w:rsidP="009E3748">
      <w:pPr>
        <w:ind w:left="720"/>
      </w:pPr>
      <w:bookmarkStart w:id="1" w:name="_GoBack"/>
    </w:p>
    <w:bookmarkEnd w:id="1"/>
    <w:p w14:paraId="67A8569B" w14:textId="55E38E5C" w:rsidR="003F1DB4" w:rsidRPr="0021274D" w:rsidRDefault="005F609C" w:rsidP="005F609C">
      <w:pPr>
        <w:numPr>
          <w:ilvl w:val="0"/>
          <w:numId w:val="1"/>
        </w:numPr>
      </w:pPr>
      <w:r w:rsidRPr="005F609C">
        <w:t>T</w:t>
      </w:r>
      <w:r>
        <w:t xml:space="preserve">he </w:t>
      </w:r>
      <w:r w:rsidRPr="0021274D">
        <w:rPr>
          <w:b/>
        </w:rPr>
        <w:t xml:space="preserve">request </w:t>
      </w:r>
      <w:r>
        <w:t>of t</w:t>
      </w:r>
      <w:r w:rsidRPr="005F609C">
        <w:t xml:space="preserve">hird parties </w:t>
      </w:r>
      <w:r w:rsidRPr="0021274D">
        <w:rPr>
          <w:b/>
        </w:rPr>
        <w:t xml:space="preserve">for access </w:t>
      </w:r>
      <w:r w:rsidRPr="005F609C">
        <w:t>to full set or subset of non-</w:t>
      </w:r>
      <w:r>
        <w:t>public</w:t>
      </w:r>
      <w:r w:rsidRPr="005F609C">
        <w:t xml:space="preserve"> </w:t>
      </w:r>
      <w:proofErr w:type="spellStart"/>
      <w:r w:rsidR="00441A3F">
        <w:t>gTLD</w:t>
      </w:r>
      <w:proofErr w:type="spellEnd"/>
      <w:r w:rsidR="00441A3F">
        <w:t xml:space="preserve"> </w:t>
      </w:r>
      <w:r>
        <w:t xml:space="preserve">domain name registration data </w:t>
      </w:r>
      <w:r w:rsidRPr="005F609C">
        <w:t>through disclosure policy that is fully compliant with GDPR and developed as a result of the EPDP."</w:t>
      </w:r>
    </w:p>
    <w:p w14:paraId="400F6388" w14:textId="77777777" w:rsidR="003F1DB4" w:rsidRDefault="003F1DB4" w:rsidP="0021274D">
      <w:pPr>
        <w:pStyle w:val="ListParagraph"/>
        <w:rPr>
          <w:b/>
        </w:rPr>
      </w:pPr>
    </w:p>
    <w:p w14:paraId="00000006" w14:textId="1A035D5B" w:rsidR="00FE7180" w:rsidRPr="0021274D" w:rsidRDefault="009E3748" w:rsidP="0021274D">
      <w:r w:rsidRPr="0021274D">
        <w:t xml:space="preserve">If referring to the former, </w:t>
      </w:r>
      <w:proofErr w:type="gramStart"/>
      <w:r w:rsidRPr="0021274D">
        <w:t xml:space="preserve">reference should be made to </w:t>
      </w:r>
      <w:r w:rsidRPr="0021274D">
        <w:rPr>
          <w:b/>
        </w:rPr>
        <w:t>right of access</w:t>
      </w:r>
      <w:r w:rsidRPr="0021274D">
        <w:t xml:space="preserve"> by the data subject, if the</w:t>
      </w:r>
      <w:proofErr w:type="gramEnd"/>
      <w:r w:rsidRPr="0021274D">
        <w:t xml:space="preserve"> latter, </w:t>
      </w:r>
      <w:r w:rsidRPr="0021274D">
        <w:rPr>
          <w:b/>
        </w:rPr>
        <w:t>request for access</w:t>
      </w:r>
      <w:r w:rsidRPr="0021274D">
        <w:t xml:space="preserve"> by third parties</w:t>
      </w:r>
      <w:r w:rsidR="00AB454A" w:rsidRPr="0021274D">
        <w:t xml:space="preserve"> should be used</w:t>
      </w:r>
      <w:r w:rsidRPr="0021274D">
        <w:t xml:space="preserve">.  </w:t>
      </w:r>
    </w:p>
    <w:p w14:paraId="00000007" w14:textId="77777777" w:rsidR="00FE7180" w:rsidRPr="0021274D" w:rsidRDefault="00FE7180">
      <w:pPr>
        <w:ind w:left="720"/>
        <w:rPr>
          <w:i/>
        </w:rPr>
      </w:pPr>
    </w:p>
    <w:p w14:paraId="00000008" w14:textId="02A0528B" w:rsidR="00FE7180" w:rsidRDefault="00CF0F98">
      <w:pPr>
        <w:numPr>
          <w:ilvl w:val="0"/>
          <w:numId w:val="1"/>
        </w:numPr>
      </w:pPr>
      <w:r>
        <w:rPr>
          <w:b/>
        </w:rPr>
        <w:t>Disclosure</w:t>
      </w:r>
      <w:r>
        <w:t xml:space="preserve"> refers to </w:t>
      </w:r>
      <w:r w:rsidR="00331CD9">
        <w:t xml:space="preserve">provision </w:t>
      </w:r>
      <w:r>
        <w:t xml:space="preserve">of </w:t>
      </w:r>
      <w:r w:rsidR="009E3748">
        <w:t>non-public data</w:t>
      </w:r>
      <w:r>
        <w:t xml:space="preserve"> </w:t>
      </w:r>
      <w:r w:rsidR="00331CD9">
        <w:t xml:space="preserve">to </w:t>
      </w:r>
      <w:r>
        <w:t xml:space="preserve">third parties. </w:t>
      </w:r>
    </w:p>
    <w:p w14:paraId="00000009" w14:textId="77777777" w:rsidR="00FE7180" w:rsidRDefault="00FE7180"/>
    <w:p w14:paraId="0000000C" w14:textId="174BD3D8" w:rsidR="00FE7180" w:rsidRDefault="009E3748">
      <w:pPr>
        <w:numPr>
          <w:ilvl w:val="0"/>
          <w:numId w:val="1"/>
        </w:numPr>
        <w:rPr>
          <w:b/>
        </w:rPr>
      </w:pPr>
      <w:r>
        <w:rPr>
          <w:b/>
        </w:rPr>
        <w:t xml:space="preserve">Technical Study Group </w:t>
      </w:r>
      <w:r w:rsidR="00CF0F98">
        <w:rPr>
          <w:b/>
        </w:rPr>
        <w:t>Unified Access Model (</w:t>
      </w:r>
      <w:r>
        <w:rPr>
          <w:b/>
        </w:rPr>
        <w:t xml:space="preserve">TSG </w:t>
      </w:r>
      <w:r w:rsidR="00CF0F98">
        <w:rPr>
          <w:b/>
        </w:rPr>
        <w:t xml:space="preserve">UAM) – </w:t>
      </w:r>
      <w:r w:rsidR="00CF0F98">
        <w:t xml:space="preserve">refers to </w:t>
      </w:r>
      <w:r w:rsidR="00331CD9">
        <w:t>a</w:t>
      </w:r>
      <w:r w:rsidR="00CF0F98">
        <w:t xml:space="preserve"> model</w:t>
      </w:r>
      <w:r w:rsidR="00331CD9">
        <w:t xml:space="preserve"> for third-party queries for non-public </w:t>
      </w:r>
      <w:proofErr w:type="gramStart"/>
      <w:r w:rsidR="00331CD9">
        <w:t>gTLD domain name registration data</w:t>
      </w:r>
      <w:proofErr w:type="gramEnd"/>
      <w:r w:rsidR="00CF0F98">
        <w:t xml:space="preserve">, which places ICANN as the coordinating party for </w:t>
      </w:r>
      <w:r w:rsidR="00331CD9">
        <w:t>such</w:t>
      </w:r>
      <w:r w:rsidR="00CF0F98">
        <w:t xml:space="preserve"> queries.</w:t>
      </w:r>
      <w:r w:rsidR="00331CD9">
        <w:t xml:space="preserve"> The TSG UAM </w:t>
      </w:r>
      <w:proofErr w:type="gramStart"/>
      <w:r w:rsidR="00441A3F">
        <w:t>should be seen</w:t>
      </w:r>
      <w:proofErr w:type="gramEnd"/>
      <w:r w:rsidR="00441A3F">
        <w:t xml:space="preserve"> as</w:t>
      </w:r>
      <w:r w:rsidR="00331CD9">
        <w:t xml:space="preserve"> one example of a System for Standardized Access/Disclosure (SSAD)</w:t>
      </w:r>
      <w:r w:rsidR="00441A3F">
        <w:t>.</w:t>
      </w:r>
      <w:r w:rsidR="00331CD9">
        <w:t xml:space="preserve"> UAM and SSAD </w:t>
      </w:r>
      <w:r w:rsidR="00441A3F">
        <w:t xml:space="preserve">may </w:t>
      </w:r>
      <w:r w:rsidR="00331CD9">
        <w:t xml:space="preserve">not </w:t>
      </w:r>
      <w:r w:rsidR="00441A3F">
        <w:t xml:space="preserve">be </w:t>
      </w:r>
      <w:r w:rsidR="00331CD9">
        <w:t xml:space="preserve">synonymous. </w:t>
      </w:r>
      <w:r w:rsidR="00CF0F98">
        <w:rPr>
          <w:b/>
        </w:rPr>
        <w:t xml:space="preserve"> </w:t>
      </w:r>
    </w:p>
    <w:p w14:paraId="0000000D" w14:textId="77777777" w:rsidR="00FE7180" w:rsidRDefault="00FE7180">
      <w:pPr>
        <w:ind w:left="720"/>
        <w:rPr>
          <w:b/>
        </w:rPr>
      </w:pPr>
    </w:p>
    <w:p w14:paraId="0000000E" w14:textId="70C250E4" w:rsidR="00FE7180" w:rsidRDefault="00CF0F98">
      <w:pPr>
        <w:numPr>
          <w:ilvl w:val="0"/>
          <w:numId w:val="1"/>
        </w:numPr>
        <w:rPr>
          <w:b/>
        </w:rPr>
      </w:pPr>
      <w:r>
        <w:rPr>
          <w:b/>
        </w:rPr>
        <w:t xml:space="preserve">System for Standardized Access/Disclosure (SSAD) </w:t>
      </w:r>
      <w:r>
        <w:t>– refers to the framework and requirements for coordinating third-party queries for non-public</w:t>
      </w:r>
      <w:r w:rsidR="00331CD9">
        <w:t xml:space="preserve"> gTLD</w:t>
      </w:r>
      <w:r>
        <w:t xml:space="preserve"> domain name registration data. This system, or parts thereof, may be centrally coordinated by ICANN,</w:t>
      </w:r>
      <w:r w:rsidR="001F6752">
        <w:t xml:space="preserve"> a third party, or not at all</w:t>
      </w:r>
      <w:r>
        <w:t>. Th</w:t>
      </w:r>
      <w:r w:rsidR="001F6752">
        <w:t xml:space="preserve">e EPDP Team will make this </w:t>
      </w:r>
      <w:r>
        <w:t>determination</w:t>
      </w:r>
      <w:r w:rsidR="001F6752">
        <w:t xml:space="preserve">, and corresponding policy recommendation(s). </w:t>
      </w:r>
      <w:r>
        <w:t xml:space="preserve">  </w:t>
      </w:r>
      <w:r>
        <w:rPr>
          <w:b/>
        </w:rPr>
        <w:t xml:space="preserve"> </w:t>
      </w:r>
    </w:p>
    <w:p w14:paraId="0000000F" w14:textId="77777777" w:rsidR="00FE7180" w:rsidRDefault="00FE7180">
      <w:pPr>
        <w:pBdr>
          <w:top w:val="nil"/>
          <w:left w:val="nil"/>
          <w:bottom w:val="nil"/>
          <w:right w:val="nil"/>
          <w:between w:val="nil"/>
        </w:pBdr>
        <w:ind w:left="720" w:hanging="720"/>
        <w:rPr>
          <w:b/>
          <w:color w:val="000000"/>
        </w:rPr>
      </w:pPr>
    </w:p>
    <w:p w14:paraId="00000010" w14:textId="7DDCD801" w:rsidR="00FE7180" w:rsidRDefault="00CF0F98">
      <w:pPr>
        <w:numPr>
          <w:ilvl w:val="0"/>
          <w:numId w:val="1"/>
        </w:numPr>
      </w:pPr>
      <w:r>
        <w:rPr>
          <w:b/>
        </w:rPr>
        <w:t>Accreditation</w:t>
      </w:r>
      <w:r>
        <w:t xml:space="preserve"> – refers to the process or action of</w:t>
      </w:r>
      <w:r w:rsidR="001F6752">
        <w:t xml:space="preserve"> recognizing a person as having a particular identity, possibly with an associated affiliation or status.</w:t>
      </w:r>
    </w:p>
    <w:p w14:paraId="00000011" w14:textId="77777777" w:rsidR="00FE7180" w:rsidRDefault="00FE7180">
      <w:pPr>
        <w:pBdr>
          <w:top w:val="nil"/>
          <w:left w:val="nil"/>
          <w:bottom w:val="nil"/>
          <w:right w:val="nil"/>
          <w:between w:val="nil"/>
        </w:pBdr>
        <w:ind w:left="720" w:hanging="720"/>
        <w:rPr>
          <w:b/>
          <w:color w:val="000000"/>
        </w:rPr>
      </w:pPr>
    </w:p>
    <w:p w14:paraId="00000012" w14:textId="77777777" w:rsidR="00FE7180" w:rsidRDefault="00CF0F98">
      <w:pPr>
        <w:numPr>
          <w:ilvl w:val="0"/>
          <w:numId w:val="1"/>
        </w:numPr>
      </w:pPr>
      <w:r>
        <w:rPr>
          <w:b/>
        </w:rPr>
        <w:t>Authentication</w:t>
      </w:r>
      <w:r>
        <w:t xml:space="preserve"> – refers to the process or action of verifying the identity of a requestor. </w:t>
      </w:r>
    </w:p>
    <w:p w14:paraId="00000013" w14:textId="77777777" w:rsidR="00FE7180" w:rsidRDefault="00FE7180">
      <w:pPr>
        <w:pBdr>
          <w:top w:val="nil"/>
          <w:left w:val="nil"/>
          <w:bottom w:val="nil"/>
          <w:right w:val="nil"/>
          <w:between w:val="nil"/>
        </w:pBdr>
        <w:ind w:left="720" w:hanging="720"/>
        <w:rPr>
          <w:b/>
          <w:color w:val="000000"/>
        </w:rPr>
      </w:pPr>
    </w:p>
    <w:p w14:paraId="5EC1C585" w14:textId="2EE3A728" w:rsidR="001F6752" w:rsidRPr="001F6752" w:rsidRDefault="001F6752">
      <w:pPr>
        <w:numPr>
          <w:ilvl w:val="0"/>
          <w:numId w:val="1"/>
        </w:numPr>
        <w:rPr>
          <w:b/>
        </w:rPr>
      </w:pPr>
      <w:r w:rsidRPr="001F6752">
        <w:rPr>
          <w:b/>
        </w:rPr>
        <w:lastRenderedPageBreak/>
        <w:t xml:space="preserve">Authorization </w:t>
      </w:r>
      <w:r w:rsidR="0021274D">
        <w:rPr>
          <w:bCs/>
        </w:rPr>
        <w:t>–</w:t>
      </w:r>
      <w:r w:rsidRPr="001F6752">
        <w:rPr>
          <w:bCs/>
        </w:rPr>
        <w:t xml:space="preserve"> </w:t>
      </w:r>
      <w:r w:rsidR="0021274D">
        <w:rPr>
          <w:bCs/>
        </w:rPr>
        <w:t xml:space="preserve">refers to </w:t>
      </w:r>
      <w:r w:rsidRPr="001F6752">
        <w:rPr>
          <w:bCs/>
        </w:rPr>
        <w:t xml:space="preserve">determination that certain data </w:t>
      </w:r>
      <w:proofErr w:type="gramStart"/>
      <w:r w:rsidRPr="001F6752">
        <w:rPr>
          <w:bCs/>
        </w:rPr>
        <w:t>may be disclosed</w:t>
      </w:r>
      <w:proofErr w:type="gramEnd"/>
      <w:r w:rsidRPr="001F6752">
        <w:rPr>
          <w:bCs/>
        </w:rPr>
        <w:t xml:space="preserve"> to a certain (authenticated and accredited) user.</w:t>
      </w:r>
    </w:p>
    <w:p w14:paraId="4AC36B83" w14:textId="77777777" w:rsidR="001F6752" w:rsidRDefault="001F6752" w:rsidP="001F6752">
      <w:pPr>
        <w:pStyle w:val="ListParagraph"/>
        <w:rPr>
          <w:b/>
        </w:rPr>
      </w:pPr>
    </w:p>
    <w:p w14:paraId="00000014" w14:textId="26DC9B6F" w:rsidR="00FE7180" w:rsidRDefault="001F6752">
      <w:pPr>
        <w:numPr>
          <w:ilvl w:val="0"/>
          <w:numId w:val="1"/>
        </w:numPr>
      </w:pPr>
      <w:r>
        <w:rPr>
          <w:b/>
        </w:rPr>
        <w:t xml:space="preserve">Data </w:t>
      </w:r>
      <w:r w:rsidR="00CF0F98">
        <w:rPr>
          <w:b/>
        </w:rPr>
        <w:t xml:space="preserve">Controller – </w:t>
      </w:r>
      <w:r w:rsidR="00CF0F98">
        <w:t xml:space="preserve">refers to </w:t>
      </w:r>
      <w:r>
        <w:t>a person or</w:t>
      </w:r>
      <w:r w:rsidR="00043D89">
        <w:t xml:space="preserve"> entity</w:t>
      </w:r>
      <w:r>
        <w:t xml:space="preserve"> who (either alone or jointly or in common with other persons or entities) determines </w:t>
      </w:r>
      <w:r w:rsidR="00CF0F98">
        <w:t xml:space="preserve">the purposes </w:t>
      </w:r>
      <w:r>
        <w:t xml:space="preserve">for which and the manner in which any personal data are </w:t>
      </w:r>
      <w:r w:rsidR="00CF0F98">
        <w:t>process</w:t>
      </w:r>
      <w:r>
        <w:t>ed</w:t>
      </w:r>
      <w:r w:rsidR="00CF0F98">
        <w:t>.</w:t>
      </w:r>
    </w:p>
    <w:p w14:paraId="1A3378FC" w14:textId="77777777" w:rsidR="00043D89" w:rsidRDefault="00043D89" w:rsidP="00043D89">
      <w:pPr>
        <w:pStyle w:val="ListParagraph"/>
      </w:pPr>
    </w:p>
    <w:p w14:paraId="3146E89B" w14:textId="77777777" w:rsidR="00043D89" w:rsidRPr="001F6752" w:rsidRDefault="00043D89" w:rsidP="00043D89">
      <w:pPr>
        <w:numPr>
          <w:ilvl w:val="0"/>
          <w:numId w:val="1"/>
        </w:numPr>
      </w:pPr>
      <w:r>
        <w:rPr>
          <w:b/>
          <w:bCs/>
        </w:rPr>
        <w:t xml:space="preserve">Data </w:t>
      </w:r>
      <w:r w:rsidRPr="001F6752">
        <w:rPr>
          <w:b/>
          <w:bCs/>
        </w:rPr>
        <w:t>Processor</w:t>
      </w:r>
      <w:r w:rsidRPr="001F6752">
        <w:t xml:space="preserve"> - refers to a natural or legal person, public authority, agency or other body which processes personal data on behalf of a controller</w:t>
      </w:r>
      <w:r>
        <w:t>.</w:t>
      </w:r>
    </w:p>
    <w:p w14:paraId="00000015" w14:textId="77777777" w:rsidR="00FE7180" w:rsidRDefault="00FE7180">
      <w:pPr>
        <w:pBdr>
          <w:top w:val="nil"/>
          <w:left w:val="nil"/>
          <w:bottom w:val="nil"/>
          <w:right w:val="nil"/>
          <w:between w:val="nil"/>
        </w:pBdr>
        <w:ind w:left="720" w:hanging="720"/>
        <w:rPr>
          <w:b/>
          <w:color w:val="000000"/>
        </w:rPr>
      </w:pPr>
    </w:p>
    <w:p w14:paraId="00000016" w14:textId="63DB5B40" w:rsidR="00FE7180" w:rsidRDefault="00CF0F98">
      <w:pPr>
        <w:numPr>
          <w:ilvl w:val="0"/>
          <w:numId w:val="1"/>
        </w:numPr>
        <w:rPr>
          <w:b/>
        </w:rPr>
      </w:pPr>
      <w:r>
        <w:rPr>
          <w:b/>
        </w:rPr>
        <w:t>Data retention</w:t>
      </w:r>
      <w:r>
        <w:t xml:space="preserve"> – refers to the policies of persistent data and records management for meeting legal and business data archival requirements. </w:t>
      </w:r>
    </w:p>
    <w:p w14:paraId="00000017" w14:textId="77777777" w:rsidR="00FE7180" w:rsidRDefault="00FE7180">
      <w:pPr>
        <w:pBdr>
          <w:top w:val="nil"/>
          <w:left w:val="nil"/>
          <w:bottom w:val="nil"/>
          <w:right w:val="nil"/>
          <w:between w:val="nil"/>
        </w:pBdr>
        <w:ind w:left="720" w:hanging="720"/>
        <w:rPr>
          <w:b/>
          <w:color w:val="000000"/>
        </w:rPr>
      </w:pPr>
    </w:p>
    <w:p w14:paraId="00000018" w14:textId="59E4924D" w:rsidR="00FE7180" w:rsidRDefault="00CF0F98">
      <w:pPr>
        <w:numPr>
          <w:ilvl w:val="0"/>
          <w:numId w:val="1"/>
        </w:numPr>
      </w:pPr>
      <w:r>
        <w:rPr>
          <w:b/>
        </w:rPr>
        <w:t xml:space="preserve">Data destruction – </w:t>
      </w:r>
      <w:r>
        <w:t>refers to the process of</w:t>
      </w:r>
      <w:r w:rsidR="001F6752">
        <w:t xml:space="preserve"> permanently and irrevocably deleting</w:t>
      </w:r>
      <w:r>
        <w:t xml:space="preserve"> data stored on tapes, hard disks and other forms of electronic media so that it is completely unreadable and cannot be accessed or used for unauthorized purposes.</w:t>
      </w:r>
    </w:p>
    <w:p w14:paraId="1D1D9A34" w14:textId="77777777" w:rsidR="001F6752" w:rsidRDefault="001F6752" w:rsidP="001F6752">
      <w:pPr>
        <w:pStyle w:val="ListParagraph"/>
      </w:pPr>
    </w:p>
    <w:p w14:paraId="577ACD2A" w14:textId="56B0E6B0" w:rsidR="001F6752" w:rsidRDefault="001F6752">
      <w:pPr>
        <w:numPr>
          <w:ilvl w:val="0"/>
          <w:numId w:val="1"/>
        </w:numPr>
      </w:pPr>
      <w:r w:rsidRPr="0021274D">
        <w:rPr>
          <w:b/>
        </w:rPr>
        <w:t>Deidentifying or anonymizing data</w:t>
      </w:r>
      <w:r>
        <w:t xml:space="preserve"> – refers to the process of </w:t>
      </w:r>
      <w:r w:rsidRPr="001F6752">
        <w:t>retaining data for use but rendering it non-personal</w:t>
      </w:r>
      <w:r>
        <w:t xml:space="preserve">. </w:t>
      </w:r>
    </w:p>
    <w:p w14:paraId="00000019" w14:textId="77777777" w:rsidR="00FE7180" w:rsidRDefault="00FE7180">
      <w:pPr>
        <w:pBdr>
          <w:top w:val="nil"/>
          <w:left w:val="nil"/>
          <w:bottom w:val="nil"/>
          <w:right w:val="nil"/>
          <w:between w:val="nil"/>
        </w:pBdr>
        <w:ind w:left="720" w:hanging="720"/>
        <w:rPr>
          <w:color w:val="000000"/>
        </w:rPr>
      </w:pPr>
    </w:p>
    <w:p w14:paraId="0000001A" w14:textId="77777777" w:rsidR="00FE7180" w:rsidRDefault="00CF0F98">
      <w:pPr>
        <w:numPr>
          <w:ilvl w:val="0"/>
          <w:numId w:val="1"/>
        </w:numPr>
      </w:pPr>
      <w:r>
        <w:rPr>
          <w:b/>
        </w:rPr>
        <w:t>Privacy service</w:t>
      </w:r>
      <w:r>
        <w:t xml:space="preserve"> -  refers to a service by which a Registered Name is registered to a Customer as the Registered Name Holder, but for which alternative, reliable contact information is provided by Provider for display in the Registration Data Directory Service rather than the Customer’s contact information in the Registration Data Directory Service.</w:t>
      </w:r>
    </w:p>
    <w:p w14:paraId="0000001B" w14:textId="77777777" w:rsidR="00FE7180" w:rsidRDefault="00FE7180">
      <w:pPr>
        <w:pBdr>
          <w:top w:val="nil"/>
          <w:left w:val="nil"/>
          <w:bottom w:val="nil"/>
          <w:right w:val="nil"/>
          <w:between w:val="nil"/>
        </w:pBdr>
        <w:ind w:left="720" w:hanging="720"/>
        <w:rPr>
          <w:color w:val="000000"/>
        </w:rPr>
      </w:pPr>
    </w:p>
    <w:p w14:paraId="0000001C" w14:textId="77777777" w:rsidR="00FE7180" w:rsidRDefault="00CF0F98">
      <w:pPr>
        <w:numPr>
          <w:ilvl w:val="0"/>
          <w:numId w:val="1"/>
        </w:numPr>
      </w:pPr>
      <w:r>
        <w:rPr>
          <w:b/>
        </w:rPr>
        <w:t>Proxy service</w:t>
      </w:r>
      <w:r>
        <w:t xml:space="preserve"> – refers to a service through which Provider, as the Registered Name Holder, licenses use of a Registered Name to a Customer in order to provide the Customer use of such Registered Name, and Provider’s contact information is displayed in the Registration Data Directory Service rather than the Customer’s contact information.</w:t>
      </w:r>
    </w:p>
    <w:p w14:paraId="0000001D" w14:textId="77777777" w:rsidR="00FE7180" w:rsidRDefault="00FE7180">
      <w:pPr>
        <w:pBdr>
          <w:top w:val="nil"/>
          <w:left w:val="nil"/>
          <w:bottom w:val="nil"/>
          <w:right w:val="nil"/>
          <w:between w:val="nil"/>
        </w:pBdr>
        <w:ind w:left="720" w:hanging="720"/>
        <w:rPr>
          <w:color w:val="000000"/>
        </w:rPr>
      </w:pPr>
    </w:p>
    <w:p w14:paraId="0000001E" w14:textId="77777777" w:rsidR="00FE7180" w:rsidRDefault="00CF0F98">
      <w:pPr>
        <w:numPr>
          <w:ilvl w:val="0"/>
          <w:numId w:val="1"/>
        </w:numPr>
      </w:pPr>
      <w:r>
        <w:rPr>
          <w:b/>
        </w:rPr>
        <w:t>Affiliated privacy / proxy provider</w:t>
      </w:r>
      <w:r>
        <w:t xml:space="preserve"> – refers to a provider that, directly or indirectly, through one or more intermediaries, Controls, is controlled by, or is under common control with, an ICANN accredited registrar.</w:t>
      </w:r>
    </w:p>
    <w:p w14:paraId="0000001F" w14:textId="77777777" w:rsidR="00FE7180" w:rsidRDefault="00FE7180">
      <w:pPr>
        <w:pBdr>
          <w:top w:val="nil"/>
          <w:left w:val="nil"/>
          <w:bottom w:val="nil"/>
          <w:right w:val="nil"/>
          <w:between w:val="nil"/>
        </w:pBdr>
        <w:ind w:left="720" w:hanging="720"/>
        <w:rPr>
          <w:color w:val="000000"/>
        </w:rPr>
      </w:pPr>
    </w:p>
    <w:p w14:paraId="00000020" w14:textId="77777777" w:rsidR="00FE7180" w:rsidRDefault="00CF0F98">
      <w:pPr>
        <w:numPr>
          <w:ilvl w:val="0"/>
          <w:numId w:val="1"/>
        </w:numPr>
      </w:pPr>
      <w:r>
        <w:rPr>
          <w:b/>
        </w:rPr>
        <w:t>Accredited privacy / proxy provider</w:t>
      </w:r>
      <w:r>
        <w:t xml:space="preserve"> – refers to a provider that is “accredited” by ICANN and at a minimum, (</w:t>
      </w:r>
      <w:proofErr w:type="spellStart"/>
      <w:r>
        <w:t>i</w:t>
      </w:r>
      <w:proofErr w:type="spellEnd"/>
      <w:r>
        <w:t>) observes the identified and set minimum standards designated by ICANN for the provision of Privacy and/or Proxy Services, and (ii) is recognized by ICANN as an entity meeting the minimum standards, and (iii) enters into an accreditation agreement with ICANN that sets forth the rules and procedures applicable to the provision of the Privacy and/or Proxy Services.</w:t>
      </w:r>
    </w:p>
    <w:p w14:paraId="00000021" w14:textId="77777777" w:rsidR="00FE7180" w:rsidRDefault="00FE7180">
      <w:pPr>
        <w:pBdr>
          <w:top w:val="nil"/>
          <w:left w:val="nil"/>
          <w:bottom w:val="nil"/>
          <w:right w:val="nil"/>
          <w:between w:val="nil"/>
        </w:pBdr>
        <w:ind w:left="720" w:hanging="720"/>
        <w:rPr>
          <w:b/>
          <w:color w:val="000000"/>
        </w:rPr>
      </w:pPr>
    </w:p>
    <w:p w14:paraId="08E5BF8A" w14:textId="55539950" w:rsidR="001F6752" w:rsidRPr="001F6752" w:rsidRDefault="001F6752" w:rsidP="001F6752">
      <w:pPr>
        <w:numPr>
          <w:ilvl w:val="0"/>
          <w:numId w:val="1"/>
        </w:numPr>
      </w:pPr>
      <w:r w:rsidRPr="001F6752">
        <w:rPr>
          <w:b/>
          <w:bCs/>
        </w:rPr>
        <w:t>Legitimate interest</w:t>
      </w:r>
      <w:r w:rsidRPr="001F6752">
        <w:t xml:space="preserve"> – refers to a </w:t>
      </w:r>
      <w:r>
        <w:t>n</w:t>
      </w:r>
      <w:r w:rsidRPr="001F6752">
        <w:t>ecessary task carried out in the public interest -</w:t>
      </w:r>
    </w:p>
    <w:p w14:paraId="4F0B9E71" w14:textId="4E95A253" w:rsidR="001F6752" w:rsidRDefault="001F6752" w:rsidP="001F6752">
      <w:pPr>
        <w:ind w:left="720"/>
      </w:pPr>
      <w:r w:rsidRPr="001F6752">
        <w:lastRenderedPageBreak/>
        <w:t xml:space="preserve">carrying out a specific task in the public interest which is laid down by law; or exercising official </w:t>
      </w:r>
      <w:r w:rsidR="00043D89" w:rsidRPr="001F6752">
        <w:t>authority,</w:t>
      </w:r>
      <w:r w:rsidRPr="001F6752">
        <w:t xml:space="preserve"> which is laid down by law, provided such processing is targeted and proportionate (read: least invasive) to achieving the intended purpose.</w:t>
      </w:r>
    </w:p>
    <w:p w14:paraId="36E3086C" w14:textId="77777777" w:rsidR="001F6752" w:rsidRDefault="001F6752" w:rsidP="001F6752">
      <w:pPr>
        <w:ind w:left="720"/>
      </w:pPr>
    </w:p>
    <w:p w14:paraId="13AF2AB2" w14:textId="76E94AA9" w:rsidR="001F6752" w:rsidRDefault="001F6752" w:rsidP="001F6752">
      <w:pPr>
        <w:numPr>
          <w:ilvl w:val="0"/>
          <w:numId w:val="1"/>
        </w:numPr>
      </w:pPr>
      <w:r w:rsidRPr="001F6752">
        <w:rPr>
          <w:b/>
          <w:bCs/>
        </w:rPr>
        <w:t>Legal obligation</w:t>
      </w:r>
      <w:r w:rsidRPr="001F6752">
        <w:t xml:space="preserve"> - an obligation under applicable national or international laws or regulations which the data controller and/or data processor is subject to (not a contractual obligation).</w:t>
      </w:r>
    </w:p>
    <w:p w14:paraId="00000022" w14:textId="3A42FEB0" w:rsidR="00FE7180" w:rsidRDefault="00FE7180" w:rsidP="001F6752">
      <w:pPr>
        <w:ind w:left="720"/>
        <w:rPr>
          <w:b/>
        </w:rPr>
      </w:pPr>
    </w:p>
    <w:sectPr w:rsidR="00FE7180">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57" w16cid:durableId="2098C631"/>
  <w16cid:commentId w16cid:paraId="0000003A" w16cid:durableId="2098C637"/>
  <w16cid:commentId w16cid:paraId="0000003B" w16cid:durableId="2098C638"/>
  <w16cid:commentId w16cid:paraId="00000059" w16cid:durableId="2098C63A"/>
  <w16cid:commentId w16cid:paraId="0000005A" w16cid:durableId="2098C63B"/>
  <w16cid:commentId w16cid:paraId="0000002E" w16cid:durableId="2098C643"/>
  <w16cid:commentId w16cid:paraId="0000005F" w16cid:durableId="2098C644"/>
  <w16cid:commentId w16cid:paraId="00000039" w16cid:durableId="2098C649"/>
  <w16cid:commentId w16cid:paraId="00000029" w16cid:durableId="2098C64A"/>
  <w16cid:commentId w16cid:paraId="0000002A" w16cid:durableId="2098C64B"/>
  <w16cid:commentId w16cid:paraId="00000031" w16cid:durableId="2098C651"/>
  <w16cid:commentId w16cid:paraId="00000062" w16cid:durableId="2098C655"/>
  <w16cid:commentId w16cid:paraId="00000063" w16cid:durableId="2098C656"/>
  <w16cid:commentId w16cid:paraId="00000064" w16cid:durableId="2098C657"/>
  <w16cid:commentId w16cid:paraId="00000065" w16cid:durableId="2098C658"/>
  <w16cid:commentId w16cid:paraId="00000060" w16cid:durableId="2098C659"/>
  <w16cid:commentId w16cid:paraId="00000061" w16cid:durableId="2098C65A"/>
  <w16cid:commentId w16cid:paraId="0000002F" w16cid:durableId="2098C6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75F76"/>
    <w:multiLevelType w:val="multilevel"/>
    <w:tmpl w:val="1ECCE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205A92"/>
    <w:multiLevelType w:val="hybridMultilevel"/>
    <w:tmpl w:val="9992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80"/>
    <w:rsid w:val="00043D89"/>
    <w:rsid w:val="000E3813"/>
    <w:rsid w:val="00171EDE"/>
    <w:rsid w:val="001F6752"/>
    <w:rsid w:val="0021274D"/>
    <w:rsid w:val="00331CD9"/>
    <w:rsid w:val="003F1DB4"/>
    <w:rsid w:val="00441A3F"/>
    <w:rsid w:val="005F609C"/>
    <w:rsid w:val="009E3748"/>
    <w:rsid w:val="00AB454A"/>
    <w:rsid w:val="00CF0F98"/>
    <w:rsid w:val="00DB3B53"/>
    <w:rsid w:val="00FE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8D54"/>
  <w15:docId w15:val="{9CA652E0-590E-4247-9B6B-48959EBB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1E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1ED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71EDE"/>
    <w:rPr>
      <w:b/>
      <w:bCs/>
    </w:rPr>
  </w:style>
  <w:style w:type="character" w:customStyle="1" w:styleId="CommentSubjectChar">
    <w:name w:val="Comment Subject Char"/>
    <w:basedOn w:val="CommentTextChar"/>
    <w:link w:val="CommentSubject"/>
    <w:uiPriority w:val="99"/>
    <w:semiHidden/>
    <w:rsid w:val="00171EDE"/>
    <w:rPr>
      <w:b/>
      <w:bCs/>
      <w:sz w:val="20"/>
      <w:szCs w:val="20"/>
    </w:rPr>
  </w:style>
  <w:style w:type="paragraph" w:styleId="Revision">
    <w:name w:val="Revision"/>
    <w:hidden/>
    <w:uiPriority w:val="99"/>
    <w:semiHidden/>
    <w:rsid w:val="00171EDE"/>
  </w:style>
  <w:style w:type="paragraph" w:styleId="ListParagraph">
    <w:name w:val="List Paragraph"/>
    <w:basedOn w:val="Normal"/>
    <w:uiPriority w:val="34"/>
    <w:qFormat/>
    <w:rsid w:val="001F6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3392</Words>
  <Characters>1934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Karklins</dc:creator>
  <cp:lastModifiedBy>Janis Karklins</cp:lastModifiedBy>
  <cp:revision>3</cp:revision>
  <dcterms:created xsi:type="dcterms:W3CDTF">2019-05-30T09:40:00Z</dcterms:created>
  <dcterms:modified xsi:type="dcterms:W3CDTF">2019-05-30T09:48:00Z</dcterms:modified>
</cp:coreProperties>
</file>