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p w:rsidR="00000000" w:rsidDel="00000000" w:rsidP="00000000" w:rsidRDefault="00000000" w:rsidRPr="00000000" w14:paraId="00000002">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Overarching Purpose: N/A</w:t>
            </w:r>
          </w:p>
        </w:tc>
      </w:tr>
    </w:tbl>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p w:rsidR="00000000" w:rsidDel="00000000" w:rsidP="00000000" w:rsidRDefault="00000000" w:rsidRPr="00000000" w14:paraId="00000005">
            <w:pPr>
              <w:rPr/>
            </w:pPr>
            <w:r w:rsidDel="00000000" w:rsidR="00000000" w:rsidRPr="00000000">
              <w:rPr>
                <w:rFonts w:ascii="Calibri" w:cs="Calibri" w:eastAsia="Calibri" w:hAnsi="Calibri"/>
                <w:color w:val="000000"/>
                <w:sz w:val="22"/>
                <w:szCs w:val="22"/>
                <w:rtl w:val="0"/>
              </w:rPr>
              <w:t xml:space="preserve">Use Case: </w:t>
            </w:r>
            <w:r w:rsidDel="00000000" w:rsidR="00000000" w:rsidRPr="00000000">
              <w:rPr>
                <w:rFonts w:ascii="Arial" w:cs="Arial" w:eastAsia="Arial" w:hAnsi="Arial"/>
                <w:color w:val="222222"/>
                <w:sz w:val="22"/>
                <w:szCs w:val="22"/>
                <w:rtl w:val="0"/>
              </w:rPr>
              <w:t xml:space="preserve">Copyright owners requesting data in the establishment, exercise or defense of legal claims for </w:t>
            </w:r>
            <w:r w:rsidDel="00000000" w:rsidR="00000000" w:rsidRPr="00000000">
              <w:rPr>
                <w:rFonts w:ascii="Arial" w:cs="Arial" w:eastAsia="Arial" w:hAnsi="Arial"/>
                <w:color w:val="000000"/>
                <w:sz w:val="22"/>
                <w:szCs w:val="22"/>
                <w:rtl w:val="0"/>
              </w:rPr>
              <w:t xml:space="preserve">copyright </w:t>
            </w:r>
            <w:r w:rsidDel="00000000" w:rsidR="00000000" w:rsidRPr="00000000">
              <w:rPr>
                <w:rFonts w:ascii="Arial" w:cs="Arial" w:eastAsia="Arial" w:hAnsi="Arial"/>
                <w:color w:val="222222"/>
                <w:sz w:val="22"/>
                <w:szCs w:val="22"/>
                <w:rtl w:val="0"/>
              </w:rPr>
              <w:t xml:space="preserve">infringement.</w:t>
            </w:r>
            <w:r w:rsidDel="00000000" w:rsidR="00000000" w:rsidRPr="00000000">
              <w:rPr>
                <w:rtl w:val="0"/>
              </w:rPr>
            </w:r>
          </w:p>
        </w:tc>
      </w:tr>
      <w:tr>
        <w:trPr>
          <w:trHeight w:val="300" w:hRule="atLeast"/>
        </w:trPr>
        <w:tc>
          <w:tcPr/>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tc>
        <w:tc>
          <w:tcPr/>
          <w:p w:rsidR="00000000" w:rsidDel="00000000" w:rsidP="00000000" w:rsidRDefault="00000000" w:rsidRPr="00000000" w14:paraId="00000008">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Copyright owners, exclusive licensees,their attorneys or </w:t>
            </w:r>
            <w:commentRangeStart w:id="0"/>
            <w:r w:rsidDel="00000000" w:rsidR="00000000" w:rsidRPr="00000000">
              <w:rPr>
                <w:rFonts w:ascii="Calibri" w:cs="Calibri" w:eastAsia="Calibri" w:hAnsi="Calibri"/>
                <w:color w:val="000000"/>
                <w:sz w:val="22"/>
                <w:szCs w:val="22"/>
                <w:rtl w:val="0"/>
              </w:rPr>
              <w:t xml:space="preserve">agents</w:t>
            </w:r>
            <w:commentRangeEnd w:id="0"/>
            <w:r w:rsidDel="00000000" w:rsidR="00000000" w:rsidRPr="00000000">
              <w:commentReference w:id="0"/>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w:t>
            </w:r>
          </w:p>
        </w:tc>
      </w:tr>
      <w:tr>
        <w:trPr>
          <w:trHeight w:val="300" w:hRule="atLeast"/>
        </w:trPr>
        <w:tc>
          <w:tcPr/>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tc>
        <w:tc>
          <w:tcPr/>
          <w:p w:rsidR="00000000" w:rsidDel="00000000" w:rsidP="00000000" w:rsidRDefault="00000000" w:rsidRPr="00000000" w14:paraId="0000000A">
            <w:pPr>
              <w:spacing w:after="40" w:before="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Non-public registration data is requested because it is necessary to establish, exercise or defen</w:t>
            </w:r>
            <w:r w:rsidDel="00000000" w:rsidR="00000000" w:rsidRPr="00000000">
              <w:rPr>
                <w:rFonts w:ascii="Calibri" w:cs="Calibri" w:eastAsia="Calibri" w:hAnsi="Calibri"/>
                <w:sz w:val="22"/>
                <w:szCs w:val="22"/>
                <w:rtl w:val="0"/>
              </w:rPr>
              <w:t xml:space="preserve">d against</w:t>
            </w:r>
            <w:r w:rsidDel="00000000" w:rsidR="00000000" w:rsidRPr="00000000">
              <w:rPr>
                <w:rFonts w:ascii="Calibri" w:cs="Calibri" w:eastAsia="Calibri" w:hAnsi="Calibri"/>
                <w:color w:val="000000"/>
                <w:sz w:val="22"/>
                <w:szCs w:val="22"/>
                <w:rtl w:val="0"/>
              </w:rPr>
              <w:t xml:space="preserve"> legal claims for copyright infringement </w:t>
            </w:r>
            <w:r w:rsidDel="00000000" w:rsidR="00000000" w:rsidRPr="00000000">
              <w:rPr>
                <w:rtl w:val="0"/>
              </w:rPr>
            </w:r>
          </w:p>
        </w:tc>
      </w:tr>
      <w:tr>
        <w:trPr>
          <w:trHeight w:val="300" w:hRule="atLeast"/>
        </w:trPr>
        <w:tc>
          <w:tcPr/>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Name</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Email Address</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Organization (if not published)</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Reginstrant Street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City</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Postal code</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Phone number</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Fax number</w:t>
            </w:r>
          </w:p>
        </w:tc>
      </w:tr>
      <w:tr>
        <w:trPr>
          <w:trHeight w:val="300" w:hRule="atLeast"/>
        </w:trPr>
        <w:tc>
          <w:tcPr/>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Art.6(1)(f)</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tc>
        <w:tc>
          <w:tcPr/>
          <w:p w:rsidR="00000000" w:rsidDel="00000000" w:rsidP="00000000" w:rsidRDefault="00000000" w:rsidRPr="00000000" w14:paraId="00000019">
            <w:pPr>
              <w:rPr/>
            </w:pPr>
            <w:r w:rsidDel="00000000" w:rsidR="00000000" w:rsidRPr="00000000">
              <w:rPr>
                <w:rFonts w:ascii="Calibri" w:cs="Calibri" w:eastAsia="Calibri" w:hAnsi="Calibri"/>
                <w:sz w:val="22"/>
                <w:szCs w:val="22"/>
                <w:rtl w:val="0"/>
              </w:rPr>
              <w:t xml:space="preserve">Disclosure of non-public registration data may/ is likely to be justified under Art. 6 (1) (f) GDPR (legitimate interest): The GDPR explicitly recognizes the importance of data processing for the "e</w:t>
            </w:r>
            <w:r w:rsidDel="00000000" w:rsidR="00000000" w:rsidRPr="00000000">
              <w:rPr>
                <w:rFonts w:ascii="Calibri" w:cs="Calibri" w:eastAsia="Calibri" w:hAnsi="Calibri"/>
                <w:i w:val="1"/>
                <w:sz w:val="22"/>
                <w:szCs w:val="22"/>
                <w:rtl w:val="0"/>
              </w:rPr>
              <w:t xml:space="preserve">stablishment, exercise or defense of legal claims</w:t>
            </w:r>
            <w:r w:rsidDel="00000000" w:rsidR="00000000" w:rsidRPr="00000000">
              <w:rPr>
                <w:rFonts w:ascii="Calibri" w:cs="Calibri" w:eastAsia="Calibri" w:hAnsi="Calibri"/>
                <w:sz w:val="22"/>
                <w:szCs w:val="22"/>
                <w:rtl w:val="0"/>
              </w:rPr>
              <w:t xml:space="preserve">". According to Art. 21 (1) GDPR, data processing is also permissible in the event of objection by the data subject. </w:t>
            </w:r>
            <w:commentRangeStart w:id="1"/>
            <w:r w:rsidDel="00000000" w:rsidR="00000000" w:rsidRPr="00000000">
              <w:rPr>
                <w:rFonts w:ascii="Calibri" w:cs="Calibri" w:eastAsia="Calibri" w:hAnsi="Calibri"/>
                <w:i w:val="1"/>
                <w:strike w:val="1"/>
                <w:sz w:val="22"/>
                <w:szCs w:val="22"/>
                <w:rtl w:val="0"/>
              </w:rPr>
              <w:t xml:space="preserve">This interest is also explicitly recognized for data transfers to non-EU countries, Art. 49 (1) (e) GDPR. </w:t>
            </w:r>
            <w:commentRangeEnd w:id="1"/>
            <w:r w:rsidDel="00000000" w:rsidR="00000000" w:rsidRPr="00000000">
              <w:commentReference w:id="1"/>
            </w:r>
            <w:r w:rsidDel="00000000" w:rsidR="00000000" w:rsidRPr="00000000">
              <w:rPr>
                <w:rFonts w:ascii="Calibri" w:cs="Calibri" w:eastAsia="Calibri" w:hAnsi="Calibri"/>
                <w:sz w:val="22"/>
                <w:szCs w:val="22"/>
                <w:rtl w:val="0"/>
              </w:rPr>
              <w:t xml:space="preserve">  Art. 6(1)(f) of the GDPR explicitly applies to the legitimate interests of third parties other than the data controller.  Furthermore, it is recognized by the ECJ that the interest to defend individual rights constitutes a legitimate interest for rightsholders to request data (as well as for third parties taking legal action on their behalf).</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In addition, the UN Declaration of Human Rights expressly recognizes the rights of creators in their works of authorship and explicitly sets forth “the right to </w:t>
            </w:r>
            <w:r w:rsidDel="00000000" w:rsidR="00000000" w:rsidRPr="00000000">
              <w:rPr>
                <w:rFonts w:ascii="Calibri" w:cs="Calibri" w:eastAsia="Calibri" w:hAnsi="Calibri"/>
                <w:sz w:val="22"/>
                <w:szCs w:val="22"/>
                <w:u w:val="single"/>
                <w:rtl w:val="0"/>
              </w:rPr>
              <w:t xml:space="preserve">protection </w:t>
            </w:r>
            <w:r w:rsidDel="00000000" w:rsidR="00000000" w:rsidRPr="00000000">
              <w:rPr>
                <w:rFonts w:ascii="Calibri" w:cs="Calibri" w:eastAsia="Calibri" w:hAnsi="Calibri"/>
                <w:sz w:val="22"/>
                <w:szCs w:val="22"/>
                <w:rtl w:val="0"/>
              </w:rPr>
              <w:t xml:space="preserve">of the moral and material interests” in such works. (emphasis added).</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   In view of the alleged involvement of the registrant in an infringement and of the recognized interest and right of the author to protect his or her creative works, it cannot be assumed that in these cases that the interests of the registrant in the protection of his data outweigh the interest in the protection of  copyrights. Intellectual property is a Fundamental Right under the EU Charter of Fundamental Rights. Copyright law is harmonized globally to a great extent by international agreements (e.g.,Berne Convention, WIPO Copyright Treaty (WCT), WIPO Performances and Phonograms Treaty, Trade Related Aspects of Intellectual Property Rights (TRIPS). Furthermore, in the EU the rights of the data subjects under the GDPR must specifically be balanced against those of the beneficiaries of the exclusive rights under the Copyright Directive (2001) and implementation thereof in national law.  Against this background,  disclosing redacted registration data to requestors in cases involving the potential infringement of copyrights appears justifiable under Article 6 (1) (f) GDPR.</w:t>
            </w:r>
            <w:r w:rsidDel="00000000" w:rsidR="00000000" w:rsidRPr="00000000">
              <w:rPr>
                <w:rtl w:val="0"/>
              </w:rPr>
            </w:r>
          </w:p>
          <w:p w:rsidR="00000000" w:rsidDel="00000000" w:rsidP="00000000" w:rsidRDefault="00000000" w:rsidRPr="00000000" w14:paraId="0000001A">
            <w:pPr>
              <w:rPr/>
            </w:pPr>
            <w:bookmarkStart w:colFirst="0" w:colLast="0" w:name="_gjdgxs" w:id="0"/>
            <w:bookmarkEnd w:id="0"/>
            <w:r w:rsidDel="00000000" w:rsidR="00000000" w:rsidRPr="00000000">
              <w:rPr>
                <w:rtl w:val="0"/>
              </w:rPr>
              <w:t xml:space="preserve"> </w:t>
            </w:r>
          </w:p>
        </w:tc>
      </w:tr>
      <w:tr>
        <w:trPr>
          <w:trHeight w:val="300" w:hRule="atLeast"/>
        </w:trPr>
        <w:tc>
          <w:tcPr/>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tc>
        <w:tc>
          <w:tcPr/>
          <w:p w:rsidR="00000000" w:rsidDel="00000000" w:rsidP="00000000" w:rsidRDefault="00000000" w:rsidRPr="00000000" w14:paraId="0000001C">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The requestor: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will be subject to </w:t>
            </w:r>
            <w:commentRangeStart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auditing</w:t>
            </w:r>
            <w:commentRangeEnd w:id="2"/>
            <w:r w:rsidDel="00000000" w:rsidR="00000000" w:rsidRPr="00000000">
              <w:commentReference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items to be considered in the development of a 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al</w:t>
            </w:r>
            <w:r w:rsidDel="00000000" w:rsidR="00000000" w:rsidRPr="00000000">
              <w:rPr>
                <w:rFonts w:ascii="Calibri" w:cs="Calibri" w:eastAsia="Calibri" w:hAnsi="Calibri"/>
                <w:sz w:val="22"/>
                <w:szCs w:val="22"/>
                <w:rtl w:val="0"/>
              </w:rPr>
              <w:t xml:space="preserve">so section l below):</w:t>
            </w:r>
            <w:r w:rsidDel="00000000" w:rsidR="00000000" w:rsidRPr="00000000">
              <w:rPr>
                <w:rtl w:val="0"/>
              </w:rPr>
            </w:r>
          </w:p>
          <w:p w:rsidR="00000000" w:rsidDel="00000000" w:rsidP="00000000" w:rsidRDefault="00000000" w:rsidRPr="00000000" w14:paraId="00000021">
            <w:pPr>
              <w:rPr>
                <w:rFonts w:ascii="-webkit-standard" w:cs="-webkit-standard" w:eastAsia="-webkit-standard" w:hAnsi="-webkit-standard"/>
                <w:b w:val="1"/>
                <w:color w:val="00000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or entities seeking accreditation as a member of this user group must also:</w:t>
            </w:r>
            <w:r w:rsidDel="00000000" w:rsidR="00000000" w:rsidRPr="00000000">
              <w:rPr>
                <w:rtl w:val="0"/>
              </w:rPr>
            </w:r>
          </w:p>
          <w:p w:rsidR="00000000" w:rsidDel="00000000" w:rsidP="00000000" w:rsidRDefault="00000000" w:rsidRPr="00000000" w14:paraId="00000023">
            <w:pPr>
              <w:rPr>
                <w:rFonts w:ascii="-webkit-standard" w:cs="-webkit-standard" w:eastAsia="-webkit-standard" w:hAnsi="-webkit-standard"/>
                <w:b w:val="1"/>
                <w:color w:val="000000"/>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only use the data for the legitimate and lawful purpose described above;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issue disclosure requests with respect to the copyright(s) they or their principal (if an agent</w:t>
            </w:r>
            <w:r w:rsidDel="00000000" w:rsidR="00000000" w:rsidRPr="00000000">
              <w:rPr>
                <w:rFonts w:ascii="Calibri" w:cs="Calibri" w:eastAsia="Calibri" w:hAnsi="Calibri"/>
                <w:sz w:val="22"/>
                <w:szCs w:val="22"/>
                <w:rtl w:val="0"/>
              </w:rPr>
              <w:t xml:space="preserve">, service provider or trade association) own or control;</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abuse of data received; </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subject to de-accreditation if they are found to repeatedly abuse use of data;</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5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register of all requests also including the respective rightsholders name (subject to audits).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Fonts w:ascii="Calibri" w:cs="Calibri" w:eastAsia="Calibri" w:hAnsi="Calibri"/>
                <w:color w:val="000000"/>
                <w:sz w:val="22"/>
                <w:szCs w:val="22"/>
                <w:rtl w:val="0"/>
              </w:rPr>
              <w:t xml:space="preserve">Failure to abide by safeguards would affect accreditation, including the possibility of revocation.</w:t>
            </w:r>
            <w:r w:rsidDel="00000000" w:rsidR="00000000" w:rsidRPr="00000000">
              <w:rPr>
                <w:rtl w:val="0"/>
              </w:rPr>
            </w:r>
          </w:p>
        </w:tc>
      </w:tr>
      <w:tr>
        <w:trPr>
          <w:trHeight w:val="300" w:hRule="atLeast"/>
        </w:trPr>
        <w:tc>
          <w:tcPr/>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tc>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entity disclosing the data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E">
            <w:pPr>
              <w:numPr>
                <w:ilvl w:val="0"/>
                <w:numId w:val="9"/>
              </w:numPr>
              <w:ind w:left="720" w:hanging="360"/>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Must only supply the data requested by the requestor;</w:t>
            </w:r>
          </w:p>
          <w:p w:rsidR="00000000" w:rsidDel="00000000" w:rsidP="00000000" w:rsidRDefault="00000000" w:rsidRPr="00000000" w14:paraId="0000002F">
            <w:pPr>
              <w:numPr>
                <w:ilvl w:val="0"/>
                <w:numId w:val="9"/>
              </w:numPr>
              <w:ind w:left="720" w:hanging="360"/>
              <w:rPr>
                <w:rFonts w:ascii="Calibri" w:cs="Calibri" w:eastAsia="Calibri" w:hAnsi="Calibri"/>
                <w:sz w:val="22"/>
                <w:szCs w:val="22"/>
              </w:rPr>
            </w:pPr>
            <w:bookmarkStart w:colFirst="0" w:colLast="0" w:name="_3znysh7" w:id="3"/>
            <w:bookmarkEnd w:id="3"/>
            <w:r w:rsidDel="00000000" w:rsidR="00000000" w:rsidRPr="00000000">
              <w:rPr>
                <w:rFonts w:ascii="Calibri" w:cs="Calibri" w:eastAsia="Calibri" w:hAnsi="Calibri"/>
                <w:sz w:val="22"/>
                <w:szCs w:val="22"/>
                <w:rtl w:val="0"/>
              </w:rPr>
              <w:t xml:space="preserve">May take measures to limit the number of requests that are submitted by the same requestor if it is clear that the requests are not legitimate and </w:t>
            </w:r>
            <w:commentRangeStart w:id="3"/>
            <w:r w:rsidDel="00000000" w:rsidR="00000000" w:rsidRPr="00000000">
              <w:rPr>
                <w:rFonts w:ascii="Calibri" w:cs="Calibri" w:eastAsia="Calibri" w:hAnsi="Calibri"/>
                <w:sz w:val="22"/>
                <w:szCs w:val="22"/>
                <w:rtl w:val="0"/>
              </w:rPr>
              <w:t xml:space="preserve">of an abusive nature</w:t>
            </w:r>
            <w:commentRangeEnd w:id="3"/>
            <w:r w:rsidDel="00000000" w:rsidR="00000000" w:rsidRPr="00000000">
              <w:commentReference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0">
            <w:pPr>
              <w:numPr>
                <w:ilvl w:val="0"/>
                <w:numId w:val="9"/>
              </w:numPr>
              <w:ind w:left="720" w:hanging="360"/>
              <w:rPr>
                <w:rFonts w:ascii="Calibri" w:cs="Calibri" w:eastAsia="Calibri" w:hAnsi="Calibri"/>
                <w:sz w:val="22"/>
                <w:szCs w:val="22"/>
              </w:rPr>
            </w:pPr>
            <w:commentRangeStart w:id="4"/>
            <w:r w:rsidDel="00000000" w:rsidR="00000000" w:rsidRPr="00000000">
              <w:rPr>
                <w:rFonts w:ascii="Calibri" w:cs="Calibri" w:eastAsia="Calibri" w:hAnsi="Calibri"/>
                <w:sz w:val="22"/>
                <w:szCs w:val="22"/>
                <w:rtl w:val="0"/>
              </w:rPr>
              <w:t xml:space="preserve">Must monitor the system and take appropriate action, such as revoking or limiting access, to protect against abuse or misuse of the system</w:t>
            </w:r>
            <w:commentRangeEnd w:id="4"/>
            <w:r w:rsidDel="00000000" w:rsidR="00000000" w:rsidRPr="00000000">
              <w:commentReference w:id="4"/>
            </w:r>
            <w:r w:rsidDel="00000000" w:rsidR="00000000" w:rsidRPr="00000000">
              <w:rPr>
                <w:rFonts w:ascii="Calibri" w:cs="Calibri" w:eastAsia="Calibri" w:hAnsi="Calibri"/>
                <w:sz w:val="22"/>
                <w:szCs w:val="22"/>
                <w:rtl w:val="0"/>
              </w:rPr>
              <w:t xml:space="preserve">.</w:t>
            </w:r>
          </w:p>
        </w:tc>
      </w:tr>
      <w:tr>
        <w:trPr>
          <w:trHeight w:val="300" w:hRule="atLeast"/>
        </w:trPr>
        <w:tc>
          <w:tcPr/>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tc>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Registered Name Holder</w:t>
            </w:r>
            <w:r w:rsidDel="00000000" w:rsidR="00000000" w:rsidRPr="00000000">
              <w:rPr>
                <w:rFonts w:ascii="Calibri" w:cs="Calibri" w:eastAsia="Calibri" w:hAnsi="Calibri"/>
                <w:sz w:val="22"/>
                <w:szCs w:val="22"/>
                <w:rtl w:val="0"/>
              </w:rPr>
              <w:t xml:space="preserve"> (data subject) must have the right: </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33">
            <w:pPr>
              <w:numPr>
                <w:ilvl w:val="0"/>
                <w:numId w:val="3"/>
              </w:numPr>
              <w:ind w:left="720" w:hanging="360"/>
              <w:rPr>
                <w:rFonts w:ascii="Calibri" w:cs="Calibri" w:eastAsia="Calibri" w:hAnsi="Calibri"/>
                <w:sz w:val="22"/>
                <w:szCs w:val="22"/>
              </w:rPr>
            </w:pPr>
            <w:commentRangeStart w:id="5"/>
            <w:r w:rsidDel="00000000" w:rsidR="00000000" w:rsidRPr="00000000">
              <w:rPr>
                <w:rFonts w:ascii="Calibri" w:cs="Calibri" w:eastAsia="Calibri" w:hAnsi="Calibri"/>
                <w:sz w:val="22"/>
                <w:szCs w:val="22"/>
                <w:rtl w:val="0"/>
              </w:rPr>
              <w:t xml:space="preserve">to obtain, on request, confirmation of the processing of personal data relating to them and the communication in an intelligible form of the data processed;</w:t>
            </w:r>
            <w:commentRangeStart w:id="6"/>
            <w:r w:rsidDel="00000000" w:rsidR="00000000" w:rsidRPr="00000000">
              <w:rPr>
                <w:rFonts w:ascii="MS Gothic" w:cs="MS Gothic" w:eastAsia="MS Gothic" w:hAnsi="MS Gothic"/>
                <w:sz w:val="22"/>
                <w:szCs w:val="22"/>
                <w:rtl w:val="0"/>
              </w:rPr>
              <w:t xml:space="preserv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3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obtain, on request, rectification or erasure, as the case may be, of inaccurate data or data that is being, or has been, processed contrary to the provisions of this Protocol;</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36">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lodge a complaint with the supervisory authority, or authorities, when they consider that their data protection rights have been violated;</w:t>
            </w:r>
            <w:r w:rsidDel="00000000" w:rsidR="00000000" w:rsidRPr="00000000">
              <w:rPr>
                <w:rFonts w:ascii="MS Gothic" w:cs="MS Gothic" w:eastAsia="MS Gothic" w:hAnsi="MS Gothic"/>
                <w:sz w:val="22"/>
                <w:szCs w:val="22"/>
                <w:rtl w:val="0"/>
              </w:rPr>
              <w:t xml:space="preserve"> </w:t>
            </w:r>
            <w:r w:rsidDel="00000000" w:rsidR="00000000" w:rsidRPr="00000000">
              <w:rPr>
                <w:rtl w:val="0"/>
              </w:rPr>
            </w:r>
          </w:p>
          <w:p w:rsidR="00000000" w:rsidDel="00000000" w:rsidP="00000000" w:rsidRDefault="00000000" w:rsidRPr="00000000" w14:paraId="00000037">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an effective remedy before an independent and impartial tribunal when they consider that their data protection rights have been violated.</w:t>
            </w:r>
            <w:r w:rsidDel="00000000" w:rsidR="00000000" w:rsidRPr="00000000">
              <w:rPr>
                <w:rFonts w:ascii="MS Gothic" w:cs="MS Gothic" w:eastAsia="MS Gothic" w:hAnsi="MS Gothic"/>
                <w:sz w:val="22"/>
                <w:szCs w:val="22"/>
                <w:rtl w:val="0"/>
              </w:rPr>
              <w:t xml:space="preserve"> </w:t>
            </w:r>
            <w:r w:rsidDel="00000000" w:rsidR="00000000" w:rsidRPr="00000000">
              <w:rPr>
                <w:rFonts w:ascii="Calibri" w:cs="Calibri" w:eastAsia="Calibri" w:hAnsi="Calibri"/>
                <w:sz w:val="22"/>
                <w:szCs w:val="22"/>
                <w:rtl w:val="0"/>
              </w:rPr>
              <w:t xml:space="preserve"> </w:t>
            </w:r>
            <w:commentRangeEnd w:id="5"/>
            <w:r w:rsidDel="00000000" w:rsidR="00000000" w:rsidRPr="00000000">
              <w:commentReference w:id="5"/>
            </w:r>
            <w:r w:rsidDel="00000000" w:rsidR="00000000" w:rsidRPr="00000000">
              <w:rPr>
                <w:rtl w:val="0"/>
              </w:rPr>
            </w:r>
          </w:p>
        </w:tc>
      </w:tr>
      <w:tr>
        <w:trPr>
          <w:trHeight w:val="300" w:hRule="atLeast"/>
        </w:trPr>
        <w:tc>
          <w:tcPr/>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tc>
        <w:tc>
          <w:tcPr/>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z w:val="22"/>
                <w:szCs w:val="22"/>
                <w:u w:val="none"/>
                <w:shd w:fill="auto" w:val="clear"/>
                <w:vertAlign w:val="baseline"/>
              </w:rPr>
            </w:pPr>
            <w:commentRangeStart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otherwise required or permitted, the system must not allow bulk 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wildcard requests, reverse lookups, nor boolean search capabilities except to the extent reasonably necessary to support the legitimate </w:t>
            </w:r>
            <w:r w:rsidDel="00000000" w:rsidR="00000000" w:rsidRPr="00000000">
              <w:rPr>
                <w:rFonts w:ascii="Calibri" w:cs="Calibri" w:eastAsia="Calibri" w:hAnsi="Calibri"/>
                <w:sz w:val="22"/>
                <w:szCs w:val="22"/>
                <w:rtl w:val="0"/>
              </w:rPr>
              <w:t xml:space="preserve">interests related to this disclosure/use case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 unless it is within the time</w:t>
            </w:r>
            <w:r w:rsidDel="00000000" w:rsidR="00000000" w:rsidRPr="00000000">
              <w:rPr>
                <w:rFonts w:ascii="Calibri" w:cs="Calibri" w:eastAsia="Calibri" w:hAnsi="Calibri"/>
                <w:sz w:val="22"/>
                <w:szCs w:val="22"/>
                <w:rtl w:val="0"/>
              </w:rPr>
              <w:t xml:space="preserve">frame for retention of such data as stated in the relevant ICANN contract and compatible with the GDPR data retention 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only responsible for disclosing nonpublic registration data for the domain names under their management;</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receive a specific request for every individual domain name;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r w:rsidDel="00000000" w:rsidR="00000000" w:rsidRPr="00000000">
              <w:rPr>
                <w:rtl w:val="0"/>
              </w:rPr>
            </w:r>
          </w:p>
        </w:tc>
      </w:tr>
      <w:tr>
        <w:trPr>
          <w:trHeight w:val="300" w:hRule="atLeast"/>
        </w:trPr>
        <w:tc>
          <w:tcPr/>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tc>
        <w:tc>
          <w:tcPr/>
          <w:p w:rsidR="00000000" w:rsidDel="00000000" w:rsidP="00000000" w:rsidRDefault="00000000" w:rsidRPr="00000000" w14:paraId="0000003F">
            <w:pPr>
              <w:rPr/>
            </w:pPr>
            <w:r w:rsidDel="00000000" w:rsidR="00000000" w:rsidRPr="00000000">
              <w:rPr>
                <w:rFonts w:ascii="Calibri" w:cs="Calibri" w:eastAsia="Calibri" w:hAnsi="Calibri"/>
                <w:color w:val="000000"/>
                <w:sz w:val="22"/>
                <w:szCs w:val="22"/>
                <w:rtl w:val="0"/>
              </w:rPr>
              <w:t xml:space="preserve">Eligibility criteria for those requesting accreditation</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respect to the accreditation of intellectual property owners, individuals or entities seeking accreditation as a member of this user group must provide:</w:t>
            </w:r>
            <w:r w:rsidDel="00000000" w:rsidR="00000000" w:rsidRPr="00000000">
              <w:rPr>
                <w:rtl w:val="0"/>
              </w:rPr>
            </w:r>
          </w:p>
          <w:p w:rsidR="00000000" w:rsidDel="00000000" w:rsidP="00000000" w:rsidRDefault="00000000" w:rsidRPr="00000000" w14:paraId="00000042">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sz w:val="22"/>
                <w:szCs w:val="22"/>
                <w:rtl w:val="0"/>
              </w:rPr>
              <w:t xml:space="preserve">An attestation of ownership or grant of exclusive rights in a copyrighted work(s)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 of authorization from the rights holders to act on their behalf (in case of attorneys, agents, including trade association</w:t>
            </w:r>
            <w:r w:rsidDel="00000000" w:rsidR="00000000" w:rsidRPr="00000000">
              <w:rPr>
                <w:rFonts w:ascii="Calibri" w:cs="Calibri" w:eastAsia="Calibri" w:hAnsi="Calibri"/>
                <w:sz w:val="22"/>
                <w:szCs w:val="22"/>
                <w:rtl w:val="0"/>
              </w:rPr>
              <w:t xml:space="preserve">s)</w:t>
            </w:r>
            <w:r w:rsidDel="00000000" w:rsidR="00000000" w:rsidRPr="00000000">
              <w:rPr>
                <w:rtl w:val="0"/>
              </w:rPr>
            </w:r>
          </w:p>
        </w:tc>
      </w:tr>
      <w:tr>
        <w:trPr>
          <w:trHeight w:val="300" w:hRule="atLeast"/>
        </w:trPr>
        <w:tc>
          <w:tcPr/>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tc>
        <w:tc>
          <w:tcPr/>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Identification of the domain name associated with the website being investigated for copyright infringement.</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Identification of the copyrighted work claimed to have been infringed, or if multiple copyrighted works at the website are covered by a single request, a representative list of such works relevant to that website.</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statement that the requestor has a good faith belief that the website is engaged in infringement of the copyrighted works identified.</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statement that the requestor is either the owner or exclusive licensee of rights in the identified copyrighted work(s), or if the requestor is an agent, service provider or trade association, a statement that the requestor is authorized to act on the behalf of the owner or exclusive licensee.</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Information reasonably sufficient to permit contact with the requestor, such as an email address and telephone number.</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statement that the information in the request is accurate.</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name and electronic or physical signature of a natural person that is authorized to act on behalf of the requestor</w:t>
            </w:r>
          </w:p>
        </w:tc>
      </w:tr>
      <w:tr>
        <w:trPr>
          <w:trHeight w:val="300" w:hRule="atLeast"/>
        </w:trPr>
        <w:tc>
          <w:tcPr/>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Automation should be encouraged and implemented wherever technically and commercially feasible</w:t>
            </w:r>
            <w:r w:rsidDel="00000000" w:rsidR="00000000" w:rsidRPr="00000000">
              <w:rPr>
                <w:rtl w:val="0"/>
              </w:rPr>
            </w:r>
          </w:p>
        </w:tc>
      </w:tr>
      <w:tr>
        <w:trPr>
          <w:trHeight w:val="300" w:hRule="atLeast"/>
        </w:trPr>
        <w:tc>
          <w:tcPr/>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sectPr>
      <w:type w:val="continuous"/>
      <w:pgSz w:h="15840" w:w="12240"/>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ka Konings" w:id="2" w:date="2019-06-27T11:37:00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EPDP Team to further define / clarify who and how auditing is expected to be carried out.</w:t>
      </w:r>
    </w:p>
  </w:comment>
  <w:comment w:author="Alex Deacon" w:id="7" w:date="2019-06-30T02:41:00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 is working on removing or improving this language.  TBD.</w:t>
      </w:r>
    </w:p>
  </w:comment>
  <w:comment w:author="Marika Konings" w:id="3" w:date="2019-06-27T11:44:00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including specific examples of what is considered abusive to ensure that no legitime and/or authenticated requestors are blocked.</w:t>
      </w:r>
    </w:p>
  </w:comment>
  <w:comment w:author="Marika Konings" w:id="4" w:date="2019-06-27T11:53:00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reworded (Marc A. and Brian to work on suggested alternative language)</w:t>
      </w:r>
    </w:p>
  </w:comment>
  <w:comment w:author="Alex Deacon" w:id="0" w:date="2019-06-30T02:35:0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this list covers trade associations.  If not we should add it.</w:t>
      </w:r>
    </w:p>
  </w:comment>
  <w:comment w:author="Marika Konings" w:id="5" w:date="2019-06-27T11:59:00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moving this to the category of whom will be providing these safeguards. Need to translate these into requirements. Action: Georgios to specify where the items in g below - is it the system, the requestor, or the entity disclosing the data? </w:t>
      </w:r>
    </w:p>
  </w:comment>
  <w:comment w:author="Alex Deacon" w:id="1" w:date="2019-06-30T02:36:00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we need to discuss transfer in this section.</w:t>
      </w:r>
    </w:p>
  </w:comment>
  <w:comment w:author="Dean Marks" w:id="6" w:date="2019-07-05T03:55:25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Unclear who is responsible for responding to the requests in h)1. of the data subject.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MS Gothic"/>
  <w:font w:name="Times New Roman"/>
  <w:font w:name="Courier New"/>
  <w:font w:name="Noto Sans Symbols"/>
  <w:font w:name="-webkit-standar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Including </w:t>
      </w:r>
      <w:r w:rsidDel="00000000" w:rsidR="00000000" w:rsidRPr="00000000">
        <w:rPr>
          <w:rFonts w:ascii="Calibri" w:cs="Calibri" w:eastAsia="Calibri" w:hAnsi="Calibri"/>
          <w:sz w:val="18"/>
          <w:szCs w:val="18"/>
          <w:rtl w:val="0"/>
        </w:rPr>
        <w:t xml:space="preserve">copyright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protection service providers and co</w:t>
      </w:r>
      <w:r w:rsidDel="00000000" w:rsidR="00000000" w:rsidRPr="00000000">
        <w:rPr>
          <w:rFonts w:ascii="Calibri" w:cs="Calibri" w:eastAsia="Calibri" w:hAnsi="Calibri"/>
          <w:sz w:val="18"/>
          <w:szCs w:val="18"/>
          <w:rtl w:val="0"/>
        </w:rPr>
        <w:t xml:space="preserve">pyright trade associations that handle copyright matters on behalf of their members.</w:t>
      </w:r>
      <w:r w:rsidDel="00000000" w:rsidR="00000000" w:rsidRPr="00000000">
        <w:rPr>
          <w:rtl w:val="0"/>
        </w:rPr>
      </w:r>
    </w:p>
  </w:footnote>
  <w:footnote w:id="1">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footnote>
  <w:footnote w:id="2">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cf. ECJ, case no. C-13/16 (Rigas), rec. 29.</w:t>
      </w:r>
      <w:r w:rsidDel="00000000" w:rsidR="00000000" w:rsidRPr="00000000">
        <w:rPr>
          <w:rtl w:val="0"/>
        </w:rPr>
      </w:r>
    </w:p>
  </w:footnote>
  <w:footnote w:id="4">
    <w:p w:rsidR="00000000" w:rsidDel="00000000" w:rsidP="00000000" w:rsidRDefault="00000000" w:rsidRPr="00000000" w14:paraId="0000005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The code of conduct referenced within this table is distinct from the code of conduct referenced in </w:t>
      </w:r>
      <w:hyperlink r:id="rId1">
        <w:r w:rsidDel="00000000" w:rsidR="00000000" w:rsidRPr="00000000">
          <w:rPr>
            <w:rFonts w:ascii="Calibri" w:cs="Calibri" w:eastAsia="Calibri" w:hAnsi="Calibri"/>
            <w:color w:val="1155cc"/>
            <w:sz w:val="18"/>
            <w:szCs w:val="18"/>
            <w:u w:val="single"/>
            <w:rtl w:val="0"/>
          </w:rPr>
          <w:t xml:space="preserve">Section 3.7.1 of the Registrar Accreditation Agreement</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footnote>
  <w:footnote w:id="6">
    <w:p w:rsidR="00000000" w:rsidDel="00000000" w:rsidP="00000000" w:rsidRDefault="00000000" w:rsidRPr="00000000" w14:paraId="0000005E">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As described in section 3.3.6 of the Registrar Accreditation Agreement</w:t>
      </w:r>
    </w:p>
  </w:footnote>
  <w:footnote w:id="3">
    <w:p w:rsidR="00000000" w:rsidDel="00000000" w:rsidP="00000000" w:rsidRDefault="00000000" w:rsidRPr="00000000" w14:paraId="0000005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Art 27(2) of the United Nations Universal Declaration of Human Rights</w:t>
      </w:r>
    </w:p>
  </w:footnote>
  <w:footnote w:id="5">
    <w:p w:rsidR="00000000" w:rsidDel="00000000" w:rsidP="00000000" w:rsidRDefault="00000000" w:rsidRPr="00000000" w14:paraId="0000006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Unlike trademarks, copyrights exist independent of registration and the leading copyright treaty, the Berne Convention provides in Article 5(2) that “The enjoyment and theexercise of these rights shall not be subject to any formality.” Therefore, unlike in the case of trademarks,  evidence of ownership is not an appropriate criteria for copyright. An attestation of the requestor as to ownership of the relevant copyrights by the requestor or by the requestor’s principal would be appropriate; see Section j) below.</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