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9180"/>
        <w:tblGridChange w:id="0">
          <w:tblGrid>
            <w:gridCol w:w="9180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02">
            <w:pPr>
              <w:spacing w:after="40" w:before="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Overarching Purpose: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Providers requesting access required to facilitate due process in the UDRP and URS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after="40" w:before="40" w:lineRule="auto"/>
        <w:rPr>
          <w:b w:val="1"/>
          <w:color w:val="ffffff"/>
        </w:rPr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8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3060"/>
        <w:gridCol w:w="6120"/>
        <w:tblGridChange w:id="0">
          <w:tblGrid>
            <w:gridCol w:w="3060"/>
            <w:gridCol w:w="6120"/>
          </w:tblGrid>
        </w:tblGridChange>
      </w:tblGrid>
      <w:tr>
        <w:trPr>
          <w:trHeight w:val="440" w:hRule="atLeast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spacing w:after="40" w:before="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Use Case: 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User Groups (Requestors) / User characteristics 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40" w:before="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Why is non-public registration data necessary?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40" w:before="40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elements that may typically be disclosed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40" w:before="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[date element]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[data element]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[data element]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[etc.]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Lawful basis of entity disclosing non-public registration data to the requestor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Supporting info to determine lawful basis for the requestor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Safeguards (requirements) Applicable to the Requestor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requestor [must] [may]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Safeguards (requirements) applicable to the Entity Disclosing the Nonpublic Registration Data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entity disclosing the data [must] [may]: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Safeguards (requirements) applicable to the data subject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Registered Name Holder (data subject) [must] [may]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Safeguards (requirements) applicable to the access/disclosure system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access/disclosure system [must] [may]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Accreditation of user group(s) required (Y/N) – if Y, define policy principles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-webkit-standard" w:cs="-webkit-standard" w:eastAsia="-webkit-standard" w:hAnsi="-webkit-standar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With respect to the accreditation of [user groups] seeking accreditation as a member of this user group must provide: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[….]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-webkit-standard" w:cs="-webkit-standard" w:eastAsia="-webkit-standard" w:hAnsi="-webkit-standar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Additional items to be considered in the development of a code of conduct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[….]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Authentication – policy principles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information is required to be provided for a request under this lawful basis?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Expected timing of substantive response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automation of substantive response possible / desirable?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Expected timing of substantive response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long can the requestor retain the data disclosed and what are the requirements for destruction following the end of the retention period?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Other?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Noto Sans Symbols"/>
  <w:font w:name="-webkit-standard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For each request, the requestor will need to confirm which data elements are necessary. </w:t>
      </w:r>
    </w:p>
  </w:footnote>
  <w:footnote w:id="1"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The code of conduct referenced within this table is distinct from the code of conduct referenced in </w:t>
      </w:r>
      <w:hyperlink r:id="rId1">
        <w:r w:rsidDel="00000000" w:rsidR="00000000" w:rsidRPr="00000000">
          <w:rPr>
            <w:rFonts w:ascii="Calibri" w:cs="Calibri" w:eastAsia="Calibri" w:hAnsi="Calibri"/>
            <w:color w:val="1155cc"/>
            <w:sz w:val="18"/>
            <w:szCs w:val="18"/>
            <w:u w:val="single"/>
            <w:rtl w:val="0"/>
          </w:rPr>
          <w:t xml:space="preserve">Section 3.7.1 of the Registrar Accreditation Agreement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. 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>
        <w:rFonts w:ascii="Calibri" w:cs="Calibri" w:eastAsia="Calibri" w:hAnsi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  <w:tblStylePr w:type="band1Horz">
      <w:tcPr>
        <w:shd w:fill="f7cbac" w:val="clear"/>
      </w:tcPr>
    </w:tblStylePr>
    <w:tblStylePr w:type="band1Vert">
      <w:tcPr>
        <w:shd w:fill="f7cbac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ed7d3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ed7d3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  <w:tblStylePr w:type="band1Horz">
      <w:tcPr>
        <w:shd w:fill="f7cbac" w:val="clear"/>
      </w:tcPr>
    </w:tblStylePr>
    <w:tblStylePr w:type="band1Vert">
      <w:tcPr>
        <w:shd w:fill="f7cbac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ed7d3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ed7d3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www.icann.org/2013raa#3.7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