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sdt>
            <w:sdtPr>
              <w:tag w:val="goog_rdk_1"/>
            </w:sdtPr>
            <w:sdtContent>
              <w:p w:rsidR="00000000" w:rsidDel="00000000" w:rsidP="00000000" w:rsidRDefault="00000000" w:rsidRPr="00000000" w14:paraId="00000002">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Overarching Purpose: Obtain domain name holder details for legal claims</w:t>
                </w:r>
              </w:p>
            </w:sdtContent>
          </w:sdt>
        </w:tc>
      </w:tr>
    </w:tbl>
    <w:sdt>
      <w:sdtPr>
        <w:tag w:val="goog_rdk_2"/>
      </w:sdtPr>
      <w:sdtContent>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sdtContent>
    </w:sdt>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sdt>
            <w:sdtPr>
              <w:tag w:val="goog_rdk_4"/>
            </w:sdtPr>
            <w:sdtContent>
              <w:p w:rsidR="00000000" w:rsidDel="00000000" w:rsidP="00000000" w:rsidRDefault="00000000" w:rsidRPr="00000000" w14:paraId="00000005">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Case: The establishment, exercise or defense of a legal claim involving a registrant of a domain name </w:t>
                </w:r>
              </w:p>
            </w:sdtContent>
          </w:sdt>
        </w:tc>
      </w:tr>
      <w:tr>
        <w:trPr>
          <w:trHeight w:val="300" w:hRule="atLeast"/>
        </w:trPr>
        <w:tc>
          <w:tcPr/>
          <w:sdt>
            <w:sdtPr>
              <w:tag w:val="goog_rdk_6"/>
            </w:sdtPr>
            <w:sdtContent>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sdtContent>
          </w:sdt>
        </w:tc>
        <w:tc>
          <w:tcPr/>
          <w:sdt>
            <w:sdtPr>
              <w:tag w:val="goog_rdk_7"/>
            </w:sdtPr>
            <w:sdtContent>
              <w:p w:rsidR="00000000" w:rsidDel="00000000" w:rsidP="00000000" w:rsidRDefault="00000000" w:rsidRPr="00000000" w14:paraId="00000008">
                <w:pPr>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user or other aggrieved party.</w:t>
                </w:r>
              </w:p>
            </w:sdtContent>
          </w:sdt>
        </w:tc>
      </w:tr>
      <w:tr>
        <w:trPr>
          <w:trHeight w:val="300" w:hRule="atLeast"/>
        </w:trPr>
        <w:tc>
          <w:tcPr/>
          <w:sdt>
            <w:sdtPr>
              <w:tag w:val="goog_rdk_8"/>
            </w:sdtPr>
            <w:sdtContent>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sdtContent>
          </w:sdt>
        </w:tc>
        <w:tc>
          <w:tcPr/>
          <w:sdt>
            <w:sdtPr>
              <w:tag w:val="goog_rdk_9"/>
            </w:sdtPr>
            <w:sdtContent>
              <w:p w:rsidR="00000000" w:rsidDel="00000000" w:rsidP="00000000" w:rsidRDefault="00000000" w:rsidRPr="00000000" w14:paraId="0000000A">
                <w:pPr>
                  <w:rPr/>
                </w:pPr>
                <w:r w:rsidDel="00000000" w:rsidR="00000000" w:rsidRPr="00000000">
                  <w:rPr>
                    <w:rFonts w:ascii="Calibri" w:cs="Calibri" w:eastAsia="Calibri" w:hAnsi="Calibri"/>
                    <w:color w:val="000000"/>
                    <w:sz w:val="22"/>
                    <w:szCs w:val="22"/>
                    <w:rtl w:val="0"/>
                  </w:rPr>
                  <w:t xml:space="preserve">To identify a registrant against whom to bring civil legal action,</w:t>
                </w:r>
                <w:r w:rsidDel="00000000" w:rsidR="00000000" w:rsidRPr="00000000">
                  <w:rPr>
                    <w:rtl w:val="0"/>
                  </w:rPr>
                  <w:t xml:space="preserve"> or for the establishment, exercise or defense of legal claims, whether in court proceedings or in an administrative or out-of-court procedure.</w:t>
                </w:r>
              </w:p>
            </w:sdtContent>
          </w:sdt>
          <w:sdt>
            <w:sdtPr>
              <w:tag w:val="goog_rdk_10"/>
            </w:sdtPr>
            <w:sdtContent>
              <w:p w:rsidR="00000000" w:rsidDel="00000000" w:rsidP="00000000" w:rsidRDefault="00000000" w:rsidRPr="00000000" w14:paraId="0000000B">
                <w:pPr>
                  <w:spacing w:after="40" w:before="40" w:lineRule="auto"/>
                  <w:rPr>
                    <w:rFonts w:ascii="Calibri" w:cs="Calibri" w:eastAsia="Calibri" w:hAnsi="Calibri"/>
                    <w:color w:val="000000"/>
                    <w:sz w:val="22"/>
                    <w:szCs w:val="22"/>
                  </w:rPr>
                </w:pPr>
                <w:r w:rsidDel="00000000" w:rsidR="00000000" w:rsidRPr="00000000">
                  <w:rPr>
                    <w:rtl w:val="0"/>
                  </w:rPr>
                </w:r>
              </w:p>
            </w:sdtContent>
          </w:sdt>
        </w:tc>
      </w:tr>
      <w:tr>
        <w:trPr>
          <w:trHeight w:val="300" w:hRule="atLeast"/>
        </w:trPr>
        <w:tc>
          <w:tcPr/>
          <w:sdt>
            <w:sdtPr>
              <w:tag w:val="goog_rdk_11"/>
            </w:sdtPr>
            <w:sdtContent>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sdtContent>
          </w:sdt>
          <w:sdt>
            <w:sdtPr>
              <w:tag w:val="goog_rdk_12"/>
            </w:sdtPr>
            <w:sdtContent>
              <w:p w:rsidR="00000000" w:rsidDel="00000000" w:rsidP="00000000" w:rsidRDefault="00000000" w:rsidRPr="00000000" w14:paraId="0000000D">
                <w:pPr>
                  <w:spacing w:after="40" w:before="40" w:lineRule="auto"/>
                  <w:rPr>
                    <w:rFonts w:ascii="Calibri" w:cs="Calibri" w:eastAsia="Calibri" w:hAnsi="Calibri"/>
                    <w:color w:val="000000"/>
                    <w:sz w:val="22"/>
                    <w:szCs w:val="22"/>
                  </w:rPr>
                </w:pPr>
                <w:r w:rsidDel="00000000" w:rsidR="00000000" w:rsidRPr="00000000">
                  <w:rPr>
                    <w:rtl w:val="0"/>
                  </w:rPr>
                </w:r>
              </w:p>
            </w:sdtContent>
          </w:sdt>
        </w:tc>
        <w:tc>
          <w:tcPr/>
          <w:sdt>
            <w:sdtPr>
              <w:tag w:val="goog_rdk_13"/>
            </w:sdtPr>
            <w:sdtContent>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sdtContent>
          </w:sdt>
          <w:sdt>
            <w:sdtPr>
              <w:tag w:val="goog_rdk_14"/>
            </w:sdtPr>
            <w:sdtContent>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w:t>
                </w:r>
                <w:r w:rsidDel="00000000" w:rsidR="00000000" w:rsidRPr="00000000">
                  <w:rPr>
                    <w:rFonts w:ascii="Calibri" w:cs="Calibri" w:eastAsia="Calibri" w:hAnsi="Calibri"/>
                    <w:sz w:val="22"/>
                    <w:szCs w:val="22"/>
                    <w:rtl w:val="0"/>
                  </w:rPr>
                  <w:t xml:space="preserve">osta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address</w:t>
                </w:r>
              </w:p>
            </w:sdtContent>
          </w:sdt>
          <w:sdt>
            <w:sdtPr>
              <w:tag w:val="goog_rdk_15"/>
            </w:sdtPr>
            <w:sdtContent>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sdtContent>
          </w:sdt>
          <w:sdt>
            <w:sdtPr>
              <w:tag w:val="goog_rdk_16"/>
            </w:sdtPr>
            <w:sdtContent>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phone</w:t>
                </w:r>
              </w:p>
            </w:sdtContent>
          </w:sdt>
        </w:tc>
      </w:tr>
      <w:tr>
        <w:trPr>
          <w:trHeight w:val="300" w:hRule="atLeast"/>
        </w:trPr>
        <w:tc>
          <w:tcPr/>
          <w:sdt>
            <w:sdtPr>
              <w:tag w:val="goog_rdk_17"/>
            </w:sdtPr>
            <w:sdtContent>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sdtContent>
          </w:sdt>
        </w:tc>
        <w:tc>
          <w:tcPr/>
          <w:sdt>
            <w:sdtPr>
              <w:tag w:val="goog_rdk_18"/>
            </w:sdtPr>
            <w:sdtContent>
              <w:p w:rsidR="00000000" w:rsidDel="00000000" w:rsidP="00000000" w:rsidRDefault="00000000" w:rsidRPr="00000000" w14:paraId="00000013">
                <w:pPr>
                  <w:rPr/>
                </w:pPr>
                <w:r w:rsidDel="00000000" w:rsidR="00000000" w:rsidRPr="00000000">
                  <w:rPr>
                    <w:rFonts w:ascii="Calibri" w:cs="Calibri" w:eastAsia="Calibri" w:hAnsi="Calibri"/>
                    <w:sz w:val="22"/>
                    <w:szCs w:val="22"/>
                    <w:rtl w:val="0"/>
                  </w:rPr>
                  <w:t xml:space="preserve">Disclosure of non-public registration data may be justified under Art. 6 (1) (f) (legitimate interest), (b) performance of contract, (e) (task carried out in the public interest, official authority), and (d) </w:t>
                </w:r>
                <w:r w:rsidDel="00000000" w:rsidR="00000000" w:rsidRPr="00000000">
                  <w:rPr>
                    <w:shd w:fill="fbe5d5" w:val="clear"/>
                    <w:rtl w:val="0"/>
                  </w:rPr>
                  <w:t xml:space="preserve">p</w:t>
                </w:r>
                <w:r w:rsidDel="00000000" w:rsidR="00000000" w:rsidRPr="00000000">
                  <w:rPr>
                    <w:rFonts w:ascii="Calibri" w:cs="Calibri" w:eastAsia="Calibri" w:hAnsi="Calibri"/>
                    <w:sz w:val="22"/>
                    <w:szCs w:val="22"/>
                    <w:shd w:fill="fbe5d5" w:val="clear"/>
                    <w:rtl w:val="0"/>
                  </w:rPr>
                  <w:t xml:space="preserve">rotect the vital interests of the data subject or of another natural person; The establishment, exercise or defense of legal claims is recognized under GDPR as an exception to the  rules regarding processing of special categories of personal data under Article 9(2)(f), the right to be forgotten (Art. )17, the right to restriction of processing (Art.18(c)), and the right to object (Art. 21).  See also GDPR Recital </w:t>
                </w:r>
                <w:r w:rsidDel="00000000" w:rsidR="00000000" w:rsidRPr="00000000">
                  <w:rPr>
                    <w:rtl w:val="0"/>
                  </w:rPr>
                  <w:t xml:space="preserve">52.</w:t>
                </w:r>
              </w:p>
            </w:sdtContent>
          </w:sdt>
          <w:sdt>
            <w:sdtPr>
              <w:tag w:val="goog_rdk_19"/>
            </w:sdtPr>
            <w:sdtContent>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20"/>
            </w:sdtPr>
            <w:sdtContent>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sdtContent>
          </w:sdt>
        </w:tc>
        <w:tc>
          <w:tcPr/>
          <w:sdt>
            <w:sdtPr>
              <w:tag w:val="goog_rdk_21"/>
            </w:sdtPr>
            <w:sdtContent>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Documentation or information supporting a claim of actionable harm.</w:t>
                </w:r>
              </w:p>
            </w:sdtContent>
          </w:sdt>
        </w:tc>
      </w:tr>
      <w:tr>
        <w:trPr>
          <w:trHeight w:val="300" w:hRule="atLeast"/>
        </w:trPr>
        <w:tc>
          <w:tcPr/>
          <w:sdt>
            <w:sdtPr>
              <w:tag w:val="goog_rdk_22"/>
            </w:sdtPr>
            <w:sdtContent>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sdtContent>
          </w:sdt>
        </w:tc>
        <w:tc>
          <w:tcPr/>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requestor: </w:t>
                </w:r>
              </w:p>
            </w:sdtContent>
          </w:sdt>
          <w:sdt>
            <w:sdtPr>
              <w:tag w:val="goog_rdk_24"/>
            </w:sdtPr>
            <w:sdtContent>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process data in compliance with data protection laws such as GDPR, including secure transmission;</w:t>
                </w:r>
              </w:p>
            </w:sdtContent>
          </w:sdt>
          <w:sdt>
            <w:sdtPr>
              <w:tag w:val="goog_rdk_25"/>
            </w:sdtPr>
            <w:sdtContent>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request current data (no data about the domain name registration’s history);</w:t>
                </w:r>
              </w:p>
            </w:sdtContent>
          </w:sdt>
          <w:sdt>
            <w:sdtPr>
              <w:tag w:val="goog_rdk_26"/>
            </w:sdtPr>
            <w:sdtContent>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direct requests at the entity that is determined through this policy process to be responsible for the disclosure of the requested data;</w:t>
                </w:r>
              </w:p>
            </w:sdtContent>
          </w:sdt>
          <w:sdt>
            <w:sdtPr>
              <w:tag w:val="goog_rdk_27"/>
            </w:sdtPr>
            <w:sdtContent>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representations about use of requested data which may be subject to auditing.</w:t>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controller: </w:t>
                </w:r>
              </w:p>
            </w:sdtContent>
          </w:sdt>
          <w:sdt>
            <w:sdtPr>
              <w:tag w:val="goog_rdk_30"/>
            </w:sdtPr>
            <w:sdtContent>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supply the data requested by the requestor; </w:t>
                </w:r>
              </w:p>
            </w:sdtContent>
          </w:sdt>
        </w:tc>
      </w:tr>
      <w:tr>
        <w:trPr>
          <w:trHeight w:val="300" w:hRule="atLeast"/>
        </w:trPr>
        <w:tc>
          <w:tcPr/>
          <w:sdt>
            <w:sdtPr>
              <w:tag w:val="goog_rdk_31"/>
            </w:sdtPr>
            <w:sdtContent>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sdtContent>
          </w:sdt>
        </w:tc>
        <w:tc>
          <w:tcPr/>
          <w:sdt>
            <w:sdtPr>
              <w:tag w:val="goog_rdk_32"/>
            </w:sdtPr>
            <w:sdtContent>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w:t>
                </w:r>
              </w:p>
            </w:sdtContent>
          </w:sdt>
          <w:sdt>
            <w:sdtPr>
              <w:tag w:val="goog_rdk_33"/>
            </w:sdtPr>
            <w:sdtContent>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Must supply only the data requested by the requestor;</w:t>
                </w:r>
              </w:p>
            </w:sdtContent>
          </w:sdt>
          <w:sdt>
            <w:sdtPr>
              <w:tag w:val="goog_rdk_34"/>
            </w:sdtPr>
            <w:sdtContent>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Must return current data in response to a request;</w:t>
                </w:r>
              </w:p>
            </w:sdtContent>
          </w:sdt>
          <w:sdt>
            <w:sdtPr>
              <w:tag w:val="goog_rdk_35"/>
            </w:sdtPr>
            <w:sdtContent>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take measures to limit the number of requests if it is clear that the requests are not legitimate and of an abusive nature;</w:t>
                </w:r>
              </w:p>
            </w:sdtContent>
          </w:sdt>
          <w:sdt>
            <w:sdtPr>
              <w:tag w:val="goog_rdk_36"/>
            </w:sdtPr>
            <w:sdtContent>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monitor the system and take appropriate action, such as revoking or limiting access, to protect against abuse or misuse of the system.</w:t>
                </w:r>
              </w:p>
            </w:sdtContent>
          </w:sdt>
        </w:tc>
      </w:tr>
      <w:tr>
        <w:trPr>
          <w:trHeight w:val="300" w:hRule="atLeast"/>
        </w:trPr>
        <w:tc>
          <w:tcPr/>
          <w:sdt>
            <w:sdtPr>
              <w:tag w:val="goog_rdk_37"/>
            </w:sdtPr>
            <w:sdtContent>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sdtContent>
          </w:sdt>
        </w:tc>
        <w:tc>
          <w:tcPr/>
          <w:sdt>
            <w:sdtPr>
              <w:tag w:val="goog_rdk_38"/>
            </w:sdtPr>
            <w:sdtContent>
              <w:p w:rsidR="00000000" w:rsidDel="00000000" w:rsidP="00000000" w:rsidRDefault="00000000" w:rsidRPr="00000000" w14:paraId="00000027">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Registered Name Holder (data subject) must have the right: </w:t>
                </w:r>
              </w:p>
            </w:sdtContent>
          </w:sdt>
          <w:sdt>
            <w:sdtPr>
              <w:tag w:val="goog_rdk_39"/>
            </w:sdtPr>
            <w:sdtContent>
              <w:p w:rsidR="00000000" w:rsidDel="00000000" w:rsidP="00000000" w:rsidRDefault="00000000" w:rsidRPr="00000000" w14:paraId="00000028">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confirmation of the processing of personal data relating to them and the communication in an intelligible form of the data processed;</w:t>
                </w:r>
              </w:p>
            </w:sdtContent>
          </w:sdt>
          <w:sdt>
            <w:sdtPr>
              <w:tag w:val="goog_rdk_40"/>
            </w:sdtPr>
            <w:sdtContent>
              <w:p w:rsidR="00000000" w:rsidDel="00000000" w:rsidP="00000000" w:rsidRDefault="00000000" w:rsidRPr="00000000" w14:paraId="00000029">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rectification or erasure, as the case may be, of inaccurate data or data that is being, or has been, processed contrary to the provisions of this Protocol, </w:t>
                </w:r>
                <w:r w:rsidDel="00000000" w:rsidR="00000000" w:rsidRPr="00000000">
                  <w:rPr>
                    <w:rFonts w:ascii="Calibri" w:cs="Calibri" w:eastAsia="Calibri" w:hAnsi="Calibri"/>
                    <w:color w:val="000000"/>
                    <w:sz w:val="22"/>
                    <w:szCs w:val="22"/>
                    <w:highlight w:val="yellow"/>
                    <w:rtl w:val="0"/>
                  </w:rPr>
                  <w:t xml:space="preserve">but in the case of erasure, except where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yellow"/>
                    <w:rtl w:val="0"/>
                  </w:rPr>
                  <w:t xml:space="preserve">that processing is allowed, necessary, or required under applicable law for:</w:t>
                </w:r>
                <w:r w:rsidDel="00000000" w:rsidR="00000000" w:rsidRPr="00000000">
                  <w:rPr>
                    <w:rtl w:val="0"/>
                  </w:rPr>
                </w:r>
              </w:p>
            </w:sdtContent>
          </w:sdt>
          <w:sdt>
            <w:sdtPr>
              <w:tag w:val="goog_rdk_41"/>
            </w:sdtPr>
            <w:sdtContent>
              <w:p w:rsidR="00000000" w:rsidDel="00000000" w:rsidP="00000000" w:rsidRDefault="00000000" w:rsidRPr="00000000" w14:paraId="0000002A">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exercising the right of freedom of expression and information;</w:t>
                </w:r>
                <w:r w:rsidDel="00000000" w:rsidR="00000000" w:rsidRPr="00000000">
                  <w:rPr>
                    <w:rtl w:val="0"/>
                  </w:rPr>
                </w:r>
              </w:p>
            </w:sdtContent>
          </w:sdt>
          <w:sdt>
            <w:sdtPr>
              <w:tag w:val="goog_rdk_42"/>
            </w:sdtPr>
            <w:sdtContent>
              <w:p w:rsidR="00000000" w:rsidDel="00000000" w:rsidP="00000000" w:rsidRDefault="00000000" w:rsidRPr="00000000" w14:paraId="0000002B">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compliance with a legal obligation(s) for the performance of a task carried out in the public interest;</w:t>
                </w:r>
                <w:r w:rsidDel="00000000" w:rsidR="00000000" w:rsidRPr="00000000">
                  <w:rPr>
                    <w:rtl w:val="0"/>
                  </w:rPr>
                </w:r>
              </w:p>
            </w:sdtContent>
          </w:sdt>
          <w:sdt>
            <w:sdtPr>
              <w:tag w:val="goog_rdk_43"/>
            </w:sdtPr>
            <w:sdtContent>
              <w:p w:rsidR="00000000" w:rsidDel="00000000" w:rsidP="00000000" w:rsidRDefault="00000000" w:rsidRPr="00000000" w14:paraId="0000002C">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exercise of official authority vested in the controller;</w:t>
                </w:r>
                <w:r w:rsidDel="00000000" w:rsidR="00000000" w:rsidRPr="00000000">
                  <w:rPr>
                    <w:rtl w:val="0"/>
                  </w:rPr>
                </w:r>
              </w:p>
            </w:sdtContent>
          </w:sdt>
          <w:sdt>
            <w:sdtPr>
              <w:tag w:val="goog_rdk_44"/>
            </w:sdtPr>
            <w:sdtContent>
              <w:p w:rsidR="00000000" w:rsidDel="00000000" w:rsidP="00000000" w:rsidRDefault="00000000" w:rsidRPr="00000000" w14:paraId="0000002D">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reasons of public interest in the area of public health;</w:t>
                </w:r>
                <w:r w:rsidDel="00000000" w:rsidR="00000000" w:rsidRPr="00000000">
                  <w:rPr>
                    <w:rtl w:val="0"/>
                  </w:rPr>
                </w:r>
              </w:p>
            </w:sdtContent>
          </w:sdt>
          <w:sdt>
            <w:sdtPr>
              <w:tag w:val="goog_rdk_45"/>
            </w:sdtPr>
            <w:sdtContent>
              <w:p w:rsidR="00000000" w:rsidDel="00000000" w:rsidP="00000000" w:rsidRDefault="00000000" w:rsidRPr="00000000" w14:paraId="0000002E">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archiving purposes in the public interest, scientific or historical research purposes or statistical purposes; or</w:t>
                </w:r>
                <w:r w:rsidDel="00000000" w:rsidR="00000000" w:rsidRPr="00000000">
                  <w:rPr>
                    <w:rtl w:val="0"/>
                  </w:rPr>
                </w:r>
              </w:p>
            </w:sdtContent>
          </w:sdt>
          <w:sdt>
            <w:sdtPr>
              <w:tag w:val="goog_rdk_46"/>
            </w:sdtPr>
            <w:sdtContent>
              <w:p w:rsidR="00000000" w:rsidDel="00000000" w:rsidP="00000000" w:rsidRDefault="00000000" w:rsidRPr="00000000" w14:paraId="0000002F">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establishment, exercise or defence of legal claims.</w:t>
                </w:r>
                <w:r w:rsidDel="00000000" w:rsidR="00000000" w:rsidRPr="00000000">
                  <w:rPr>
                    <w:rtl w:val="0"/>
                  </w:rPr>
                </w:r>
              </w:p>
            </w:sdtContent>
          </w:sdt>
          <w:sdt>
            <w:sdtPr>
              <w:tag w:val="goog_rdk_47"/>
            </w:sdtPr>
            <w:sdtContent>
              <w:p w:rsidR="00000000" w:rsidDel="00000000" w:rsidP="00000000" w:rsidRDefault="00000000" w:rsidRPr="00000000" w14:paraId="00000030">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dtContent>
          </w:sdt>
          <w:sdt>
            <w:sdtPr>
              <w:tag w:val="goog_rdk_48"/>
            </w:sdtPr>
            <w:sdtContent>
              <w:p w:rsidR="00000000" w:rsidDel="00000000" w:rsidP="00000000" w:rsidRDefault="00000000" w:rsidRPr="00000000" w14:paraId="00000031">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not to be subject to a decision significantly affecting them based solely on an automated processing of data unless this is:</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authorized by law providing appropriate safeguards, including at least the right to obtain human intervention;</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necessary for entering into, or performance of, a contract between the data subject and a data controller;</w:t>
                </w: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authorized by applicable law to which the controller is subject and which also lays down suitable measures to safeguard the data subject's rights and freedoms and legitimate interests; or </w:t>
                </w:r>
                <w:r w:rsidDel="00000000" w:rsidR="00000000" w:rsidRPr="00000000">
                  <w:rPr>
                    <w:rtl w:val="0"/>
                  </w:rPr>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based on the data subject's explicit consent.</w:t>
                </w:r>
                <w:r w:rsidDel="00000000" w:rsidR="00000000" w:rsidRPr="00000000">
                  <w:rPr>
                    <w:rtl w:val="0"/>
                  </w:rPr>
                </w:r>
              </w:p>
            </w:sdtContent>
          </w:sdt>
          <w:sdt>
            <w:sdtPr>
              <w:tag w:val="goog_rdk_53"/>
            </w:sdtPr>
            <w:sdtContent>
              <w:p w:rsidR="00000000" w:rsidDel="00000000" w:rsidP="00000000" w:rsidRDefault="00000000" w:rsidRPr="00000000" w14:paraId="00000036">
                <w:pPr>
                  <w:rPr>
                    <w:rFonts w:ascii="Calibri" w:cs="Calibri" w:eastAsia="Calibri" w:hAnsi="Calibri"/>
                    <w:color w:val="000000"/>
                    <w:sz w:val="22"/>
                    <w:szCs w:val="22"/>
                    <w:highlight w:val="yellow"/>
                  </w:rPr>
                </w:pPr>
                <w:bookmarkStart w:colFirst="0" w:colLast="0" w:name="_heading=h.30j0zll" w:id="0"/>
                <w:bookmarkEnd w:id="0"/>
                <w:r w:rsidDel="00000000" w:rsidR="00000000" w:rsidRPr="00000000">
                  <w:rPr>
                    <w:rtl w:val="0"/>
                  </w:rPr>
                </w:r>
              </w:p>
            </w:sdtContent>
          </w:sdt>
          <w:sdt>
            <w:sdtPr>
              <w:tag w:val="goog_rdk_54"/>
            </w:sdtPr>
            <w:sdtContent>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Note that whether decisions referred to herein can be made shall always take into account whether applicable law allows for explicit consent or processing necessary for reasons of substantial public interest.</w:t>
                </w:r>
                <w:r w:rsidDel="00000000" w:rsidR="00000000" w:rsidRPr="00000000">
                  <w:rPr>
                    <w:rtl w:val="0"/>
                  </w:rPr>
                </w:r>
              </w:p>
            </w:sdtContent>
          </w:sdt>
          <w:sdt>
            <w:sdtPr>
              <w:tag w:val="goog_rdk_55"/>
            </w:sdtPr>
            <w:sdtContent>
              <w:p w:rsidR="00000000" w:rsidDel="00000000" w:rsidP="00000000" w:rsidRDefault="00000000" w:rsidRPr="00000000" w14:paraId="00000038">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dtContent>
          </w:sdt>
          <w:sdt>
            <w:sdtPr>
              <w:tag w:val="goog_rdk_56"/>
            </w:sdtPr>
            <w:sdtContent>
              <w:p w:rsidR="00000000" w:rsidDel="00000000" w:rsidP="00000000" w:rsidRDefault="00000000" w:rsidRPr="00000000" w14:paraId="00000039">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lodge a complaint with the supervisory authority, or authorities,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sdtContent>
          </w:sdt>
          <w:sdt>
            <w:sdtPr>
              <w:tag w:val="goog_rdk_57"/>
            </w:sdtPr>
            <w:sdtContent>
              <w:p w:rsidR="00000000" w:rsidDel="00000000" w:rsidP="00000000" w:rsidRDefault="00000000" w:rsidRPr="00000000" w14:paraId="0000003A">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an effective remedy before an independent and impartial tribunal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sdtContent>
          </w:sdt>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defence of legal claims or (3) processing where it is necessary for the performance of a task carried out for reasons of public interest.</w:t>
                </w:r>
                <w:r w:rsidDel="00000000" w:rsidR="00000000" w:rsidRPr="00000000">
                  <w:rPr>
                    <w:rtl w:val="0"/>
                  </w:rPr>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r>
        <w:trPr>
          <w:trHeight w:val="300" w:hRule="atLeast"/>
        </w:trPr>
        <w:tc>
          <w:tcPr/>
          <w:sdt>
            <w:sdtPr>
              <w:tag w:val="goog_rdk_61"/>
            </w:sdtPr>
            <w:sdtContent>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sdtContent>
          </w:sdt>
        </w:tc>
        <w:tc>
          <w:tcPr/>
          <w:sdt>
            <w:sdtPr>
              <w:tag w:val="goog_rdk_62"/>
            </w:sdtPr>
            <w:sdtContent>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must only refer to current registration data (historical registration data will not be made available via this mechanism).</w:t>
                </w:r>
              </w:p>
            </w:sdtContent>
          </w:sdt>
          <w:sdt>
            <w:sdtPr>
              <w:tag w:val="goog_rdk_63"/>
            </w:sdtPr>
            <w:sdtContent>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parties are only responsible for disclosing nonpublic registration data for the domain names under their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dtContent>
          </w:sdt>
          <w:sdt>
            <w:sdtPr>
              <w:tag w:val="goog_rdk_64"/>
            </w:sdtPr>
            <w:sdtContent>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65"/>
            </w:sdtPr>
            <w:sdtContent>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sdtContent>
          </w:sdt>
        </w:tc>
        <w:tc>
          <w:tcPr/>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or entities seeking accreditation as a member of this user group must also:</w:t>
                </w:r>
              </w:p>
            </w:sdtContent>
          </w:sdt>
          <w:sdt>
            <w:sdtPr>
              <w:tag w:val="goog_rdk_67"/>
            </w:sdtPr>
            <w:sdtContent>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only use the data for the legitimate and lawful purpose described above;</w:t>
                </w:r>
              </w:p>
            </w:sdtContent>
          </w:sdt>
          <w:sdt>
            <w:sdtPr>
              <w:tag w:val="goog_rdk_68"/>
            </w:sdtPr>
            <w:sdtContent>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w:t>
                </w:r>
              </w:p>
            </w:sdtContent>
          </w:sdt>
          <w:sdt>
            <w:sdtPr>
              <w:tag w:val="goog_rdk_69"/>
            </w:sdtPr>
            <w:sdtContent>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terms of service, in which the lawful use of data described;</w:t>
                </w:r>
              </w:p>
            </w:sdtContent>
          </w:sdt>
          <w:sdt>
            <w:sdtPr>
              <w:tag w:val="goog_rdk_70"/>
            </w:sdtPr>
            <w:sdtContent>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abuse of data received; </w:t>
                </w:r>
              </w:p>
            </w:sdtContent>
          </w:sdt>
          <w:sdt>
            <w:sdtPr>
              <w:tag w:val="goog_rdk_71"/>
            </w:sdtPr>
            <w:sdtContent>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subject to de-accreditation if they are found to abuse use of data.</w:t>
                </w:r>
              </w:p>
            </w:sdtContent>
          </w:sdt>
        </w:tc>
      </w:tr>
      <w:tr>
        <w:trPr>
          <w:trHeight w:val="300" w:hRule="atLeast"/>
        </w:trPr>
        <w:tc>
          <w:tcPr/>
          <w:sdt>
            <w:sdtPr>
              <w:tag w:val="goog_rdk_72"/>
            </w:sdtPr>
            <w:sdtContent>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sdtContent>
          </w:sdt>
        </w:tc>
        <w:tc>
          <w:tcPr/>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r>
        <w:trPr>
          <w:trHeight w:val="300" w:hRule="atLeast"/>
        </w:trPr>
        <w:tc>
          <w:tcPr/>
          <w:sdt>
            <w:sdtPr>
              <w:tag w:val="goog_rdk_74"/>
            </w:sdtPr>
            <w:sdtContent>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sdtContent>
          </w:sdt>
        </w:tc>
        <w:tc>
          <w:tcPr/>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Identity of requestor and documentation or information supporting a claim of actionable harm.</w:t>
                </w:r>
              </w:p>
            </w:sdtContent>
          </w:sdt>
        </w:tc>
      </w:tr>
      <w:tr>
        <w:trPr>
          <w:trHeight w:val="300" w:hRule="atLeast"/>
        </w:trPr>
        <w:tc>
          <w:tcPr/>
          <w:sdt>
            <w:sdtPr>
              <w:tag w:val="goog_rdk_76"/>
            </w:sdtPr>
            <w:sdtContent>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calendar day</w:t>
                </w:r>
              </w:p>
            </w:sdtContent>
          </w:sdt>
        </w:tc>
      </w:tr>
      <w:tr>
        <w:trPr>
          <w:trHeight w:val="300" w:hRule="atLeast"/>
        </w:trPr>
        <w:tc>
          <w:tcPr/>
          <w:sdt>
            <w:sdtPr>
              <w:tag w:val="goog_rdk_78"/>
            </w:sdtPr>
            <w:sdtContent>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sdtContent>
          </w:sdt>
        </w:tc>
        <w:tc>
          <w:tcPr/>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Automation is both possible and desirable.</w:t>
                </w:r>
              </w:p>
            </w:sdtContent>
          </w:sdt>
        </w:tc>
      </w:tr>
      <w:tr>
        <w:trPr>
          <w:trHeight w:val="300" w:hRule="atLeast"/>
        </w:trPr>
        <w:tc>
          <w:tcPr/>
          <w:sdt>
            <w:sdtPr>
              <w:tag w:val="goog_rdk_80"/>
            </w:sdtPr>
            <w:sdtContent>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above.</w:t>
                </w:r>
              </w:p>
            </w:sdtContent>
          </w:sdt>
        </w:tc>
      </w:tr>
      <w:tr>
        <w:trPr>
          <w:trHeight w:val="300" w:hRule="atLeast"/>
        </w:trPr>
        <w:tc>
          <w:tcPr/>
          <w:sdt>
            <w:sdtPr>
              <w:tag w:val="goog_rdk_82"/>
            </w:sdtPr>
            <w:sdtContent>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sdtContent>
          </w:sdt>
        </w:tc>
        <w:tc>
          <w:tcPr/>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5 (e) of the GDPR states personal data shall be kept for no longer than is necessary for the purposes for which it is being processed.  </w:t>
                </w:r>
              </w:p>
            </w:sdtContent>
          </w:sdt>
        </w:tc>
      </w:tr>
      <w:tr>
        <w:trPr>
          <w:trHeight w:val="300" w:hRule="atLeast"/>
        </w:trPr>
        <w:tc>
          <w:tcPr/>
          <w:sdt>
            <w:sdtPr>
              <w:tag w:val="goog_rdk_84"/>
            </w:sdtPr>
            <w:sdtContent>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sdtContent>
          </w:sdt>
        </w:tc>
        <w:tc>
          <w:tcPr/>
          <w:sdt>
            <w:sdtPr>
              <w:tag w:val="goog_rdk_85"/>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bl>
    <w:sdt>
      <w:sdtPr>
        <w:tag w:val="goog_rdk_86"/>
      </w:sdtPr>
      <w:sdtContent>
        <w:p w:rsidR="00000000" w:rsidDel="00000000" w:rsidP="00000000" w:rsidRDefault="00000000" w:rsidRPr="00000000" w14:paraId="00000057">
          <w:pPr>
            <w:rPr/>
          </w:pPr>
          <w:r w:rsidDel="00000000" w:rsidR="00000000" w:rsidRPr="00000000">
            <w:rPr>
              <w:rtl w:val="0"/>
            </w:rPr>
          </w:r>
        </w:p>
      </w:sdtContent>
    </w:sdt>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Tahoma"/>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sdtContent>
    </w:sdt>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1AF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GridTable5Dark-Accent2">
    <w:name w:val="Grid Table 5 Dark Accent 2"/>
    <w:basedOn w:val="TableNormal"/>
    <w:uiPriority w:val="50"/>
    <w:rsid w:val="00EE1AF7"/>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paragraph" w:styleId="ListParagraph">
    <w:name w:val="List Paragraph"/>
    <w:basedOn w:val="Normal"/>
    <w:uiPriority w:val="34"/>
    <w:qFormat w:val="1"/>
    <w:rsid w:val="00EE1AF7"/>
    <w:pPr>
      <w:ind w:left="720"/>
      <w:contextualSpacing w:val="1"/>
    </w:pPr>
  </w:style>
  <w:style w:type="paragraph" w:styleId="FootnoteText">
    <w:name w:val="footnote text"/>
    <w:basedOn w:val="Normal"/>
    <w:link w:val="FootnoteTextChar"/>
    <w:uiPriority w:val="99"/>
    <w:semiHidden w:val="1"/>
    <w:unhideWhenUsed w:val="1"/>
    <w:rsid w:val="00EE1AF7"/>
    <w:pPr>
      <w:jc w:val="both"/>
    </w:pPr>
    <w:rPr>
      <w:rFonts w:asciiTheme="minorHAnsi" w:cstheme="minorBidi" w:eastAsiaTheme="minorHAnsi" w:hAnsiTheme="minorHAnsi"/>
      <w:sz w:val="20"/>
      <w:szCs w:val="20"/>
      <w:lang w:val="de-DE"/>
    </w:rPr>
  </w:style>
  <w:style w:type="character" w:styleId="FootnoteTextChar" w:customStyle="1">
    <w:name w:val="Footnote Text Char"/>
    <w:basedOn w:val="DefaultParagraphFont"/>
    <w:link w:val="FootnoteText"/>
    <w:uiPriority w:val="99"/>
    <w:semiHidden w:val="1"/>
    <w:rsid w:val="00EE1AF7"/>
    <w:rPr>
      <w:sz w:val="20"/>
      <w:szCs w:val="20"/>
      <w:lang w:val="de-DE"/>
    </w:rPr>
  </w:style>
  <w:style w:type="character" w:styleId="FootnoteReference">
    <w:name w:val="footnote reference"/>
    <w:basedOn w:val="DefaultParagraphFont"/>
    <w:uiPriority w:val="99"/>
    <w:semiHidden w:val="1"/>
    <w:unhideWhenUsed w:val="1"/>
    <w:rsid w:val="00EE1AF7"/>
    <w:rPr>
      <w:vertAlign w:val="superscript"/>
    </w:rPr>
  </w:style>
  <w:style w:type="paragraph" w:styleId="BalloonText">
    <w:name w:val="Balloon Text"/>
    <w:basedOn w:val="Normal"/>
    <w:link w:val="BalloonTextChar"/>
    <w:uiPriority w:val="99"/>
    <w:semiHidden w:val="1"/>
    <w:unhideWhenUsed w:val="1"/>
    <w:rsid w:val="00794B12"/>
    <w:rPr>
      <w:sz w:val="18"/>
      <w:szCs w:val="18"/>
    </w:rPr>
  </w:style>
  <w:style w:type="character" w:styleId="BalloonTextChar" w:customStyle="1">
    <w:name w:val="Balloon Text Char"/>
    <w:basedOn w:val="DefaultParagraphFont"/>
    <w:link w:val="BalloonText"/>
    <w:uiPriority w:val="99"/>
    <w:semiHidden w:val="1"/>
    <w:rsid w:val="00794B12"/>
    <w:rPr>
      <w:rFonts w:ascii="Times New Roman" w:cs="Times New Roman" w:eastAsia="Times New Roman" w:hAnsi="Times New Roman"/>
      <w:sz w:val="18"/>
      <w:szCs w:val="18"/>
    </w:rPr>
  </w:style>
  <w:style w:type="character" w:styleId="CommentReference">
    <w:name w:val="annotation reference"/>
    <w:basedOn w:val="DefaultParagraphFont"/>
    <w:uiPriority w:val="99"/>
    <w:semiHidden w:val="1"/>
    <w:unhideWhenUsed w:val="1"/>
    <w:rsid w:val="00794B12"/>
    <w:rPr>
      <w:sz w:val="16"/>
      <w:szCs w:val="16"/>
    </w:rPr>
  </w:style>
  <w:style w:type="paragraph" w:styleId="CommentText">
    <w:name w:val="annotation text"/>
    <w:basedOn w:val="Normal"/>
    <w:link w:val="CommentTextChar"/>
    <w:uiPriority w:val="99"/>
    <w:semiHidden w:val="1"/>
    <w:unhideWhenUsed w:val="1"/>
    <w:rsid w:val="00794B12"/>
    <w:rPr>
      <w:sz w:val="20"/>
      <w:szCs w:val="20"/>
    </w:rPr>
  </w:style>
  <w:style w:type="character" w:styleId="CommentTextChar" w:customStyle="1">
    <w:name w:val="Comment Text Char"/>
    <w:basedOn w:val="DefaultParagraphFont"/>
    <w:link w:val="CommentText"/>
    <w:uiPriority w:val="99"/>
    <w:semiHidden w:val="1"/>
    <w:rsid w:val="00794B1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94B12"/>
    <w:rPr>
      <w:b w:val="1"/>
      <w:bCs w:val="1"/>
    </w:rPr>
  </w:style>
  <w:style w:type="character" w:styleId="CommentSubjectChar" w:customStyle="1">
    <w:name w:val="Comment Subject Char"/>
    <w:basedOn w:val="CommentTextChar"/>
    <w:link w:val="CommentSubject"/>
    <w:uiPriority w:val="99"/>
    <w:semiHidden w:val="1"/>
    <w:rsid w:val="00794B12"/>
    <w:rPr>
      <w:rFonts w:ascii="Times New Roman" w:cs="Times New Roman" w:eastAsia="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a0" w:customStyle="1">
    <w:basedOn w:val="TableNormal"/>
    <w:tblPr>
      <w:tblStyleRowBandSize w:val="1"/>
      <w:tblStyleColBandSize w:val="1"/>
      <w:tblCellMar>
        <w:left w:w="115.0" w:type="dxa"/>
        <w:right w:w="115.0" w:type="dxa"/>
      </w:tblCellMar>
    </w:tblPr>
    <w:tcPr>
      <w:shd w:color="auto" w:fill="fbe5d5" w:val="clear"/>
    </w:tcPr>
    <w:tblStylePr w:type="firstRow">
      <w:rPr>
        <w:b w:val="1"/>
        <w:bCs w:val="1"/>
        <w:color w:val="ffffff" w:themeColor="background1"/>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bCs w:val="1"/>
        <w:color w:val="ffffff" w:themeColor="background1"/>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bCs w:val="1"/>
        <w:color w:val="ffffff" w:themeColor="background1"/>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bCs w:val="1"/>
        <w:color w:val="ffffff" w:themeColor="background1"/>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paragraph" w:styleId="NormalWeb">
    <w:name w:val="Normal (Web)"/>
    <w:basedOn w:val="Normal"/>
    <w:uiPriority w:val="99"/>
    <w:unhideWhenUsed w:val="1"/>
    <w:rsid w:val="005575F8"/>
    <w:pPr>
      <w:spacing w:after="100" w:afterAutospacing="1" w:before="100" w:beforeAutospacing="1"/>
    </w:pPr>
  </w:style>
  <w:style w:type="paragraph" w:styleId="Revision">
    <w:name w:val="Revision"/>
    <w:hidden w:val="1"/>
    <w:uiPriority w:val="99"/>
    <w:semiHidden w:val="1"/>
    <w:rsid w:val="008F228F"/>
  </w:style>
  <w:style w:type="character" w:styleId="Hyperlink">
    <w:name w:val="Hyperlink"/>
    <w:basedOn w:val="DefaultParagraphFont"/>
    <w:uiPriority w:val="99"/>
    <w:semiHidden w:val="1"/>
    <w:unhideWhenUsed w:val="1"/>
    <w:rsid w:val="00D90582"/>
    <w:rPr>
      <w:color w:val="0000ff"/>
      <w:u w:val="single"/>
    </w:rPr>
  </w:style>
  <w:style w:type="character" w:styleId="normaltextrun" w:customStyle="1">
    <w:name w:val="normaltextrun"/>
    <w:basedOn w:val="DefaultParagraphFont"/>
    <w:rsid w:val="009C724C"/>
  </w:style>
  <w:style w:type="character" w:styleId="apple-converted-space" w:customStyle="1">
    <w:name w:val="apple-converted-space"/>
    <w:basedOn w:val="DefaultParagraphFont"/>
    <w:rsid w:val="00F6550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y2DCiateq7ZrTFO0FzogYBqKg==">AMUW2mUQfAYNezoP0KvF72rFJWhyVhjOeZ41k3BbDWULUvGiGn34TyYGtpZw65Zj6SHZMU+mIdt8L0agl0ltnPn0Lgui0FPuUvmXfhxlVUuYy3twS8y0sCny2X2M5gRQc2S+FqCcfYC5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2019-07-05T17:15:00Z</dcterms:created>
</cp:coreProperties>
</file>