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93EDC" w14:textId="77777777" w:rsidR="00264169" w:rsidRPr="00374AD6" w:rsidRDefault="00264169" w:rsidP="00264169">
      <w:pPr>
        <w:rPr>
          <w:rFonts w:ascii="Calibri" w:hAnsi="Calibri" w:cs="Calibri"/>
          <w:b/>
          <w:bCs/>
          <w:sz w:val="22"/>
          <w:szCs w:val="22"/>
        </w:rPr>
      </w:pPr>
      <w:r w:rsidRPr="00374AD6">
        <w:rPr>
          <w:rFonts w:ascii="Calibri" w:hAnsi="Calibri" w:cs="Calibri"/>
          <w:b/>
          <w:bCs/>
          <w:sz w:val="22"/>
          <w:szCs w:val="22"/>
        </w:rPr>
        <w:t>Preliminary Rec #7 – Authorization Provider</w:t>
      </w:r>
    </w:p>
    <w:p w14:paraId="022D7390" w14:textId="77777777" w:rsidR="00264169" w:rsidRPr="00374AD6" w:rsidRDefault="00264169" w:rsidP="00374AD6">
      <w:pPr>
        <w:rPr>
          <w:rFonts w:ascii="Calibri" w:hAnsi="Calibri" w:cs="Calibri"/>
          <w:sz w:val="22"/>
          <w:szCs w:val="22"/>
        </w:rPr>
      </w:pPr>
      <w:r w:rsidRPr="00374AD6">
        <w:rPr>
          <w:rFonts w:ascii="Calibri" w:hAnsi="Calibri" w:cs="Calibri"/>
          <w:sz w:val="22"/>
          <w:szCs w:val="22"/>
        </w:rPr>
        <w:t>Consider outstanding items:</w:t>
      </w:r>
    </w:p>
    <w:p w14:paraId="24B715AF" w14:textId="10CAF863" w:rsidR="00264169" w:rsidRDefault="00264169" w:rsidP="00264169">
      <w:pPr>
        <w:pStyle w:val="ListParagraph"/>
        <w:numPr>
          <w:ilvl w:val="4"/>
          <w:numId w:val="2"/>
        </w:numPr>
        <w:ind w:left="270" w:hanging="270"/>
        <w:rPr>
          <w:rFonts w:ascii="Calibri" w:hAnsi="Calibri" w:cs="Calibri"/>
          <w:sz w:val="22"/>
          <w:szCs w:val="22"/>
        </w:rPr>
      </w:pPr>
      <w:r w:rsidRPr="00264169">
        <w:rPr>
          <w:rFonts w:ascii="Calibri" w:hAnsi="Calibri" w:cs="Calibri"/>
          <w:sz w:val="22"/>
          <w:szCs w:val="22"/>
        </w:rPr>
        <w:t>“less invasive” retain reference or not (paragraph 5).</w:t>
      </w:r>
    </w:p>
    <w:p w14:paraId="55A79D78" w14:textId="059E4765" w:rsidR="00264169" w:rsidRDefault="00264169" w:rsidP="00264169">
      <w:pPr>
        <w:rPr>
          <w:rFonts w:ascii="Calibri" w:hAnsi="Calibri" w:cs="Calibri"/>
          <w:sz w:val="22"/>
          <w:szCs w:val="22"/>
        </w:rPr>
      </w:pPr>
      <w:r>
        <w:rPr>
          <w:rFonts w:ascii="Calibri" w:hAnsi="Calibri" w:cs="Calibri"/>
          <w:sz w:val="22"/>
          <w:szCs w:val="22"/>
        </w:rPr>
        <w:t>Comments provided:</w:t>
      </w:r>
    </w:p>
    <w:p w14:paraId="2425A1D8" w14:textId="77777777" w:rsidR="00264169" w:rsidRDefault="00264169" w:rsidP="00264169">
      <w:pPr>
        <w:rPr>
          <w:rFonts w:ascii="Calibri" w:hAnsi="Calibri" w:cs="Calibri"/>
          <w:sz w:val="22"/>
          <w:szCs w:val="22"/>
        </w:rPr>
      </w:pPr>
    </w:p>
    <w:p w14:paraId="3E82D6F0" w14:textId="77777777" w:rsidR="00264169" w:rsidRDefault="00264169" w:rsidP="00264169">
      <w:pPr>
        <w:pStyle w:val="ListParagraph"/>
        <w:numPr>
          <w:ilvl w:val="0"/>
          <w:numId w:val="4"/>
        </w:numPr>
        <w:spacing w:before="0" w:beforeAutospacing="0" w:after="0" w:afterAutospacing="0"/>
        <w:rPr>
          <w:rFonts w:ascii="Calibri" w:hAnsi="Calibri" w:cs="Calibri"/>
          <w:sz w:val="22"/>
          <w:szCs w:val="22"/>
        </w:rPr>
      </w:pPr>
      <w:r w:rsidRPr="00264169">
        <w:rPr>
          <w:rFonts w:ascii="Calibri" w:hAnsi="Calibri" w:cs="Calibri"/>
          <w:sz w:val="22"/>
          <w:szCs w:val="22"/>
        </w:rPr>
        <w:t>Matthew Crossman: I went back and tracked down the source for the "invasive" language. It is in ICO guidance (as intrusive rather than invasive): "When is processing 'necessary'?</w:t>
      </w:r>
      <w:r w:rsidRPr="00264169">
        <w:rPr>
          <w:rFonts w:ascii="Calibri" w:hAnsi="Calibri" w:cs="Calibri"/>
          <w:sz w:val="22"/>
          <w:szCs w:val="22"/>
        </w:rPr>
        <w:br/>
        <w:t>Many of the lawful bases for processing depend on the processing being “necessary”. This does not mean that processing has to be absolutely essential. However, it must be more than just useful, and more than just standard practice. It must be a targeted and proportionate way of achieving a specific purpose. The lawful basis will not apply if you can reasonably achieve the purpose by some other less intrusive means, or by processing less data."</w:t>
      </w:r>
      <w:hyperlink r:id="rId5" w:tgtFrame="_blank" w:history="1">
        <w:r w:rsidRPr="00264169">
          <w:rPr>
            <w:rFonts w:ascii="Calibri" w:hAnsi="Calibri" w:cs="Calibri"/>
            <w:color w:val="0000FF"/>
            <w:sz w:val="22"/>
            <w:szCs w:val="22"/>
            <w:u w:val="single"/>
          </w:rPr>
          <w:t>https://ico.org.uk/for-organisations/guide-to-data-protection/guide-to-the-general-data-protection-regulation-gdpr/lawful-basis-for-processing/</w:t>
        </w:r>
      </w:hyperlink>
    </w:p>
    <w:p w14:paraId="23FF25B6" w14:textId="0D83F984" w:rsidR="00264169" w:rsidRPr="00264169" w:rsidRDefault="00264169" w:rsidP="00264169">
      <w:pPr>
        <w:pStyle w:val="ListParagraph"/>
        <w:numPr>
          <w:ilvl w:val="0"/>
          <w:numId w:val="4"/>
        </w:numPr>
        <w:spacing w:before="0" w:beforeAutospacing="0" w:after="0" w:afterAutospacing="0"/>
        <w:rPr>
          <w:rFonts w:ascii="Calibri" w:hAnsi="Calibri" w:cs="Calibri"/>
          <w:sz w:val="22"/>
          <w:szCs w:val="22"/>
        </w:rPr>
      </w:pPr>
      <w:r w:rsidRPr="00264169">
        <w:rPr>
          <w:rFonts w:ascii="Calibri" w:hAnsi="Calibri" w:cs="Calibri"/>
          <w:sz w:val="22"/>
          <w:szCs w:val="22"/>
        </w:rPr>
        <w:t>NCSG: Suggest rewording to: "Would other available data sources achieve the same effect</w:t>
      </w:r>
      <w:r w:rsidRPr="00264169">
        <w:t>?</w:t>
      </w:r>
    </w:p>
    <w:p w14:paraId="64356EFE" w14:textId="1B0800FE" w:rsidR="00264169" w:rsidRDefault="00264169" w:rsidP="00264169">
      <w:pPr>
        <w:pStyle w:val="ListParagraph"/>
        <w:numPr>
          <w:ilvl w:val="0"/>
          <w:numId w:val="4"/>
        </w:numPr>
        <w:spacing w:before="0" w:beforeAutospacing="0" w:after="0" w:afterAutospacing="0"/>
        <w:rPr>
          <w:rFonts w:ascii="Calibri" w:hAnsi="Calibri" w:cs="Calibri"/>
          <w:sz w:val="22"/>
          <w:szCs w:val="22"/>
        </w:rPr>
      </w:pPr>
      <w:r w:rsidRPr="00264169">
        <w:rPr>
          <w:rFonts w:ascii="Calibri" w:hAnsi="Calibri" w:cs="Calibri"/>
          <w:sz w:val="22"/>
          <w:szCs w:val="22"/>
        </w:rPr>
        <w:t xml:space="preserve">Franck </w:t>
      </w:r>
      <w:proofErr w:type="spellStart"/>
      <w:r w:rsidRPr="00264169">
        <w:rPr>
          <w:rFonts w:ascii="Calibri" w:hAnsi="Calibri" w:cs="Calibri"/>
          <w:sz w:val="22"/>
          <w:szCs w:val="22"/>
        </w:rPr>
        <w:t>Journoud</w:t>
      </w:r>
      <w:proofErr w:type="spellEnd"/>
      <w:r w:rsidRPr="00264169">
        <w:rPr>
          <w:rFonts w:ascii="Calibri" w:hAnsi="Calibri" w:cs="Calibri"/>
          <w:sz w:val="22"/>
          <w:szCs w:val="22"/>
        </w:rPr>
        <w:t>: The SSAD policy should leverage the work done for the use cases, which detailed which data fields are necessary for each legitimate purpose. The authorization provider won't have that expertise (because they are not themselves cybercrime investigators, or consumer protection investigators, etc.)</w:t>
      </w:r>
    </w:p>
    <w:p w14:paraId="3E029F19" w14:textId="77777777" w:rsidR="00264169" w:rsidRDefault="00264169" w:rsidP="00264169">
      <w:pPr>
        <w:ind w:left="360"/>
        <w:rPr>
          <w:rFonts w:ascii="Calibri" w:hAnsi="Calibri" w:cs="Calibri"/>
          <w:sz w:val="22"/>
          <w:szCs w:val="22"/>
        </w:rPr>
      </w:pPr>
    </w:p>
    <w:p w14:paraId="1D1AC10E" w14:textId="52BE9F21" w:rsidR="00264169" w:rsidRDefault="00264169" w:rsidP="00264169">
      <w:pPr>
        <w:ind w:left="360"/>
        <w:rPr>
          <w:rFonts w:ascii="Calibri" w:hAnsi="Calibri" w:cs="Calibri"/>
          <w:sz w:val="22"/>
          <w:szCs w:val="22"/>
        </w:rPr>
      </w:pPr>
      <w:r>
        <w:rPr>
          <w:rFonts w:ascii="Calibri" w:hAnsi="Calibri" w:cs="Calibri"/>
          <w:sz w:val="22"/>
          <w:szCs w:val="22"/>
        </w:rPr>
        <w:t>Leadership recommendation:</w:t>
      </w:r>
    </w:p>
    <w:p w14:paraId="75EB8FA6" w14:textId="77777777" w:rsidR="00264169" w:rsidRDefault="00264169" w:rsidP="00264169">
      <w:pPr>
        <w:ind w:left="360"/>
        <w:rPr>
          <w:rFonts w:ascii="Calibri" w:hAnsi="Calibri" w:cs="Calibri"/>
          <w:sz w:val="22"/>
          <w:szCs w:val="22"/>
        </w:rPr>
      </w:pPr>
    </w:p>
    <w:p w14:paraId="655B98B9" w14:textId="37C74E98" w:rsidR="00264169" w:rsidRPr="00264169" w:rsidRDefault="00264169" w:rsidP="00264169">
      <w:pPr>
        <w:pStyle w:val="ListParagraph"/>
        <w:numPr>
          <w:ilvl w:val="0"/>
          <w:numId w:val="5"/>
        </w:numPr>
        <w:spacing w:before="0" w:beforeAutospacing="0" w:after="0" w:afterAutospacing="0"/>
      </w:pPr>
      <w:r w:rsidRPr="00264169">
        <w:rPr>
          <w:rFonts w:ascii="Calibri" w:hAnsi="Calibri" w:cs="Calibri"/>
          <w:sz w:val="22"/>
          <w:szCs w:val="22"/>
        </w:rPr>
        <w:t>Retain “</w:t>
      </w:r>
      <w:r w:rsidRPr="00264169">
        <w:rPr>
          <w:rFonts w:ascii="Calibri" w:eastAsiaTheme="minorHAnsi" w:hAnsi="Calibri" w:cs="Calibri"/>
          <w:sz w:val="22"/>
          <w:szCs w:val="22"/>
        </w:rPr>
        <w:t>Consider whether less invasive means would achieve the same goal”</w:t>
      </w:r>
      <w:r w:rsidRPr="00264169">
        <w:rPr>
          <w:rFonts w:ascii="Calibri" w:hAnsi="Calibri" w:cs="Calibri"/>
          <w:sz w:val="22"/>
          <w:szCs w:val="22"/>
        </w:rPr>
        <w:t xml:space="preserve"> but add footnote to ICO guidance to provide appropriate context</w:t>
      </w:r>
      <w:r w:rsidRPr="00264169">
        <w:rPr>
          <w:rFonts w:ascii="Calibri" w:eastAsiaTheme="minorHAnsi" w:hAnsi="Calibri" w:cs="Calibri"/>
          <w:sz w:val="22"/>
          <w:szCs w:val="22"/>
        </w:rPr>
        <w:t>.</w:t>
      </w:r>
    </w:p>
    <w:p w14:paraId="1EC7A129" w14:textId="741EE2E6" w:rsidR="00264169" w:rsidRDefault="00264169" w:rsidP="00264169">
      <w:pPr>
        <w:pStyle w:val="ListParagraph"/>
        <w:numPr>
          <w:ilvl w:val="4"/>
          <w:numId w:val="2"/>
        </w:numPr>
        <w:ind w:left="270" w:hanging="270"/>
        <w:rPr>
          <w:rFonts w:ascii="Calibri" w:hAnsi="Calibri" w:cs="Calibri"/>
          <w:sz w:val="22"/>
          <w:szCs w:val="22"/>
        </w:rPr>
      </w:pPr>
      <w:r w:rsidRPr="00264169">
        <w:rPr>
          <w:rFonts w:ascii="Calibri" w:hAnsi="Calibri" w:cs="Calibri"/>
          <w:sz w:val="22"/>
          <w:szCs w:val="22"/>
        </w:rPr>
        <w:t>Geographic application (paragraph 6, sub-bullet 2 and 3)</w:t>
      </w:r>
    </w:p>
    <w:p w14:paraId="0597A04B" w14:textId="7D9CAB78" w:rsidR="00264169" w:rsidRDefault="00264169" w:rsidP="00264169">
      <w:pPr>
        <w:rPr>
          <w:rFonts w:ascii="Calibri" w:hAnsi="Calibri" w:cs="Calibri"/>
          <w:sz w:val="22"/>
          <w:szCs w:val="22"/>
        </w:rPr>
      </w:pPr>
      <w:r>
        <w:rPr>
          <w:rFonts w:ascii="Calibri" w:hAnsi="Calibri" w:cs="Calibri"/>
          <w:sz w:val="22"/>
          <w:szCs w:val="22"/>
        </w:rPr>
        <w:t>Background:</w:t>
      </w:r>
    </w:p>
    <w:p w14:paraId="7E6B0F8E" w14:textId="185C4AE2" w:rsidR="00264169" w:rsidRDefault="00264169" w:rsidP="00BC2670">
      <w:pPr>
        <w:pStyle w:val="Default"/>
        <w:numPr>
          <w:ilvl w:val="0"/>
          <w:numId w:val="5"/>
        </w:numPr>
        <w:rPr>
          <w:sz w:val="23"/>
          <w:szCs w:val="23"/>
        </w:rPr>
      </w:pPr>
      <w:r>
        <w:rPr>
          <w:sz w:val="22"/>
          <w:szCs w:val="22"/>
        </w:rPr>
        <w:t>In phase 1, the EPDP recommended the following: “</w:t>
      </w:r>
      <w:r w:rsidR="00BC2670">
        <w:rPr>
          <w:sz w:val="23"/>
          <w:szCs w:val="23"/>
        </w:rPr>
        <w:t xml:space="preserve">The EPDP Team recommends that Registrars and Registry Operators are permitted to differentiate between registrants on a geographic </w:t>
      </w:r>
      <w:proofErr w:type="gramStart"/>
      <w:r w:rsidR="00BC2670">
        <w:rPr>
          <w:sz w:val="23"/>
          <w:szCs w:val="23"/>
        </w:rPr>
        <w:t>basis, but</w:t>
      </w:r>
      <w:proofErr w:type="gramEnd"/>
      <w:r w:rsidR="00BC2670">
        <w:rPr>
          <w:sz w:val="23"/>
          <w:szCs w:val="23"/>
        </w:rPr>
        <w:t xml:space="preserve"> are not obligated to do so.” But this recommendation did not obtain the support of IPC / BC, SSAC and ALAC. The EPDP Team did have extensive discussions on whether to carry out a similar study as was recommended in relation to legal/natural, but this did not obtain sufficient support.</w:t>
      </w:r>
    </w:p>
    <w:p w14:paraId="3795C9E4" w14:textId="21FD5FC8" w:rsidR="00BC2670" w:rsidRDefault="00BC2670" w:rsidP="00BC2670">
      <w:pPr>
        <w:pStyle w:val="Default"/>
        <w:numPr>
          <w:ilvl w:val="0"/>
          <w:numId w:val="5"/>
        </w:numPr>
        <w:rPr>
          <w:sz w:val="23"/>
          <w:szCs w:val="23"/>
        </w:rPr>
      </w:pPr>
      <w:r>
        <w:rPr>
          <w:sz w:val="23"/>
          <w:szCs w:val="23"/>
        </w:rPr>
        <w:t>In its consideration of the recommendations, the ICANN Board provided the following direction: “I</w:t>
      </w:r>
      <w:r w:rsidRPr="00BC2670">
        <w:rPr>
          <w:sz w:val="23"/>
          <w:szCs w:val="23"/>
        </w:rPr>
        <w:t>n adopting this Recommendation, the Board notes its understanding that there was divergence in the EPDP about the value of a study to inform the policy, and that requests for such a study have been presented to the Board. The Board directs the CEO and org to discuss with the EPDP Phase 2 Team the merits of a study to examine the feasibility and public interest implications of distinguishing between registrants on a geographic basis based on the application of GDPR.</w:t>
      </w:r>
      <w:r>
        <w:rPr>
          <w:sz w:val="23"/>
          <w:szCs w:val="23"/>
        </w:rPr>
        <w:t xml:space="preserve"> </w:t>
      </w:r>
      <w:r w:rsidRPr="00BC2670">
        <w:rPr>
          <w:sz w:val="23"/>
          <w:szCs w:val="23"/>
        </w:rPr>
        <w:t>Further action should be guided by the conversations within the EPDP Phase 2 Team</w:t>
      </w:r>
      <w:r>
        <w:rPr>
          <w:sz w:val="23"/>
          <w:szCs w:val="23"/>
        </w:rPr>
        <w:t>”</w:t>
      </w:r>
      <w:r w:rsidRPr="00BC2670">
        <w:rPr>
          <w:sz w:val="23"/>
          <w:szCs w:val="23"/>
        </w:rPr>
        <w:t>.</w:t>
      </w:r>
    </w:p>
    <w:p w14:paraId="105035BB" w14:textId="7305E2DC" w:rsidR="00BC2670" w:rsidRPr="00BC2670" w:rsidRDefault="00BC2670" w:rsidP="00BC2670">
      <w:pPr>
        <w:pStyle w:val="Default"/>
        <w:numPr>
          <w:ilvl w:val="0"/>
          <w:numId w:val="5"/>
        </w:numPr>
        <w:rPr>
          <w:sz w:val="23"/>
          <w:szCs w:val="23"/>
        </w:rPr>
      </w:pPr>
      <w:r>
        <w:rPr>
          <w:sz w:val="23"/>
          <w:szCs w:val="23"/>
        </w:rPr>
        <w:lastRenderedPageBreak/>
        <w:t xml:space="preserve">It is rare for consensus policy recommendations to not be generally applicable – the underlying premise of consensus policies is that the provide predictability and requirements across all contracted parties. </w:t>
      </w:r>
    </w:p>
    <w:p w14:paraId="07AA0765" w14:textId="54639971" w:rsidR="00264169" w:rsidRDefault="00264169" w:rsidP="00264169">
      <w:pPr>
        <w:rPr>
          <w:rFonts w:ascii="Calibri" w:hAnsi="Calibri" w:cs="Calibri"/>
          <w:sz w:val="22"/>
          <w:szCs w:val="22"/>
        </w:rPr>
      </w:pPr>
    </w:p>
    <w:p w14:paraId="2E6102F4" w14:textId="77777777" w:rsidR="00BC2670" w:rsidRDefault="00BC2670" w:rsidP="00BC2670">
      <w:pPr>
        <w:ind w:left="360"/>
        <w:rPr>
          <w:rFonts w:ascii="Calibri" w:hAnsi="Calibri" w:cs="Calibri"/>
          <w:sz w:val="22"/>
          <w:szCs w:val="22"/>
        </w:rPr>
      </w:pPr>
      <w:r>
        <w:rPr>
          <w:rFonts w:ascii="Calibri" w:hAnsi="Calibri" w:cs="Calibri"/>
          <w:sz w:val="22"/>
          <w:szCs w:val="22"/>
        </w:rPr>
        <w:t>Leadership recommendation:</w:t>
      </w:r>
    </w:p>
    <w:p w14:paraId="18FBE164" w14:textId="184274C1" w:rsidR="002C52A6" w:rsidRDefault="002C52A6" w:rsidP="00264169">
      <w:pPr>
        <w:pStyle w:val="ListParagraph"/>
        <w:numPr>
          <w:ilvl w:val="0"/>
          <w:numId w:val="7"/>
        </w:numPr>
        <w:rPr>
          <w:rFonts w:ascii="Calibri" w:hAnsi="Calibri" w:cs="Calibri"/>
          <w:sz w:val="22"/>
          <w:szCs w:val="22"/>
        </w:rPr>
      </w:pPr>
      <w:r>
        <w:rPr>
          <w:rFonts w:ascii="Calibri" w:hAnsi="Calibri" w:cs="Calibri"/>
          <w:sz w:val="22"/>
          <w:szCs w:val="22"/>
        </w:rPr>
        <w:t>“</w:t>
      </w:r>
      <w:r w:rsidRPr="002C52A6">
        <w:rPr>
          <w:rFonts w:ascii="Calibri" w:hAnsi="Calibri" w:cs="Calibri"/>
          <w:sz w:val="22"/>
          <w:szCs w:val="22"/>
        </w:rPr>
        <w:t>If the requested data contains personal data the authorization provider should consider if the balancing test as described in paragraph 7 below is applicable and proceed accordingly.</w:t>
      </w:r>
      <w:r>
        <w:rPr>
          <w:rFonts w:ascii="Calibri" w:hAnsi="Calibri" w:cs="Calibri"/>
          <w:sz w:val="22"/>
          <w:szCs w:val="22"/>
        </w:rPr>
        <w:t>”</w:t>
      </w:r>
      <w:bookmarkStart w:id="0" w:name="_GoBack"/>
      <w:bookmarkEnd w:id="0"/>
    </w:p>
    <w:p w14:paraId="0382075C" w14:textId="71B3C790" w:rsidR="00BC2670" w:rsidRPr="00BC2670" w:rsidRDefault="00BC2670" w:rsidP="00264169">
      <w:pPr>
        <w:pStyle w:val="ListParagraph"/>
        <w:numPr>
          <w:ilvl w:val="0"/>
          <w:numId w:val="7"/>
        </w:numPr>
        <w:rPr>
          <w:rFonts w:ascii="Calibri" w:hAnsi="Calibri" w:cs="Calibri"/>
          <w:sz w:val="22"/>
          <w:szCs w:val="22"/>
        </w:rPr>
      </w:pPr>
      <w:r>
        <w:rPr>
          <w:rFonts w:ascii="Calibri" w:hAnsi="Calibri" w:cs="Calibri"/>
          <w:sz w:val="22"/>
          <w:szCs w:val="22"/>
        </w:rPr>
        <w:t xml:space="preserve">Commence discussions with ICANN Org on </w:t>
      </w:r>
      <w:r w:rsidRPr="00BC2670">
        <w:rPr>
          <w:rFonts w:ascii="Calibri" w:eastAsiaTheme="minorHAnsi" w:hAnsi="Calibri" w:cs="Calibri"/>
          <w:sz w:val="23"/>
          <w:szCs w:val="23"/>
        </w:rPr>
        <w:t>the merits of a study to examine the feasibility and public interest implications of distinguishing between registrants on a geographic basis based on the application of GDPR</w:t>
      </w:r>
      <w:r>
        <w:rPr>
          <w:rFonts w:ascii="Calibri" w:eastAsiaTheme="minorHAnsi" w:hAnsi="Calibri" w:cs="Calibri"/>
          <w:sz w:val="23"/>
          <w:szCs w:val="23"/>
        </w:rPr>
        <w:t xml:space="preserve">. </w:t>
      </w:r>
    </w:p>
    <w:p w14:paraId="6B7E706B" w14:textId="2A89B50E" w:rsidR="00264169" w:rsidRDefault="00264169" w:rsidP="00BC2670">
      <w:pPr>
        <w:pStyle w:val="ListParagraph"/>
        <w:numPr>
          <w:ilvl w:val="4"/>
          <w:numId w:val="2"/>
        </w:numPr>
        <w:ind w:left="270" w:hanging="270"/>
        <w:rPr>
          <w:rFonts w:asciiTheme="minorHAnsi" w:hAnsiTheme="minorHAnsi" w:cstheme="minorHAnsi"/>
          <w:sz w:val="22"/>
          <w:szCs w:val="22"/>
        </w:rPr>
      </w:pPr>
      <w:r>
        <w:rPr>
          <w:rFonts w:asciiTheme="minorHAnsi" w:hAnsiTheme="minorHAnsi" w:cstheme="minorHAnsi"/>
          <w:sz w:val="22"/>
          <w:szCs w:val="22"/>
        </w:rPr>
        <w:t>Must/should/may (paragraph 7)</w:t>
      </w:r>
    </w:p>
    <w:p w14:paraId="64525733" w14:textId="77777777" w:rsidR="00186847" w:rsidRDefault="00186847" w:rsidP="00186847">
      <w:pPr>
        <w:pStyle w:val="ListParagraph"/>
        <w:numPr>
          <w:ilvl w:val="0"/>
          <w:numId w:val="7"/>
        </w:numPr>
        <w:rPr>
          <w:rFonts w:ascii="Calibri" w:hAnsi="Calibri" w:cs="Calibri"/>
          <w:sz w:val="22"/>
          <w:szCs w:val="22"/>
        </w:rPr>
      </w:pPr>
      <w:r w:rsidRPr="00186847">
        <w:rPr>
          <w:rFonts w:ascii="Calibri" w:hAnsi="Calibri" w:cs="Calibri"/>
          <w:sz w:val="22"/>
          <w:szCs w:val="22"/>
        </w:rPr>
        <w:t>Current language: “If, based on consideration of the above factors, the authorization provider determines that the requestor’s legitimate interest is not outweighed by the interests or fundamental rights and freedoms of the data subject, the data [should (if data is not disclosed a rationale should be provided to explain why)/may/must (unless there are other extenuating circumstances)] be disclosed.  The rationale for the approval should be documented</w:t>
      </w:r>
      <w:r>
        <w:rPr>
          <w:rFonts w:ascii="Calibri" w:hAnsi="Calibri" w:cs="Calibri"/>
          <w:sz w:val="22"/>
          <w:szCs w:val="22"/>
        </w:rPr>
        <w:t>”</w:t>
      </w:r>
      <w:r w:rsidRPr="00186847">
        <w:rPr>
          <w:rFonts w:ascii="Calibri" w:hAnsi="Calibri" w:cs="Calibri"/>
          <w:sz w:val="22"/>
          <w:szCs w:val="22"/>
        </w:rPr>
        <w:t>.</w:t>
      </w:r>
    </w:p>
    <w:p w14:paraId="5F1AAA39" w14:textId="6E94FA47" w:rsidR="00186847" w:rsidRPr="00186847" w:rsidRDefault="00186847" w:rsidP="00186847">
      <w:pPr>
        <w:pStyle w:val="ListParagraph"/>
        <w:numPr>
          <w:ilvl w:val="0"/>
          <w:numId w:val="7"/>
        </w:numPr>
        <w:rPr>
          <w:rFonts w:ascii="Calibri" w:hAnsi="Calibri" w:cs="Calibri"/>
          <w:sz w:val="22"/>
          <w:szCs w:val="22"/>
        </w:rPr>
      </w:pPr>
      <w:r w:rsidRPr="00186847">
        <w:rPr>
          <w:rFonts w:ascii="Calibri" w:hAnsi="Calibri" w:cs="Calibri"/>
          <w:sz w:val="22"/>
          <w:szCs w:val="22"/>
        </w:rPr>
        <w:t>Question put forward to ICANN Org: Could ICANN org provide detail on how/if it would enforce a policy with a “should” directive? By way of example, how would the following text be enforced? “If, based on consideration of the above factors, the authorization provider determines that the requestor’s legitimate interest is not outweighed by the interests or fundamental rights and freedoms of the data subject, the data should be disclosed.”</w:t>
      </w:r>
    </w:p>
    <w:p w14:paraId="69992142" w14:textId="77777777" w:rsidR="00186847" w:rsidRPr="00186847" w:rsidRDefault="00186847" w:rsidP="00186847">
      <w:pPr>
        <w:rPr>
          <w:rFonts w:ascii="Calibri" w:hAnsi="Calibri" w:cs="Calibri"/>
          <w:sz w:val="22"/>
          <w:szCs w:val="22"/>
        </w:rPr>
      </w:pPr>
      <w:r w:rsidRPr="00186847">
        <w:rPr>
          <w:rFonts w:ascii="Calibri" w:hAnsi="Calibri" w:cs="Calibri"/>
          <w:sz w:val="22"/>
          <w:szCs w:val="22"/>
        </w:rPr>
        <w:t>Leadership recommendation:</w:t>
      </w:r>
    </w:p>
    <w:p w14:paraId="602F43A7" w14:textId="0A045F12" w:rsidR="00BC2670" w:rsidRPr="00186847" w:rsidRDefault="00186847" w:rsidP="00BC2670">
      <w:pPr>
        <w:pStyle w:val="ListParagraph"/>
        <w:numPr>
          <w:ilvl w:val="0"/>
          <w:numId w:val="7"/>
        </w:numPr>
        <w:rPr>
          <w:rFonts w:ascii="Calibri" w:hAnsi="Calibri" w:cs="Calibri"/>
          <w:sz w:val="22"/>
          <w:szCs w:val="22"/>
        </w:rPr>
      </w:pPr>
      <w:r>
        <w:rPr>
          <w:rFonts w:ascii="Calibri" w:hAnsi="Calibri" w:cs="Calibri"/>
          <w:sz w:val="22"/>
          <w:szCs w:val="22"/>
        </w:rPr>
        <w:t>[Assuming that ‘should’ cannot be enforced]: Update language to read: “</w:t>
      </w:r>
      <w:r w:rsidRPr="00186847">
        <w:rPr>
          <w:rFonts w:ascii="Calibri" w:hAnsi="Calibri" w:cs="Calibri"/>
          <w:sz w:val="22"/>
          <w:szCs w:val="22"/>
        </w:rPr>
        <w:t>If, based on consideration of the above factors, the authorization provider determines that the requestor’s legitimate interest is not outweighed by the interests or fundamental rights and freedoms of the data subject, the data</w:t>
      </w:r>
      <w:r>
        <w:rPr>
          <w:rFonts w:ascii="Calibri" w:hAnsi="Calibri" w:cs="Calibri"/>
          <w:sz w:val="22"/>
          <w:szCs w:val="22"/>
        </w:rPr>
        <w:t xml:space="preserve"> </w:t>
      </w:r>
      <w:r w:rsidRPr="00186847">
        <w:rPr>
          <w:rFonts w:ascii="Calibri" w:hAnsi="Calibri" w:cs="Calibri"/>
          <w:b/>
          <w:bCs/>
          <w:sz w:val="22"/>
          <w:szCs w:val="22"/>
        </w:rPr>
        <w:t>is expected</w:t>
      </w:r>
      <w:r>
        <w:rPr>
          <w:rFonts w:ascii="Calibri" w:hAnsi="Calibri" w:cs="Calibri"/>
          <w:b/>
          <w:bCs/>
          <w:sz w:val="22"/>
          <w:szCs w:val="22"/>
        </w:rPr>
        <w:t xml:space="preserve"> to</w:t>
      </w:r>
      <w:r>
        <w:rPr>
          <w:rFonts w:ascii="Calibri" w:hAnsi="Calibri" w:cs="Calibri"/>
          <w:sz w:val="22"/>
          <w:szCs w:val="22"/>
        </w:rPr>
        <w:t xml:space="preserve"> </w:t>
      </w:r>
      <w:r w:rsidRPr="00186847">
        <w:rPr>
          <w:rFonts w:ascii="Calibri" w:hAnsi="Calibri" w:cs="Calibri"/>
          <w:sz w:val="22"/>
          <w:szCs w:val="22"/>
        </w:rPr>
        <w:t>be disclosed. The rationale for the approval should be documented</w:t>
      </w:r>
      <w:r>
        <w:rPr>
          <w:rFonts w:ascii="Calibri" w:hAnsi="Calibri" w:cs="Calibri"/>
          <w:sz w:val="22"/>
          <w:szCs w:val="22"/>
        </w:rPr>
        <w:t xml:space="preserve">. </w:t>
      </w:r>
      <w:r>
        <w:rPr>
          <w:rFonts w:ascii="Calibri" w:hAnsi="Calibri" w:cs="Calibri"/>
          <w:b/>
          <w:bCs/>
          <w:sz w:val="22"/>
          <w:szCs w:val="22"/>
        </w:rPr>
        <w:t>If all other requirements for disclosure have also been met, the data MUST be disclosed.</w:t>
      </w:r>
    </w:p>
    <w:p w14:paraId="771640A4" w14:textId="77777777" w:rsidR="00374AD6" w:rsidRPr="00374AD6" w:rsidRDefault="00374AD6" w:rsidP="00374AD6">
      <w:pPr>
        <w:rPr>
          <w:rFonts w:cstheme="minorHAnsi"/>
          <w:color w:val="000000"/>
          <w:sz w:val="22"/>
          <w:szCs w:val="22"/>
        </w:rPr>
      </w:pPr>
      <w:r w:rsidRPr="00374AD6">
        <w:rPr>
          <w:rFonts w:cstheme="minorHAnsi"/>
          <w:b/>
          <w:bCs/>
          <w:sz w:val="22"/>
          <w:szCs w:val="22"/>
        </w:rPr>
        <w:t>Preliminary Rec #11 – Terms of Use</w:t>
      </w:r>
      <w:r w:rsidRPr="00374AD6">
        <w:rPr>
          <w:rFonts w:cstheme="minorHAnsi"/>
          <w:b/>
          <w:bCs/>
          <w:color w:val="000000"/>
          <w:sz w:val="22"/>
          <w:szCs w:val="22"/>
        </w:rPr>
        <w:t xml:space="preserve"> </w:t>
      </w:r>
      <w:r w:rsidRPr="00374AD6">
        <w:rPr>
          <w:rFonts w:cstheme="minorHAnsi"/>
          <w:color w:val="000000"/>
          <w:sz w:val="22"/>
          <w:szCs w:val="22"/>
        </w:rPr>
        <w:t>(20 minutes)</w:t>
      </w:r>
    </w:p>
    <w:p w14:paraId="2BBAC013" w14:textId="108BEB6D" w:rsidR="00374AD6" w:rsidRDefault="00374AD6" w:rsidP="00374AD6">
      <w:pPr>
        <w:numPr>
          <w:ilvl w:val="1"/>
          <w:numId w:val="8"/>
        </w:numPr>
        <w:ind w:hanging="90"/>
        <w:rPr>
          <w:rFonts w:ascii="Calibri" w:hAnsi="Calibri" w:cs="Calibri"/>
          <w:color w:val="000000"/>
          <w:sz w:val="22"/>
          <w:szCs w:val="22"/>
        </w:rPr>
      </w:pPr>
      <w:r w:rsidRPr="000C25BF">
        <w:rPr>
          <w:rFonts w:ascii="Calibri" w:hAnsi="Calibri" w:cs="Calibri"/>
          <w:color w:val="000000"/>
          <w:sz w:val="22"/>
          <w:szCs w:val="22"/>
        </w:rPr>
        <w:t xml:space="preserve">Review </w:t>
      </w:r>
      <w:r>
        <w:rPr>
          <w:rFonts w:ascii="Calibri" w:hAnsi="Calibri" w:cs="Calibri"/>
          <w:color w:val="000000"/>
          <w:sz w:val="22"/>
          <w:szCs w:val="22"/>
        </w:rPr>
        <w:t xml:space="preserve">comments / suggestions provided by deadline </w:t>
      </w:r>
    </w:p>
    <w:p w14:paraId="62D37243" w14:textId="64D360FC" w:rsidR="00374AD6" w:rsidRDefault="00374AD6" w:rsidP="00374AD6">
      <w:pPr>
        <w:rPr>
          <w:rFonts w:ascii="Calibri" w:hAnsi="Calibri" w:cs="Calibri"/>
          <w:color w:val="000000"/>
          <w:sz w:val="22"/>
          <w:szCs w:val="22"/>
        </w:rPr>
      </w:pPr>
    </w:p>
    <w:p w14:paraId="1C3C8BED" w14:textId="7AB436B0" w:rsidR="00374AD6" w:rsidRDefault="00374AD6" w:rsidP="00374AD6">
      <w:pPr>
        <w:rPr>
          <w:rFonts w:ascii="Calibri" w:hAnsi="Calibri" w:cs="Calibri"/>
          <w:color w:val="000000"/>
          <w:sz w:val="22"/>
          <w:szCs w:val="22"/>
        </w:rPr>
      </w:pPr>
      <w:r>
        <w:rPr>
          <w:rFonts w:ascii="Calibri" w:hAnsi="Calibri" w:cs="Calibri"/>
          <w:color w:val="000000"/>
          <w:sz w:val="22"/>
          <w:szCs w:val="22"/>
        </w:rPr>
        <w:t>Comments received:</w:t>
      </w:r>
    </w:p>
    <w:p w14:paraId="6EA2EAF5" w14:textId="7B1C9DEE" w:rsidR="00374AD6" w:rsidRDefault="00374AD6" w:rsidP="00374AD6">
      <w:pPr>
        <w:rPr>
          <w:rFonts w:ascii="Calibri" w:hAnsi="Calibri" w:cs="Calibri"/>
          <w:color w:val="000000"/>
          <w:sz w:val="22"/>
          <w:szCs w:val="22"/>
        </w:rPr>
      </w:pPr>
    </w:p>
    <w:p w14:paraId="13E3A714" w14:textId="3DC83B16" w:rsidR="00374AD6" w:rsidRDefault="00374AD6" w:rsidP="00374AD6">
      <w:pPr>
        <w:rPr>
          <w:rFonts w:ascii="Calibri" w:hAnsi="Calibri" w:cs="Calibri"/>
          <w:color w:val="000000"/>
          <w:sz w:val="22"/>
          <w:szCs w:val="22"/>
        </w:rPr>
      </w:pPr>
      <w:r>
        <w:rPr>
          <w:rFonts w:ascii="Calibri" w:hAnsi="Calibri" w:cs="Calibri"/>
          <w:color w:val="000000"/>
          <w:sz w:val="22"/>
          <w:szCs w:val="22"/>
        </w:rPr>
        <w:t xml:space="preserve">Privacy policy: </w:t>
      </w:r>
    </w:p>
    <w:p w14:paraId="330DA019" w14:textId="07AFD9C8" w:rsidR="00374AD6" w:rsidRDefault="00374AD6" w:rsidP="00374AD6">
      <w:pPr>
        <w:pStyle w:val="ListParagraph"/>
        <w:numPr>
          <w:ilvl w:val="0"/>
          <w:numId w:val="7"/>
        </w:numPr>
        <w:rPr>
          <w:rFonts w:ascii="Calibri" w:eastAsiaTheme="minorHAnsi" w:hAnsi="Calibri" w:cs="Calibri"/>
          <w:color w:val="000000"/>
          <w:sz w:val="22"/>
          <w:szCs w:val="22"/>
        </w:rPr>
      </w:pPr>
      <w:r w:rsidRPr="00374AD6">
        <w:rPr>
          <w:rFonts w:ascii="Calibri" w:hAnsi="Calibri" w:cs="Calibri"/>
          <w:color w:val="000000"/>
          <w:sz w:val="22"/>
          <w:szCs w:val="22"/>
        </w:rPr>
        <w:t>Margie: “</w:t>
      </w:r>
      <w:r w:rsidRPr="00374AD6">
        <w:rPr>
          <w:rFonts w:ascii="Calibri" w:eastAsiaTheme="minorHAnsi" w:hAnsi="Calibri" w:cs="Calibri"/>
          <w:color w:val="000000"/>
          <w:sz w:val="22"/>
          <w:szCs w:val="22"/>
        </w:rPr>
        <w:t>The applicable lawful bases for each act of processing” - what is intended here? That any possible legal bases be listed?</w:t>
      </w:r>
    </w:p>
    <w:p w14:paraId="30B9392E" w14:textId="4488C690" w:rsidR="00374AD6" w:rsidRPr="00374AD6" w:rsidRDefault="00374AD6" w:rsidP="00374AD6">
      <w:pPr>
        <w:pStyle w:val="ListParagraph"/>
        <w:numPr>
          <w:ilvl w:val="0"/>
          <w:numId w:val="7"/>
        </w:numPr>
        <w:rPr>
          <w:rFonts w:ascii="Calibri" w:eastAsiaTheme="minorHAnsi" w:hAnsi="Calibri" w:cs="Calibri"/>
          <w:color w:val="000000"/>
          <w:sz w:val="22"/>
          <w:szCs w:val="22"/>
        </w:rPr>
      </w:pPr>
      <w:r>
        <w:rPr>
          <w:rFonts w:ascii="Calibri" w:eastAsiaTheme="minorHAnsi" w:hAnsi="Calibri" w:cs="Calibri"/>
          <w:color w:val="000000"/>
          <w:sz w:val="22"/>
          <w:szCs w:val="22"/>
        </w:rPr>
        <w:t>Hadia (proposed addition): “</w:t>
      </w:r>
      <w:r w:rsidRPr="00374AD6">
        <w:rPr>
          <w:rFonts w:ascii="Calibri" w:eastAsiaTheme="minorHAnsi" w:hAnsi="Calibri" w:cs="Calibri"/>
          <w:color w:val="000000"/>
          <w:sz w:val="22"/>
          <w:szCs w:val="22"/>
        </w:rPr>
        <w:t xml:space="preserve">Information about the data </w:t>
      </w:r>
      <w:proofErr w:type="gramStart"/>
      <w:r w:rsidRPr="00374AD6">
        <w:rPr>
          <w:rFonts w:ascii="Calibri" w:eastAsiaTheme="minorHAnsi" w:hAnsi="Calibri" w:cs="Calibri"/>
          <w:color w:val="000000"/>
          <w:sz w:val="22"/>
          <w:szCs w:val="22"/>
        </w:rPr>
        <w:t>subjects</w:t>
      </w:r>
      <w:proofErr w:type="gramEnd"/>
      <w:r w:rsidRPr="00374AD6">
        <w:rPr>
          <w:rFonts w:ascii="Calibri" w:eastAsiaTheme="minorHAnsi" w:hAnsi="Calibri" w:cs="Calibri"/>
          <w:color w:val="000000"/>
          <w:sz w:val="22"/>
          <w:szCs w:val="22"/>
        </w:rPr>
        <w:t xml:space="preserve"> rights and the method by which they can exercise these rights</w:t>
      </w:r>
      <w:r>
        <w:rPr>
          <w:rFonts w:ascii="Calibri" w:eastAsiaTheme="minorHAnsi" w:hAnsi="Calibri" w:cs="Calibri"/>
          <w:color w:val="000000"/>
          <w:sz w:val="22"/>
          <w:szCs w:val="22"/>
        </w:rPr>
        <w:t>”</w:t>
      </w:r>
    </w:p>
    <w:p w14:paraId="4CD36AEF" w14:textId="77777777" w:rsidR="00374AD6" w:rsidRPr="00374AD6" w:rsidRDefault="00374AD6" w:rsidP="00374AD6">
      <w:pPr>
        <w:rPr>
          <w:rFonts w:cstheme="minorHAnsi"/>
          <w:b/>
          <w:bCs/>
          <w:color w:val="000000"/>
          <w:sz w:val="22"/>
          <w:szCs w:val="22"/>
        </w:rPr>
      </w:pPr>
      <w:r w:rsidRPr="00374AD6">
        <w:rPr>
          <w:rFonts w:cstheme="minorHAnsi"/>
          <w:b/>
          <w:bCs/>
          <w:sz w:val="22"/>
          <w:szCs w:val="22"/>
        </w:rPr>
        <w:lastRenderedPageBreak/>
        <w:t>Preliminary Rec #14 - Automation</w:t>
      </w:r>
    </w:p>
    <w:p w14:paraId="79C0F07B" w14:textId="77777777" w:rsidR="00374AD6" w:rsidRDefault="00374AD6" w:rsidP="00374AD6">
      <w:pPr>
        <w:rPr>
          <w:rFonts w:ascii="Calibri" w:hAnsi="Calibri" w:cs="Calibri"/>
          <w:color w:val="000000"/>
          <w:sz w:val="22"/>
          <w:szCs w:val="22"/>
        </w:rPr>
      </w:pPr>
    </w:p>
    <w:p w14:paraId="52DB69D0" w14:textId="6ABD2E96" w:rsidR="00374AD6" w:rsidRDefault="00374AD6" w:rsidP="00374AD6">
      <w:pPr>
        <w:rPr>
          <w:rFonts w:ascii="Calibri" w:hAnsi="Calibri" w:cs="Calibri"/>
          <w:color w:val="000000"/>
          <w:sz w:val="22"/>
          <w:szCs w:val="22"/>
        </w:rPr>
      </w:pPr>
      <w:r>
        <w:rPr>
          <w:rFonts w:ascii="Calibri" w:hAnsi="Calibri" w:cs="Calibri"/>
          <w:color w:val="000000"/>
          <w:sz w:val="22"/>
          <w:szCs w:val="22"/>
        </w:rPr>
        <w:t xml:space="preserve">Comments received: </w:t>
      </w:r>
    </w:p>
    <w:p w14:paraId="7CF659A2" w14:textId="77777777" w:rsidR="00E87C2C" w:rsidRDefault="00374AD6" w:rsidP="00E87C2C">
      <w:pPr>
        <w:pStyle w:val="ListParagraph"/>
        <w:numPr>
          <w:ilvl w:val="0"/>
          <w:numId w:val="10"/>
        </w:numPr>
        <w:rPr>
          <w:rFonts w:ascii="Calibri" w:eastAsiaTheme="minorHAnsi" w:hAnsi="Calibri" w:cs="Calibri"/>
          <w:color w:val="000000"/>
          <w:sz w:val="22"/>
          <w:szCs w:val="22"/>
        </w:rPr>
      </w:pPr>
      <w:r w:rsidRPr="00E87C2C">
        <w:rPr>
          <w:rFonts w:ascii="Calibri" w:eastAsiaTheme="minorHAnsi" w:hAnsi="Calibri" w:cs="Calibri"/>
          <w:color w:val="000000"/>
          <w:sz w:val="22"/>
          <w:szCs w:val="22"/>
        </w:rPr>
        <w:t xml:space="preserve">NCSG: This language [“The EPDP Team acknowledges that full automation of the SSAD may not be possible, but recommends that the SSAD must be automated where both technically feasible and legally </w:t>
      </w:r>
      <w:proofErr w:type="gramStart"/>
      <w:r w:rsidRPr="00E87C2C">
        <w:rPr>
          <w:rFonts w:ascii="Calibri" w:eastAsiaTheme="minorHAnsi" w:hAnsi="Calibri" w:cs="Calibri"/>
          <w:color w:val="000000"/>
          <w:sz w:val="22"/>
          <w:szCs w:val="22"/>
        </w:rPr>
        <w:t>permissible“</w:t>
      </w:r>
      <w:proofErr w:type="gramEnd"/>
      <w:r w:rsidRPr="00E87C2C">
        <w:rPr>
          <w:rFonts w:ascii="Calibri" w:eastAsiaTheme="minorHAnsi" w:hAnsi="Calibri" w:cs="Calibri"/>
          <w:color w:val="000000"/>
          <w:sz w:val="22"/>
          <w:szCs w:val="22"/>
        </w:rPr>
        <w:t>] is really objectionable. At worst, you want to say "may" be automated, it is not a consensus policy ever, that it "must" be automated. Suggest rewording to: "The EPDP Team recommends that those aspects of the SSAD identified below may be automated where both technically feasible and legally permissible."</w:t>
      </w:r>
    </w:p>
    <w:p w14:paraId="354EB460" w14:textId="4A21AC82" w:rsidR="00E87C2C" w:rsidRDefault="00E87C2C" w:rsidP="00E87C2C">
      <w:pPr>
        <w:pStyle w:val="ListParagraph"/>
        <w:numPr>
          <w:ilvl w:val="0"/>
          <w:numId w:val="10"/>
        </w:numPr>
        <w:rPr>
          <w:rFonts w:ascii="Calibri" w:eastAsiaTheme="minorHAnsi" w:hAnsi="Calibri" w:cs="Calibri"/>
          <w:color w:val="000000"/>
          <w:sz w:val="22"/>
          <w:szCs w:val="22"/>
        </w:rPr>
      </w:pPr>
      <w:r w:rsidRPr="00E87C2C">
        <w:rPr>
          <w:rFonts w:ascii="Calibri" w:eastAsiaTheme="minorHAnsi" w:hAnsi="Calibri" w:cs="Calibri"/>
          <w:color w:val="000000"/>
          <w:sz w:val="22"/>
          <w:szCs w:val="22"/>
        </w:rPr>
        <w:t>NCSG: [The SSAD must allow for automation of the processing of well-formed, valid, complete, properly-identified requests from accredited users with some limited and specific set of legal basis and data processing purposes which are yet to be determined. These requests MAY be automatically processed and result in the disclosure of non-public RDS data without human</w:t>
      </w:r>
      <w:r>
        <w:rPr>
          <w:rFonts w:ascii="Calibri" w:eastAsiaTheme="minorHAnsi" w:hAnsi="Calibri" w:cs="Calibri"/>
          <w:color w:val="000000"/>
          <w:sz w:val="22"/>
          <w:szCs w:val="22"/>
        </w:rPr>
        <w:t xml:space="preserve"> </w:t>
      </w:r>
      <w:r w:rsidRPr="00E87C2C">
        <w:rPr>
          <w:rFonts w:ascii="Calibri" w:eastAsiaTheme="minorHAnsi" w:hAnsi="Calibri" w:cs="Calibri"/>
          <w:color w:val="000000"/>
          <w:sz w:val="22"/>
          <w:szCs w:val="22"/>
        </w:rPr>
        <w:t>intervention.]</w:t>
      </w:r>
      <w:r>
        <w:rPr>
          <w:rFonts w:ascii="Calibri" w:eastAsiaTheme="minorHAnsi" w:hAnsi="Calibri" w:cs="Calibri"/>
          <w:color w:val="000000"/>
          <w:sz w:val="22"/>
          <w:szCs w:val="22"/>
        </w:rPr>
        <w:t xml:space="preserve"> Not acceptable.</w:t>
      </w:r>
    </w:p>
    <w:p w14:paraId="2A2A0DE3" w14:textId="62C0F68D" w:rsidR="000B7A30" w:rsidRPr="00E87C2C" w:rsidRDefault="00E87C2C" w:rsidP="00E87C2C">
      <w:pPr>
        <w:pStyle w:val="ListParagraph"/>
        <w:numPr>
          <w:ilvl w:val="1"/>
          <w:numId w:val="10"/>
        </w:numPr>
        <w:rPr>
          <w:rFonts w:ascii="Calibri" w:eastAsiaTheme="minorHAnsi" w:hAnsi="Calibri" w:cs="Calibri"/>
          <w:color w:val="000000"/>
          <w:sz w:val="22"/>
          <w:szCs w:val="22"/>
        </w:rPr>
      </w:pPr>
      <w:r>
        <w:rPr>
          <w:rFonts w:ascii="Calibri" w:eastAsiaTheme="minorHAnsi" w:hAnsi="Calibri" w:cs="Calibri"/>
          <w:color w:val="000000"/>
          <w:sz w:val="22"/>
          <w:szCs w:val="22"/>
        </w:rPr>
        <w:t xml:space="preserve">Mark SV: </w:t>
      </w:r>
      <w:r w:rsidRPr="00E87C2C">
        <w:rPr>
          <w:rFonts w:ascii="Calibri" w:eastAsiaTheme="minorHAnsi" w:hAnsi="Calibri" w:cs="Calibri"/>
          <w:color w:val="000000"/>
          <w:sz w:val="22"/>
          <w:szCs w:val="22"/>
        </w:rPr>
        <w:t>Suggest a change from MUST to SHOULD</w:t>
      </w:r>
    </w:p>
    <w:sectPr w:rsidR="000B7A30" w:rsidRPr="00E87C2C" w:rsidSect="007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8385B"/>
    <w:multiLevelType w:val="multilevel"/>
    <w:tmpl w:val="C5F85834"/>
    <w:lvl w:ilvl="0">
      <w:start w:val="3"/>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C662C2"/>
    <w:multiLevelType w:val="hybridMultilevel"/>
    <w:tmpl w:val="0178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84E79"/>
    <w:multiLevelType w:val="hybridMultilevel"/>
    <w:tmpl w:val="BF9E80F6"/>
    <w:lvl w:ilvl="0" w:tplc="F8E075BC">
      <w:start w:val="1"/>
      <w:numFmt w:val="decimal"/>
      <w:lvlText w:val="%1."/>
      <w:lvlJc w:val="left"/>
      <w:pPr>
        <w:ind w:left="1362" w:hanging="1000"/>
      </w:pPr>
      <w:rPr>
        <w:rFonts w:asciiTheme="minorHAnsi" w:hAnsiTheme="minorHAnsi" w:cstheme="minorHAnsi" w:hint="default"/>
        <w:b w:val="0"/>
        <w:bCs w:val="0"/>
        <w:sz w:val="22"/>
      </w:rPr>
    </w:lvl>
    <w:lvl w:ilvl="1" w:tplc="04090019">
      <w:start w:val="1"/>
      <w:numFmt w:val="lowerLetter"/>
      <w:lvlText w:val="%2."/>
      <w:lvlJc w:val="left"/>
      <w:pPr>
        <w:ind w:left="1442" w:hanging="360"/>
      </w:pPr>
    </w:lvl>
    <w:lvl w:ilvl="2" w:tplc="04090001">
      <w:start w:val="1"/>
      <w:numFmt w:val="bullet"/>
      <w:lvlText w:val=""/>
      <w:lvlJc w:val="left"/>
      <w:pPr>
        <w:ind w:left="2342" w:hanging="360"/>
      </w:pPr>
      <w:rPr>
        <w:rFonts w:ascii="Symbol" w:hAnsi="Symbol" w:hint="default"/>
      </w:r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3" w15:restartNumberingAfterBreak="0">
    <w:nsid w:val="43DC0F27"/>
    <w:multiLevelType w:val="hybridMultilevel"/>
    <w:tmpl w:val="D3C24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A06544"/>
    <w:multiLevelType w:val="hybridMultilevel"/>
    <w:tmpl w:val="79E01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23B36"/>
    <w:multiLevelType w:val="hybridMultilevel"/>
    <w:tmpl w:val="A19E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00181"/>
    <w:multiLevelType w:val="hybridMultilevel"/>
    <w:tmpl w:val="B2D6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453C2"/>
    <w:multiLevelType w:val="multilevel"/>
    <w:tmpl w:val="C5F85834"/>
    <w:lvl w:ilvl="0">
      <w:start w:val="3"/>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CF1088"/>
    <w:multiLevelType w:val="multilevel"/>
    <w:tmpl w:val="F8E40BF8"/>
    <w:lvl w:ilvl="0">
      <w:start w:val="3"/>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bullet"/>
      <w:lvlText w:val=""/>
      <w:lvlJc w:val="left"/>
      <w:pPr>
        <w:ind w:left="1800" w:hanging="360"/>
      </w:pPr>
      <w:rPr>
        <w:rFonts w:ascii="Symbol" w:hAnsi="Symbol" w:hint="default"/>
      </w:rPr>
    </w:lvl>
    <w:lvl w:ilvl="3">
      <w:start w:val="1"/>
      <w:numFmt w:val="decimal"/>
      <w:lvlText w:val="%4."/>
      <w:lvlJc w:val="left"/>
      <w:pPr>
        <w:tabs>
          <w:tab w:val="num" w:pos="2520"/>
        </w:tabs>
        <w:ind w:left="2520" w:hanging="360"/>
      </w:pPr>
    </w:lvl>
    <w:lvl w:ilvl="4">
      <w:start w:val="1"/>
      <w:numFmt w:val="lowerLetter"/>
      <w:lvlText w:val="%5."/>
      <w:lvlJc w:val="left"/>
      <w:pPr>
        <w:ind w:left="3240" w:hanging="360"/>
      </w:pPr>
      <w:rPr>
        <w:rFonts w:hint="default"/>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7D225201"/>
    <w:multiLevelType w:val="hybridMultilevel"/>
    <w:tmpl w:val="51E6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6"/>
  </w:num>
  <w:num w:numId="5">
    <w:abstractNumId w:val="5"/>
  </w:num>
  <w:num w:numId="6">
    <w:abstractNumId w:val="9"/>
  </w:num>
  <w:num w:numId="7">
    <w:abstractNumId w:val="3"/>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169"/>
    <w:rsid w:val="000B7A30"/>
    <w:rsid w:val="00186847"/>
    <w:rsid w:val="00246C3B"/>
    <w:rsid w:val="00264169"/>
    <w:rsid w:val="002C52A6"/>
    <w:rsid w:val="00374AD6"/>
    <w:rsid w:val="00385D74"/>
    <w:rsid w:val="005E720C"/>
    <w:rsid w:val="005F102F"/>
    <w:rsid w:val="007F1FED"/>
    <w:rsid w:val="008363A6"/>
    <w:rsid w:val="00B34569"/>
    <w:rsid w:val="00BC2670"/>
    <w:rsid w:val="00BE1CCA"/>
    <w:rsid w:val="00BE5129"/>
    <w:rsid w:val="00E53B3D"/>
    <w:rsid w:val="00E87C2C"/>
    <w:rsid w:val="00EF35AF"/>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D8F238"/>
  <w15:chartTrackingRefBased/>
  <w15:docId w15:val="{5EDBB455-2405-AB45-8B05-978EE0BD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16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64169"/>
    <w:rPr>
      <w:color w:val="0000FF"/>
      <w:u w:val="single"/>
    </w:rPr>
  </w:style>
  <w:style w:type="paragraph" w:customStyle="1" w:styleId="Default">
    <w:name w:val="Default"/>
    <w:rsid w:val="00BC2670"/>
    <w:pPr>
      <w:autoSpaceDE w:val="0"/>
      <w:autoSpaceDN w:val="0"/>
      <w:adjustRightInd w:val="0"/>
    </w:pPr>
    <w:rPr>
      <w:rFonts w:ascii="Calibri" w:hAnsi="Calibri" w:cs="Calibri"/>
      <w:color w:val="000000"/>
    </w:rPr>
  </w:style>
  <w:style w:type="character" w:customStyle="1" w:styleId="highlight">
    <w:name w:val="highlight"/>
    <w:basedOn w:val="DefaultParagraphFont"/>
    <w:rsid w:val="00BC2670"/>
  </w:style>
  <w:style w:type="paragraph" w:styleId="NormalWeb">
    <w:name w:val="Normal (Web)"/>
    <w:basedOn w:val="Normal"/>
    <w:uiPriority w:val="99"/>
    <w:semiHidden/>
    <w:unhideWhenUsed/>
    <w:rsid w:val="0018684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86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6119">
      <w:bodyDiv w:val="1"/>
      <w:marLeft w:val="0"/>
      <w:marRight w:val="0"/>
      <w:marTop w:val="0"/>
      <w:marBottom w:val="0"/>
      <w:divBdr>
        <w:top w:val="none" w:sz="0" w:space="0" w:color="auto"/>
        <w:left w:val="none" w:sz="0" w:space="0" w:color="auto"/>
        <w:bottom w:val="none" w:sz="0" w:space="0" w:color="auto"/>
        <w:right w:val="none" w:sz="0" w:space="0" w:color="auto"/>
      </w:divBdr>
    </w:div>
    <w:div w:id="174852252">
      <w:bodyDiv w:val="1"/>
      <w:marLeft w:val="0"/>
      <w:marRight w:val="0"/>
      <w:marTop w:val="0"/>
      <w:marBottom w:val="0"/>
      <w:divBdr>
        <w:top w:val="none" w:sz="0" w:space="0" w:color="auto"/>
        <w:left w:val="none" w:sz="0" w:space="0" w:color="auto"/>
        <w:bottom w:val="none" w:sz="0" w:space="0" w:color="auto"/>
        <w:right w:val="none" w:sz="0" w:space="0" w:color="auto"/>
      </w:divBdr>
    </w:div>
    <w:div w:id="208609604">
      <w:bodyDiv w:val="1"/>
      <w:marLeft w:val="0"/>
      <w:marRight w:val="0"/>
      <w:marTop w:val="0"/>
      <w:marBottom w:val="0"/>
      <w:divBdr>
        <w:top w:val="none" w:sz="0" w:space="0" w:color="auto"/>
        <w:left w:val="none" w:sz="0" w:space="0" w:color="auto"/>
        <w:bottom w:val="none" w:sz="0" w:space="0" w:color="auto"/>
        <w:right w:val="none" w:sz="0" w:space="0" w:color="auto"/>
      </w:divBdr>
    </w:div>
    <w:div w:id="379673371">
      <w:bodyDiv w:val="1"/>
      <w:marLeft w:val="0"/>
      <w:marRight w:val="0"/>
      <w:marTop w:val="0"/>
      <w:marBottom w:val="0"/>
      <w:divBdr>
        <w:top w:val="none" w:sz="0" w:space="0" w:color="auto"/>
        <w:left w:val="none" w:sz="0" w:space="0" w:color="auto"/>
        <w:bottom w:val="none" w:sz="0" w:space="0" w:color="auto"/>
        <w:right w:val="none" w:sz="0" w:space="0" w:color="auto"/>
      </w:divBdr>
    </w:div>
    <w:div w:id="531647449">
      <w:bodyDiv w:val="1"/>
      <w:marLeft w:val="0"/>
      <w:marRight w:val="0"/>
      <w:marTop w:val="0"/>
      <w:marBottom w:val="0"/>
      <w:divBdr>
        <w:top w:val="none" w:sz="0" w:space="0" w:color="auto"/>
        <w:left w:val="none" w:sz="0" w:space="0" w:color="auto"/>
        <w:bottom w:val="none" w:sz="0" w:space="0" w:color="auto"/>
        <w:right w:val="none" w:sz="0" w:space="0" w:color="auto"/>
      </w:divBdr>
    </w:div>
    <w:div w:id="559438878">
      <w:bodyDiv w:val="1"/>
      <w:marLeft w:val="0"/>
      <w:marRight w:val="0"/>
      <w:marTop w:val="0"/>
      <w:marBottom w:val="0"/>
      <w:divBdr>
        <w:top w:val="none" w:sz="0" w:space="0" w:color="auto"/>
        <w:left w:val="none" w:sz="0" w:space="0" w:color="auto"/>
        <w:bottom w:val="none" w:sz="0" w:space="0" w:color="auto"/>
        <w:right w:val="none" w:sz="0" w:space="0" w:color="auto"/>
      </w:divBdr>
    </w:div>
    <w:div w:id="639068040">
      <w:bodyDiv w:val="1"/>
      <w:marLeft w:val="0"/>
      <w:marRight w:val="0"/>
      <w:marTop w:val="0"/>
      <w:marBottom w:val="0"/>
      <w:divBdr>
        <w:top w:val="none" w:sz="0" w:space="0" w:color="auto"/>
        <w:left w:val="none" w:sz="0" w:space="0" w:color="auto"/>
        <w:bottom w:val="none" w:sz="0" w:space="0" w:color="auto"/>
        <w:right w:val="none" w:sz="0" w:space="0" w:color="auto"/>
      </w:divBdr>
    </w:div>
    <w:div w:id="850143697">
      <w:bodyDiv w:val="1"/>
      <w:marLeft w:val="0"/>
      <w:marRight w:val="0"/>
      <w:marTop w:val="0"/>
      <w:marBottom w:val="0"/>
      <w:divBdr>
        <w:top w:val="none" w:sz="0" w:space="0" w:color="auto"/>
        <w:left w:val="none" w:sz="0" w:space="0" w:color="auto"/>
        <w:bottom w:val="none" w:sz="0" w:space="0" w:color="auto"/>
        <w:right w:val="none" w:sz="0" w:space="0" w:color="auto"/>
      </w:divBdr>
    </w:div>
    <w:div w:id="1091701339">
      <w:bodyDiv w:val="1"/>
      <w:marLeft w:val="0"/>
      <w:marRight w:val="0"/>
      <w:marTop w:val="0"/>
      <w:marBottom w:val="0"/>
      <w:divBdr>
        <w:top w:val="none" w:sz="0" w:space="0" w:color="auto"/>
        <w:left w:val="none" w:sz="0" w:space="0" w:color="auto"/>
        <w:bottom w:val="none" w:sz="0" w:space="0" w:color="auto"/>
        <w:right w:val="none" w:sz="0" w:space="0" w:color="auto"/>
      </w:divBdr>
    </w:div>
    <w:div w:id="1151364364">
      <w:bodyDiv w:val="1"/>
      <w:marLeft w:val="0"/>
      <w:marRight w:val="0"/>
      <w:marTop w:val="0"/>
      <w:marBottom w:val="0"/>
      <w:divBdr>
        <w:top w:val="none" w:sz="0" w:space="0" w:color="auto"/>
        <w:left w:val="none" w:sz="0" w:space="0" w:color="auto"/>
        <w:bottom w:val="none" w:sz="0" w:space="0" w:color="auto"/>
        <w:right w:val="none" w:sz="0" w:space="0" w:color="auto"/>
      </w:divBdr>
    </w:div>
    <w:div w:id="1462266667">
      <w:bodyDiv w:val="1"/>
      <w:marLeft w:val="0"/>
      <w:marRight w:val="0"/>
      <w:marTop w:val="0"/>
      <w:marBottom w:val="0"/>
      <w:divBdr>
        <w:top w:val="none" w:sz="0" w:space="0" w:color="auto"/>
        <w:left w:val="none" w:sz="0" w:space="0" w:color="auto"/>
        <w:bottom w:val="none" w:sz="0" w:space="0" w:color="auto"/>
        <w:right w:val="none" w:sz="0" w:space="0" w:color="auto"/>
      </w:divBdr>
    </w:div>
    <w:div w:id="1669363985">
      <w:bodyDiv w:val="1"/>
      <w:marLeft w:val="0"/>
      <w:marRight w:val="0"/>
      <w:marTop w:val="0"/>
      <w:marBottom w:val="0"/>
      <w:divBdr>
        <w:top w:val="none" w:sz="0" w:space="0" w:color="auto"/>
        <w:left w:val="none" w:sz="0" w:space="0" w:color="auto"/>
        <w:bottom w:val="none" w:sz="0" w:space="0" w:color="auto"/>
        <w:right w:val="none" w:sz="0" w:space="0" w:color="auto"/>
      </w:divBdr>
    </w:div>
    <w:div w:id="1809320107">
      <w:bodyDiv w:val="1"/>
      <w:marLeft w:val="0"/>
      <w:marRight w:val="0"/>
      <w:marTop w:val="0"/>
      <w:marBottom w:val="0"/>
      <w:divBdr>
        <w:top w:val="none" w:sz="0" w:space="0" w:color="auto"/>
        <w:left w:val="none" w:sz="0" w:space="0" w:color="auto"/>
        <w:bottom w:val="none" w:sz="0" w:space="0" w:color="auto"/>
        <w:right w:val="none" w:sz="0" w:space="0" w:color="auto"/>
      </w:divBdr>
    </w:div>
    <w:div w:id="2021664118">
      <w:bodyDiv w:val="1"/>
      <w:marLeft w:val="0"/>
      <w:marRight w:val="0"/>
      <w:marTop w:val="0"/>
      <w:marBottom w:val="0"/>
      <w:divBdr>
        <w:top w:val="none" w:sz="0" w:space="0" w:color="auto"/>
        <w:left w:val="none" w:sz="0" w:space="0" w:color="auto"/>
        <w:bottom w:val="none" w:sz="0" w:space="0" w:color="auto"/>
        <w:right w:val="none" w:sz="0" w:space="0" w:color="auto"/>
      </w:divBdr>
    </w:div>
    <w:div w:id="203568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ico.org.uk/for-organisations/guide-to-data-protection/guide-to-the-general-data-protection-regulation-gdpr/lawful-basis-for-processing/&amp;sa=D&amp;ust=1575900750845000&amp;usg=AFQjCNFpDg8fdK2DGDzHCBmwAxcMv2_Ur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Caitlin Tubergen</cp:lastModifiedBy>
  <cp:revision>2</cp:revision>
  <dcterms:created xsi:type="dcterms:W3CDTF">2019-12-09T19:18:00Z</dcterms:created>
  <dcterms:modified xsi:type="dcterms:W3CDTF">2019-12-09T19:18:00Z</dcterms:modified>
</cp:coreProperties>
</file>