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2463" w14:textId="6162F452" w:rsidR="009D04F7" w:rsidRDefault="009D04F7">
      <w:r>
        <w:t xml:space="preserve">Your group: </w:t>
      </w:r>
      <w:r w:rsidR="00C42F47">
        <w:t>Joint submission from the BC and IPC</w:t>
      </w:r>
    </w:p>
    <w:p w14:paraId="7E7AAADE" w14:textId="77777777" w:rsidR="009D04F7" w:rsidRDefault="009D04F7"/>
    <w:tbl>
      <w:tblPr>
        <w:tblStyle w:val="TableGrid"/>
        <w:tblW w:w="12320" w:type="dxa"/>
        <w:tblLook w:val="04A0" w:firstRow="1" w:lastRow="0" w:firstColumn="1" w:lastColumn="0" w:noHBand="0" w:noVBand="1"/>
      </w:tblPr>
      <w:tblGrid>
        <w:gridCol w:w="895"/>
        <w:gridCol w:w="2340"/>
        <w:gridCol w:w="4542"/>
        <w:gridCol w:w="4543"/>
      </w:tblGrid>
      <w:tr w:rsidR="006D0418" w14:paraId="2DFB18A8" w14:textId="77777777" w:rsidTr="006D0418">
        <w:trPr>
          <w:trHeight w:val="332"/>
        </w:trPr>
        <w:tc>
          <w:tcPr>
            <w:tcW w:w="895" w:type="dxa"/>
            <w:shd w:val="clear" w:color="auto" w:fill="E7E6E6" w:themeFill="background2"/>
          </w:tcPr>
          <w:p w14:paraId="7FE0EC21" w14:textId="27379A6F" w:rsidR="006D0418" w:rsidRPr="009D04F7" w:rsidRDefault="006D0418">
            <w:pPr>
              <w:rPr>
                <w:b/>
                <w:bCs/>
              </w:rPr>
            </w:pPr>
            <w:r>
              <w:rPr>
                <w:b/>
                <w:bCs/>
              </w:rPr>
              <w:t>Issue</w:t>
            </w:r>
          </w:p>
        </w:tc>
        <w:tc>
          <w:tcPr>
            <w:tcW w:w="2340" w:type="dxa"/>
            <w:shd w:val="clear" w:color="auto" w:fill="E7E6E6" w:themeFill="background2"/>
          </w:tcPr>
          <w:p w14:paraId="1456978A" w14:textId="1C5EE76C" w:rsidR="006D0418" w:rsidRPr="009D04F7" w:rsidRDefault="006D0418">
            <w:pPr>
              <w:rPr>
                <w:b/>
                <w:bCs/>
              </w:rPr>
            </w:pPr>
            <w:r w:rsidRPr="009D04F7">
              <w:rPr>
                <w:b/>
                <w:bCs/>
              </w:rPr>
              <w:t>Line number(s)</w:t>
            </w:r>
          </w:p>
        </w:tc>
        <w:tc>
          <w:tcPr>
            <w:tcW w:w="4542" w:type="dxa"/>
            <w:shd w:val="clear" w:color="auto" w:fill="E7E6E6" w:themeFill="background2"/>
          </w:tcPr>
          <w:p w14:paraId="59003FD4" w14:textId="662A3D6E" w:rsidR="006D0418" w:rsidRPr="009D04F7" w:rsidRDefault="006D0418">
            <w:pPr>
              <w:rPr>
                <w:b/>
                <w:bCs/>
              </w:rPr>
            </w:pPr>
            <w:r w:rsidRPr="009D04F7">
              <w:rPr>
                <w:b/>
                <w:bCs/>
              </w:rPr>
              <w:t>Cannot live with rationale</w:t>
            </w:r>
          </w:p>
        </w:tc>
        <w:tc>
          <w:tcPr>
            <w:tcW w:w="4543" w:type="dxa"/>
            <w:shd w:val="clear" w:color="auto" w:fill="E7E6E6" w:themeFill="background2"/>
          </w:tcPr>
          <w:p w14:paraId="799D98C8" w14:textId="63A43679" w:rsidR="006D0418" w:rsidRPr="009D04F7" w:rsidRDefault="006D0418">
            <w:pPr>
              <w:rPr>
                <w:b/>
                <w:bCs/>
              </w:rPr>
            </w:pPr>
            <w:r w:rsidRPr="009D04F7">
              <w:rPr>
                <w:b/>
                <w:bCs/>
              </w:rPr>
              <w:t>Proposed changes</w:t>
            </w:r>
          </w:p>
        </w:tc>
      </w:tr>
      <w:tr w:rsidR="006D0418" w14:paraId="26201D1C" w14:textId="77777777" w:rsidTr="006D0418">
        <w:tc>
          <w:tcPr>
            <w:tcW w:w="895" w:type="dxa"/>
          </w:tcPr>
          <w:p w14:paraId="1E78E9F8" w14:textId="77777777" w:rsidR="006D0418" w:rsidRDefault="006D0418" w:rsidP="006D0418">
            <w:pPr>
              <w:pStyle w:val="ListParagraph"/>
              <w:numPr>
                <w:ilvl w:val="0"/>
                <w:numId w:val="1"/>
              </w:numPr>
            </w:pPr>
          </w:p>
        </w:tc>
        <w:tc>
          <w:tcPr>
            <w:tcW w:w="2340" w:type="dxa"/>
          </w:tcPr>
          <w:p w14:paraId="6746727B" w14:textId="568B24C3" w:rsidR="006D0418" w:rsidRDefault="0050456B">
            <w:r>
              <w:t>Rec</w:t>
            </w:r>
            <w:r w:rsidR="00B22414">
              <w:t xml:space="preserve"> #3</w:t>
            </w:r>
            <w:r>
              <w:t xml:space="preserve"> – Contents of Requests</w:t>
            </w:r>
          </w:p>
          <w:p w14:paraId="330E39C9" w14:textId="77777777" w:rsidR="0050456B" w:rsidRDefault="0050456B"/>
          <w:p w14:paraId="1F4B615D" w14:textId="33D33153" w:rsidR="00B22414" w:rsidRDefault="00B22414">
            <w:r>
              <w:t>Line 775</w:t>
            </w:r>
          </w:p>
        </w:tc>
        <w:tc>
          <w:tcPr>
            <w:tcW w:w="4542" w:type="dxa"/>
          </w:tcPr>
          <w:p w14:paraId="76B65075" w14:textId="5F345B1C" w:rsidR="00B22414" w:rsidRDefault="00B22414" w:rsidP="00B22414">
            <w:r>
              <w:t xml:space="preserve">The use of the phrase “at a minimum” is </w:t>
            </w:r>
            <w:r w:rsidRPr="00B22414">
              <w:t xml:space="preserve">problematic as it </w:t>
            </w:r>
            <w:r>
              <w:t xml:space="preserve">will </w:t>
            </w:r>
            <w:r w:rsidRPr="00B22414">
              <w:t xml:space="preserve">allow </w:t>
            </w:r>
            <w:r>
              <w:t xml:space="preserve">disclosers (contracted parties) </w:t>
            </w:r>
            <w:r w:rsidRPr="00B22414">
              <w:t xml:space="preserve">to </w:t>
            </w:r>
            <w:r>
              <w:t>deny/reject</w:t>
            </w:r>
            <w:r w:rsidRPr="00B22414">
              <w:t xml:space="preserve"> a request </w:t>
            </w:r>
            <w:r>
              <w:t>simply by asserting</w:t>
            </w:r>
            <w:r w:rsidRPr="00B22414">
              <w:t xml:space="preserve"> they </w:t>
            </w:r>
            <w:r>
              <w:t>require information that is not specified in the existing list</w:t>
            </w:r>
            <w:r w:rsidR="0050456B">
              <w:t xml:space="preserve">. </w:t>
            </w:r>
            <w:r w:rsidRPr="00B22414">
              <w:t xml:space="preserve"> To ensure we meet our principle of predictability we </w:t>
            </w:r>
            <w:r>
              <w:t>must not</w:t>
            </w:r>
            <w:r w:rsidRPr="00B22414">
              <w:t xml:space="preserve"> allow a situation where a request is denied if additional information not described in this section </w:t>
            </w:r>
            <w:r w:rsidR="0050456B">
              <w:t xml:space="preserve">(and by policy) </w:t>
            </w:r>
            <w:r w:rsidRPr="00B22414">
              <w:t xml:space="preserve">is required. </w:t>
            </w:r>
            <w:r>
              <w:t xml:space="preserve"> </w:t>
            </w:r>
          </w:p>
          <w:p w14:paraId="1D7BA560" w14:textId="2B840421" w:rsidR="00B22414" w:rsidRDefault="00B22414" w:rsidP="00B22414"/>
          <w:p w14:paraId="029F3EEF" w14:textId="3D7B9132" w:rsidR="00B22414" w:rsidRPr="00B22414" w:rsidRDefault="00B22414" w:rsidP="00B22414">
            <w:r>
              <w:t xml:space="preserve">We note however that some information </w:t>
            </w:r>
            <w:r w:rsidR="00C42F47">
              <w:t>specified</w:t>
            </w:r>
            <w:r>
              <w:t xml:space="preserve"> in other sections of this policy is missing</w:t>
            </w:r>
            <w:r w:rsidR="0050456B">
              <w:t xml:space="preserve"> and should be added.</w:t>
            </w:r>
            <w:r>
              <w:t xml:space="preserve">  </w:t>
            </w:r>
            <w:r w:rsidR="00C42F47">
              <w:t>Including</w:t>
            </w:r>
            <w:r>
              <w:t xml:space="preserve"> 1) the ability to indicate the urgency of a request and 2) to allow LEA to indicate that the request should not be disclosed to the registrant.</w:t>
            </w:r>
            <w:r w:rsidR="00C42F47">
              <w:t xml:space="preserve">  (There may be others….)</w:t>
            </w:r>
          </w:p>
          <w:p w14:paraId="29E2E80E" w14:textId="4B3991BD" w:rsidR="006D0418" w:rsidRDefault="006D0418"/>
        </w:tc>
        <w:tc>
          <w:tcPr>
            <w:tcW w:w="4543" w:type="dxa"/>
          </w:tcPr>
          <w:p w14:paraId="44C38DBD" w14:textId="77777777" w:rsidR="00B22414" w:rsidRDefault="00B22414">
            <w:pPr>
              <w:rPr>
                <w:sz w:val="23"/>
                <w:szCs w:val="23"/>
              </w:rPr>
            </w:pPr>
            <w:r>
              <w:rPr>
                <w:sz w:val="23"/>
                <w:szCs w:val="23"/>
              </w:rPr>
              <w:t>Strike “at a minimum”</w:t>
            </w:r>
          </w:p>
          <w:p w14:paraId="235CC6E7" w14:textId="77777777" w:rsidR="00B22414" w:rsidRDefault="00B22414">
            <w:pPr>
              <w:rPr>
                <w:sz w:val="23"/>
                <w:szCs w:val="23"/>
              </w:rPr>
            </w:pPr>
          </w:p>
          <w:p w14:paraId="00ED2E91" w14:textId="77FFCF95" w:rsidR="006D0418" w:rsidRDefault="00B22414" w:rsidP="00B22414">
            <w:pPr>
              <w:ind w:left="720"/>
            </w:pPr>
            <w:r>
              <w:rPr>
                <w:sz w:val="23"/>
                <w:szCs w:val="23"/>
              </w:rPr>
              <w:t>“</w:t>
            </w:r>
            <w:r>
              <w:rPr>
                <w:sz w:val="23"/>
                <w:szCs w:val="23"/>
              </w:rPr>
              <w:t>The EPDP Team recommends that each SSAD request must include</w:t>
            </w:r>
            <w:r w:rsidRPr="00B22414">
              <w:rPr>
                <w:strike/>
                <w:color w:val="FF0000"/>
                <w:sz w:val="23"/>
                <w:szCs w:val="23"/>
              </w:rPr>
              <w:t>, at a minimum,</w:t>
            </w:r>
            <w:r w:rsidRPr="00B22414">
              <w:rPr>
                <w:color w:val="FF0000"/>
                <w:sz w:val="23"/>
                <w:szCs w:val="23"/>
              </w:rPr>
              <w:t xml:space="preserve"> </w:t>
            </w:r>
            <w:r>
              <w:rPr>
                <w:sz w:val="23"/>
                <w:szCs w:val="23"/>
              </w:rPr>
              <w:t>the following information:</w:t>
            </w:r>
            <w:r>
              <w:rPr>
                <w:sz w:val="23"/>
                <w:szCs w:val="23"/>
              </w:rPr>
              <w:t>”</w:t>
            </w:r>
          </w:p>
        </w:tc>
      </w:tr>
      <w:tr w:rsidR="006D0418" w14:paraId="5059611E" w14:textId="77777777" w:rsidTr="006D0418">
        <w:tc>
          <w:tcPr>
            <w:tcW w:w="895" w:type="dxa"/>
          </w:tcPr>
          <w:p w14:paraId="01FE68CA" w14:textId="77777777" w:rsidR="006D0418" w:rsidRDefault="006D0418" w:rsidP="006D0418">
            <w:pPr>
              <w:pStyle w:val="ListParagraph"/>
              <w:numPr>
                <w:ilvl w:val="0"/>
                <w:numId w:val="1"/>
              </w:numPr>
            </w:pPr>
          </w:p>
        </w:tc>
        <w:tc>
          <w:tcPr>
            <w:tcW w:w="2340" w:type="dxa"/>
          </w:tcPr>
          <w:p w14:paraId="5F23BC66" w14:textId="77777777" w:rsidR="006D0418" w:rsidRDefault="0050456B">
            <w:r>
              <w:t>Rec #5 – Ack. Of Receipt</w:t>
            </w:r>
          </w:p>
          <w:p w14:paraId="7F477F91" w14:textId="77777777" w:rsidR="0050456B" w:rsidRDefault="0050456B"/>
          <w:p w14:paraId="1904CBFA" w14:textId="752BF928" w:rsidR="0050456B" w:rsidRDefault="0050456B">
            <w:r>
              <w:t>Line 812</w:t>
            </w:r>
          </w:p>
        </w:tc>
        <w:tc>
          <w:tcPr>
            <w:tcW w:w="4542" w:type="dxa"/>
          </w:tcPr>
          <w:p w14:paraId="7FC466EB" w14:textId="32192901" w:rsidR="0050456B" w:rsidRDefault="0050456B" w:rsidP="0050456B">
            <w:r>
              <w:t xml:space="preserve">A </w:t>
            </w:r>
            <w:r w:rsidR="00C8359E" w:rsidRPr="0050456B">
              <w:t>2-hour</w:t>
            </w:r>
            <w:r w:rsidRPr="0050456B">
              <w:t xml:space="preserve"> SLA for acknowledgement of receipt of a request is unacceptable.  </w:t>
            </w:r>
            <w:r>
              <w:t>Remember that</w:t>
            </w:r>
            <w:r w:rsidRPr="0050456B">
              <w:t xml:space="preserve"> we are assuming the use of modern web services/web protocols/web servers/etc.</w:t>
            </w:r>
            <w:r>
              <w:t xml:space="preserve">  In that environment</w:t>
            </w:r>
            <w:r w:rsidRPr="0050456B">
              <w:t xml:space="preserve"> a web client will </w:t>
            </w:r>
            <w:r w:rsidR="00C8359E">
              <w:t xml:space="preserve">typically </w:t>
            </w:r>
            <w:r w:rsidRPr="0050456B">
              <w:t>time out after 120 second</w:t>
            </w:r>
            <w:r>
              <w:t xml:space="preserve">s - </w:t>
            </w:r>
            <w:r w:rsidR="00C8359E">
              <w:t>l</w:t>
            </w:r>
            <w:r w:rsidRPr="0050456B">
              <w:t xml:space="preserve">ong before the </w:t>
            </w:r>
            <w:r w:rsidR="00C8359E" w:rsidRPr="0050456B">
              <w:t>2-hour</w:t>
            </w:r>
            <w:r w:rsidRPr="0050456B">
              <w:t xml:space="preserve"> mark hits. </w:t>
            </w:r>
            <w:r>
              <w:t xml:space="preserve"> </w:t>
            </w:r>
            <w:r w:rsidR="00C8359E">
              <w:t xml:space="preserve">(As a thought exercise try to </w:t>
            </w:r>
            <w:r>
              <w:t xml:space="preserve">Imagine the last time you submitted a form on a web </w:t>
            </w:r>
            <w:r w:rsidR="00C8359E">
              <w:lastRenderedPageBreak/>
              <w:t>page</w:t>
            </w:r>
            <w:r>
              <w:t xml:space="preserve"> and </w:t>
            </w:r>
            <w:r w:rsidR="00C8359E">
              <w:t xml:space="preserve">had to wait </w:t>
            </w:r>
            <w:r>
              <w:t>up to two hours for a response.</w:t>
            </w:r>
            <w:r w:rsidR="00C8359E">
              <w:t>)</w:t>
            </w:r>
            <w:r>
              <w:t xml:space="preserve"> </w:t>
            </w:r>
          </w:p>
          <w:p w14:paraId="23127CBA" w14:textId="1747A2CC" w:rsidR="00C8359E" w:rsidRDefault="00C8359E" w:rsidP="0050456B"/>
          <w:p w14:paraId="323D1A91" w14:textId="6ED4D722" w:rsidR="00C8359E" w:rsidRDefault="00C8359E" w:rsidP="0050456B">
            <w:r>
              <w:t xml:space="preserve">Note that this recommendation applies to the Central Gateway, not the Contracted Party (i.e. </w:t>
            </w:r>
            <w:r w:rsidR="00C91EC0">
              <w:t>the authorizer/discloser</w:t>
            </w:r>
            <w:bookmarkStart w:id="0" w:name="_GoBack"/>
            <w:bookmarkEnd w:id="0"/>
            <w:r>
              <w:t>)</w:t>
            </w:r>
          </w:p>
          <w:p w14:paraId="0EC8C4C6" w14:textId="77777777" w:rsidR="0050456B" w:rsidRDefault="0050456B" w:rsidP="0050456B"/>
          <w:p w14:paraId="6811FCC6" w14:textId="5CFFBAE9" w:rsidR="006D0418" w:rsidRDefault="0050456B" w:rsidP="0050456B">
            <w:r w:rsidRPr="0050456B">
              <w:t xml:space="preserve">This </w:t>
            </w:r>
            <w:r w:rsidR="00C8359E">
              <w:t xml:space="preserve">recommendation </w:t>
            </w:r>
            <w:r w:rsidRPr="0050456B">
              <w:t xml:space="preserve">also is in conflict with the Automation Recommendation # 16 </w:t>
            </w:r>
            <w:r w:rsidR="00C8359E">
              <w:t>which</w:t>
            </w:r>
            <w:r w:rsidRPr="0050456B">
              <w:t xml:space="preserve"> states "The SSAD must allow for the automation of an immediate and synchronous response that indicates the receipt of a valid request and some indication that it will be processed. "   </w:t>
            </w:r>
          </w:p>
        </w:tc>
        <w:tc>
          <w:tcPr>
            <w:tcW w:w="4543" w:type="dxa"/>
          </w:tcPr>
          <w:p w14:paraId="04CD54F3" w14:textId="581EC011" w:rsidR="0050456B" w:rsidRPr="0050456B" w:rsidRDefault="0050456B" w:rsidP="0050456B">
            <w:r w:rsidRPr="0050456B">
              <w:lastRenderedPageBreak/>
              <w:t xml:space="preserve">The wording in Rec #5 should </w:t>
            </w:r>
            <w:r>
              <w:t>reference (or be consistent with</w:t>
            </w:r>
            <w:r w:rsidRPr="0050456B">
              <w:t xml:space="preserve"> the language in Rec 16. (line 988) </w:t>
            </w:r>
          </w:p>
          <w:p w14:paraId="0C2FADE5" w14:textId="68374E78" w:rsidR="006D0418" w:rsidRDefault="006D0418"/>
          <w:p w14:paraId="2CCA39E5" w14:textId="0C71BDCA" w:rsidR="0050456B" w:rsidRDefault="0050456B">
            <w:r>
              <w:t xml:space="preserve">e.g. </w:t>
            </w:r>
          </w:p>
          <w:p w14:paraId="151B38A9" w14:textId="31117960" w:rsidR="0050456B" w:rsidRPr="00C8359E" w:rsidRDefault="0050456B" w:rsidP="00C8359E">
            <w:pPr>
              <w:ind w:left="720"/>
              <w:rPr>
                <w:sz w:val="23"/>
                <w:szCs w:val="23"/>
              </w:rPr>
            </w:pPr>
            <w:r>
              <w:rPr>
                <w:sz w:val="23"/>
                <w:szCs w:val="23"/>
              </w:rPr>
              <w:t>“….</w:t>
            </w:r>
            <w:r>
              <w:rPr>
                <w:sz w:val="23"/>
                <w:szCs w:val="23"/>
              </w:rPr>
              <w:t xml:space="preserve">by the Central Gateway Manager must be without undue </w:t>
            </w:r>
            <w:r w:rsidR="00C8359E">
              <w:rPr>
                <w:sz w:val="23"/>
                <w:szCs w:val="23"/>
              </w:rPr>
              <w:t>delay and</w:t>
            </w:r>
            <w:r w:rsidR="00C8359E" w:rsidRPr="00C8359E">
              <w:rPr>
                <w:color w:val="4472C4" w:themeColor="accent1"/>
                <w:sz w:val="23"/>
                <w:szCs w:val="23"/>
              </w:rPr>
              <w:t xml:space="preserve"> result in an immediate and synchronous response that indicates </w:t>
            </w:r>
            <w:r w:rsidR="00C8359E" w:rsidRPr="00C8359E">
              <w:rPr>
                <w:color w:val="4472C4" w:themeColor="accent1"/>
                <w:sz w:val="23"/>
                <w:szCs w:val="23"/>
              </w:rPr>
              <w:lastRenderedPageBreak/>
              <w:t xml:space="preserve">the receipt of a valid request and some </w:t>
            </w:r>
            <w:r w:rsidR="00C8359E">
              <w:rPr>
                <w:color w:val="4472C4" w:themeColor="accent1"/>
                <w:sz w:val="23"/>
                <w:szCs w:val="23"/>
              </w:rPr>
              <w:t>indication</w:t>
            </w:r>
            <w:r w:rsidR="00C8359E" w:rsidRPr="00C8359E">
              <w:rPr>
                <w:color w:val="4472C4" w:themeColor="accent1"/>
                <w:sz w:val="23"/>
                <w:szCs w:val="23"/>
              </w:rPr>
              <w:t xml:space="preserve"> that it will be processed.  (cf. Recommendation #16 line 988)</w:t>
            </w:r>
            <w:r w:rsidR="00C8359E">
              <w:rPr>
                <w:color w:val="4472C4" w:themeColor="accent1"/>
                <w:sz w:val="23"/>
                <w:szCs w:val="23"/>
              </w:rPr>
              <w:t>.”</w:t>
            </w:r>
            <w:r>
              <w:rPr>
                <w:sz w:val="23"/>
                <w:szCs w:val="23"/>
              </w:rPr>
              <w:t xml:space="preserve"> </w:t>
            </w:r>
            <w:r w:rsidRPr="00C8359E">
              <w:rPr>
                <w:strike/>
                <w:color w:val="FF0000"/>
                <w:sz w:val="23"/>
                <w:szCs w:val="23"/>
              </w:rPr>
              <w:t>not</w:t>
            </w:r>
            <w:r w:rsidRPr="00C8359E">
              <w:rPr>
                <w:strike/>
                <w:color w:val="FF0000"/>
                <w:sz w:val="23"/>
                <w:szCs w:val="23"/>
              </w:rPr>
              <w:t xml:space="preserve"> </w:t>
            </w:r>
            <w:r w:rsidRPr="00C8359E">
              <w:rPr>
                <w:strike/>
                <w:color w:val="FF0000"/>
                <w:sz w:val="23"/>
                <w:szCs w:val="23"/>
              </w:rPr>
              <w:t>more than two (2) hours from receipt.</w:t>
            </w:r>
          </w:p>
        </w:tc>
      </w:tr>
      <w:tr w:rsidR="00C8359E" w14:paraId="120C9C96" w14:textId="77777777" w:rsidTr="00686D6C">
        <w:tc>
          <w:tcPr>
            <w:tcW w:w="895" w:type="dxa"/>
          </w:tcPr>
          <w:p w14:paraId="476E4518" w14:textId="77777777" w:rsidR="00C8359E" w:rsidRDefault="00C8359E" w:rsidP="00686D6C">
            <w:pPr>
              <w:pStyle w:val="ListParagraph"/>
              <w:numPr>
                <w:ilvl w:val="0"/>
                <w:numId w:val="1"/>
              </w:numPr>
            </w:pPr>
          </w:p>
        </w:tc>
        <w:tc>
          <w:tcPr>
            <w:tcW w:w="2340" w:type="dxa"/>
          </w:tcPr>
          <w:p w14:paraId="6949E90C" w14:textId="77777777" w:rsidR="00C8359E" w:rsidRDefault="00C8359E" w:rsidP="00C8359E">
            <w:r>
              <w:t xml:space="preserve">Rec #8 – Response Requirements </w:t>
            </w:r>
          </w:p>
          <w:p w14:paraId="537E505E" w14:textId="77777777" w:rsidR="00C8359E" w:rsidRDefault="00C8359E" w:rsidP="00C8359E"/>
          <w:p w14:paraId="6C5D7492" w14:textId="2F870190" w:rsidR="00C8359E" w:rsidRDefault="00C8359E" w:rsidP="00C8359E">
            <w:r>
              <w:t xml:space="preserve">Line </w:t>
            </w:r>
            <w:r>
              <w:t>1010</w:t>
            </w:r>
          </w:p>
        </w:tc>
        <w:tc>
          <w:tcPr>
            <w:tcW w:w="4542" w:type="dxa"/>
          </w:tcPr>
          <w:p w14:paraId="584DF07C" w14:textId="18C204F2" w:rsidR="00C8359E" w:rsidRDefault="00C8359E" w:rsidP="00686D6C">
            <w:r>
              <w:t>The requirement to respond to denied requests with a rational should not be optional</w:t>
            </w:r>
            <w:r w:rsidR="00547714">
              <w:t>.</w:t>
            </w:r>
          </w:p>
        </w:tc>
        <w:tc>
          <w:tcPr>
            <w:tcW w:w="4543" w:type="dxa"/>
          </w:tcPr>
          <w:p w14:paraId="07943B32" w14:textId="77777777" w:rsidR="00C8359E" w:rsidRDefault="00C8359E" w:rsidP="00686D6C">
            <w:r>
              <w:t>Update line 1009-1010 as follows</w:t>
            </w:r>
          </w:p>
          <w:p w14:paraId="04171657" w14:textId="77777777" w:rsidR="00C8359E" w:rsidRDefault="00C8359E" w:rsidP="00C8359E">
            <w:pPr>
              <w:pStyle w:val="Default"/>
            </w:pPr>
          </w:p>
          <w:p w14:paraId="04C0C221" w14:textId="74B0936E" w:rsidR="00C8359E" w:rsidRDefault="00C8359E" w:rsidP="00547714">
            <w:pPr>
              <w:pStyle w:val="Default"/>
              <w:numPr>
                <w:ilvl w:val="0"/>
                <w:numId w:val="2"/>
              </w:numPr>
              <w:ind w:left="753"/>
              <w:rPr>
                <w:sz w:val="23"/>
                <w:szCs w:val="23"/>
              </w:rPr>
            </w:pPr>
            <w:r>
              <w:rPr>
                <w:sz w:val="23"/>
                <w:szCs w:val="23"/>
              </w:rPr>
              <w:t>“</w:t>
            </w:r>
            <w:r>
              <w:rPr>
                <w:sz w:val="23"/>
                <w:szCs w:val="23"/>
              </w:rPr>
              <w:t xml:space="preserve">e) Responses where disclosure of data (in whole or in part) has been denied </w:t>
            </w:r>
            <w:r w:rsidRPr="00C8359E">
              <w:rPr>
                <w:strike/>
                <w:color w:val="FF0000"/>
                <w:sz w:val="23"/>
                <w:szCs w:val="23"/>
              </w:rPr>
              <w:t>should</w:t>
            </w:r>
            <w:r w:rsidRPr="00C8359E">
              <w:rPr>
                <w:color w:val="FF0000"/>
                <w:sz w:val="23"/>
                <w:szCs w:val="23"/>
              </w:rPr>
              <w:t xml:space="preserve"> </w:t>
            </w:r>
            <w:r w:rsidRPr="00C8359E">
              <w:rPr>
                <w:color w:val="4472C4" w:themeColor="accent1"/>
                <w:sz w:val="23"/>
                <w:szCs w:val="23"/>
              </w:rPr>
              <w:t xml:space="preserve">MUST </w:t>
            </w:r>
            <w:proofErr w:type="gramStart"/>
            <w:r>
              <w:rPr>
                <w:sz w:val="23"/>
                <w:szCs w:val="23"/>
              </w:rPr>
              <w:t>include:</w:t>
            </w:r>
            <w:proofErr w:type="gramEnd"/>
            <w:r>
              <w:rPr>
                <w:sz w:val="23"/>
                <w:szCs w:val="23"/>
              </w:rPr>
              <w:t xml:space="preserve"> rationale sufficient</w:t>
            </w:r>
            <w:r>
              <w:rPr>
                <w:sz w:val="23"/>
                <w:szCs w:val="23"/>
              </w:rPr>
              <w:t>…”</w:t>
            </w:r>
            <w:r>
              <w:rPr>
                <w:sz w:val="23"/>
                <w:szCs w:val="23"/>
              </w:rPr>
              <w:t xml:space="preserve"> </w:t>
            </w:r>
          </w:p>
          <w:p w14:paraId="410FB12B" w14:textId="5CAFB026" w:rsidR="00C8359E" w:rsidRDefault="00C8359E" w:rsidP="00686D6C"/>
        </w:tc>
      </w:tr>
      <w:tr w:rsidR="00C8359E" w14:paraId="41254E12" w14:textId="77777777" w:rsidTr="00686D6C">
        <w:tc>
          <w:tcPr>
            <w:tcW w:w="895" w:type="dxa"/>
          </w:tcPr>
          <w:p w14:paraId="11928202" w14:textId="77777777" w:rsidR="00C8359E" w:rsidRDefault="00C8359E" w:rsidP="00686D6C">
            <w:pPr>
              <w:pStyle w:val="ListParagraph"/>
              <w:numPr>
                <w:ilvl w:val="0"/>
                <w:numId w:val="1"/>
              </w:numPr>
            </w:pPr>
          </w:p>
        </w:tc>
        <w:tc>
          <w:tcPr>
            <w:tcW w:w="2340" w:type="dxa"/>
          </w:tcPr>
          <w:p w14:paraId="3C9250C2" w14:textId="77777777" w:rsidR="00C8359E" w:rsidRDefault="00C8359E" w:rsidP="00686D6C">
            <w:r>
              <w:t>Rec #17 – Logging</w:t>
            </w:r>
          </w:p>
          <w:p w14:paraId="5430E7A2" w14:textId="77777777" w:rsidR="00C8359E" w:rsidRDefault="00C8359E" w:rsidP="00686D6C"/>
          <w:p w14:paraId="733324CA" w14:textId="77777777" w:rsidR="00C8359E" w:rsidRDefault="00C8359E" w:rsidP="00686D6C">
            <w:r>
              <w:t>Line 1438</w:t>
            </w:r>
          </w:p>
        </w:tc>
        <w:tc>
          <w:tcPr>
            <w:tcW w:w="4542" w:type="dxa"/>
          </w:tcPr>
          <w:p w14:paraId="0C174BA7" w14:textId="77777777" w:rsidR="00C8359E" w:rsidRDefault="00C8359E" w:rsidP="00686D6C">
            <w:r>
              <w:t xml:space="preserve">In order to ensure transparency, an additional logging requirement is necessary to support the analysis and measurement of data associated with disclosure responses.  This will aid and support the continuous evolution of the SSAD over time.  </w:t>
            </w:r>
          </w:p>
        </w:tc>
        <w:tc>
          <w:tcPr>
            <w:tcW w:w="4543" w:type="dxa"/>
          </w:tcPr>
          <w:p w14:paraId="74BDF94A" w14:textId="77777777" w:rsidR="00C8359E" w:rsidRDefault="00C8359E" w:rsidP="00686D6C">
            <w:pPr>
              <w:rPr>
                <w:rFonts w:ascii="Calibri" w:hAnsi="Calibri" w:cs="Calibri"/>
                <w:color w:val="000000"/>
                <w:sz w:val="22"/>
                <w:szCs w:val="22"/>
              </w:rPr>
            </w:pPr>
            <w:r>
              <w:rPr>
                <w:rFonts w:ascii="Calibri" w:hAnsi="Calibri" w:cs="Calibri"/>
                <w:color w:val="000000"/>
                <w:sz w:val="22"/>
                <w:szCs w:val="22"/>
              </w:rPr>
              <w:t xml:space="preserve">Add the following bullet to the list of EPDP recommendations : </w:t>
            </w:r>
          </w:p>
          <w:p w14:paraId="371191DB" w14:textId="77777777" w:rsidR="00C8359E" w:rsidRDefault="00C8359E" w:rsidP="00686D6C">
            <w:pPr>
              <w:rPr>
                <w:rFonts w:ascii="Calibri" w:hAnsi="Calibri" w:cs="Calibri"/>
                <w:color w:val="000000"/>
                <w:sz w:val="22"/>
                <w:szCs w:val="22"/>
              </w:rPr>
            </w:pPr>
          </w:p>
          <w:p w14:paraId="38154FB5" w14:textId="77777777" w:rsidR="00C8359E" w:rsidRDefault="00C8359E" w:rsidP="00686D6C">
            <w:pPr>
              <w:ind w:left="720"/>
              <w:rPr>
                <w:rFonts w:ascii="Calibri" w:hAnsi="Calibri" w:cs="Calibri"/>
                <w:color w:val="000000"/>
                <w:sz w:val="22"/>
                <w:szCs w:val="22"/>
              </w:rPr>
            </w:pPr>
            <w:r>
              <w:rPr>
                <w:rFonts w:ascii="Calibri" w:hAnsi="Calibri" w:cs="Calibri"/>
                <w:color w:val="000000"/>
                <w:sz w:val="22"/>
                <w:szCs w:val="22"/>
              </w:rPr>
              <w:t xml:space="preserve">f) Periodic reports of log data should be published in aggregate and without PII to enable an assessment of disclosure request responses on a per contract party basis.   </w:t>
            </w:r>
          </w:p>
          <w:p w14:paraId="249FA1BB" w14:textId="77777777" w:rsidR="00C8359E" w:rsidRDefault="00C8359E" w:rsidP="00686D6C">
            <w:pPr>
              <w:rPr>
                <w:rFonts w:ascii="Calibri" w:hAnsi="Calibri" w:cs="Calibri"/>
                <w:color w:val="000000"/>
                <w:sz w:val="22"/>
                <w:szCs w:val="22"/>
              </w:rPr>
            </w:pPr>
          </w:p>
          <w:p w14:paraId="1B0C47A5" w14:textId="77777777" w:rsidR="00C8359E" w:rsidRPr="00B94081" w:rsidRDefault="00C8359E" w:rsidP="00686D6C">
            <w:pPr>
              <w:rPr>
                <w:rFonts w:eastAsia="Times New Roman"/>
              </w:rPr>
            </w:pPr>
            <w:r>
              <w:rPr>
                <w:rFonts w:ascii="Calibri" w:hAnsi="Calibri" w:cs="Calibri"/>
                <w:color w:val="000000"/>
                <w:sz w:val="22"/>
                <w:szCs w:val="22"/>
              </w:rPr>
              <w:t xml:space="preserve">[We note this may be better suited as an addition in the Auditing section – specifically </w:t>
            </w:r>
            <w:r>
              <w:rPr>
                <w:rFonts w:ascii="Calibri" w:hAnsi="Calibri" w:cs="Calibri"/>
                <w:color w:val="000000"/>
                <w:sz w:val="22"/>
                <w:szCs w:val="22"/>
              </w:rPr>
              <w:lastRenderedPageBreak/>
              <w:t xml:space="preserve">the “Audits of the Central Gateway Manager &amp; Contracted Parties” Section] </w:t>
            </w:r>
          </w:p>
        </w:tc>
      </w:tr>
    </w:tbl>
    <w:p w14:paraId="293DC469" w14:textId="77777777" w:rsidR="000B7A30" w:rsidRDefault="000B7A30"/>
    <w:sectPr w:rsidR="000B7A30" w:rsidSect="009D04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C0E46"/>
    <w:multiLevelType w:val="hybridMultilevel"/>
    <w:tmpl w:val="97B8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78355"/>
    <w:multiLevelType w:val="hybridMultilevel"/>
    <w:tmpl w:val="1B0C79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F7"/>
    <w:rsid w:val="000B7A30"/>
    <w:rsid w:val="00246C3B"/>
    <w:rsid w:val="00385D74"/>
    <w:rsid w:val="004A1DAA"/>
    <w:rsid w:val="0050456B"/>
    <w:rsid w:val="00547714"/>
    <w:rsid w:val="005E720C"/>
    <w:rsid w:val="005F102F"/>
    <w:rsid w:val="006D0418"/>
    <w:rsid w:val="007F1FED"/>
    <w:rsid w:val="008363A6"/>
    <w:rsid w:val="009D04F7"/>
    <w:rsid w:val="00B22414"/>
    <w:rsid w:val="00B34569"/>
    <w:rsid w:val="00B94081"/>
    <w:rsid w:val="00BE5129"/>
    <w:rsid w:val="00C42F47"/>
    <w:rsid w:val="00C8359E"/>
    <w:rsid w:val="00C91EC0"/>
    <w:rsid w:val="00E53B3D"/>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790D"/>
  <w15:chartTrackingRefBased/>
  <w15:docId w15:val="{C73C14C4-F2EC-5F42-88A8-611DDE95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18"/>
    <w:pPr>
      <w:ind w:left="720"/>
      <w:contextualSpacing/>
    </w:pPr>
  </w:style>
  <w:style w:type="paragraph" w:customStyle="1" w:styleId="Default">
    <w:name w:val="Default"/>
    <w:rsid w:val="00C8359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5413">
      <w:bodyDiv w:val="1"/>
      <w:marLeft w:val="0"/>
      <w:marRight w:val="0"/>
      <w:marTop w:val="0"/>
      <w:marBottom w:val="0"/>
      <w:divBdr>
        <w:top w:val="none" w:sz="0" w:space="0" w:color="auto"/>
        <w:left w:val="none" w:sz="0" w:space="0" w:color="auto"/>
        <w:bottom w:val="none" w:sz="0" w:space="0" w:color="auto"/>
        <w:right w:val="none" w:sz="0" w:space="0" w:color="auto"/>
      </w:divBdr>
    </w:div>
    <w:div w:id="207497335">
      <w:bodyDiv w:val="1"/>
      <w:marLeft w:val="0"/>
      <w:marRight w:val="0"/>
      <w:marTop w:val="0"/>
      <w:marBottom w:val="0"/>
      <w:divBdr>
        <w:top w:val="none" w:sz="0" w:space="0" w:color="auto"/>
        <w:left w:val="none" w:sz="0" w:space="0" w:color="auto"/>
        <w:bottom w:val="none" w:sz="0" w:space="0" w:color="auto"/>
        <w:right w:val="none" w:sz="0" w:space="0" w:color="auto"/>
      </w:divBdr>
    </w:div>
    <w:div w:id="377897226">
      <w:bodyDiv w:val="1"/>
      <w:marLeft w:val="0"/>
      <w:marRight w:val="0"/>
      <w:marTop w:val="0"/>
      <w:marBottom w:val="0"/>
      <w:divBdr>
        <w:top w:val="none" w:sz="0" w:space="0" w:color="auto"/>
        <w:left w:val="none" w:sz="0" w:space="0" w:color="auto"/>
        <w:bottom w:val="none" w:sz="0" w:space="0" w:color="auto"/>
        <w:right w:val="none" w:sz="0" w:space="0" w:color="auto"/>
      </w:divBdr>
    </w:div>
    <w:div w:id="1001201741">
      <w:bodyDiv w:val="1"/>
      <w:marLeft w:val="0"/>
      <w:marRight w:val="0"/>
      <w:marTop w:val="0"/>
      <w:marBottom w:val="0"/>
      <w:divBdr>
        <w:top w:val="none" w:sz="0" w:space="0" w:color="auto"/>
        <w:left w:val="none" w:sz="0" w:space="0" w:color="auto"/>
        <w:bottom w:val="none" w:sz="0" w:space="0" w:color="auto"/>
        <w:right w:val="none" w:sz="0" w:space="0" w:color="auto"/>
      </w:divBdr>
    </w:div>
    <w:div w:id="13720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Alex Deacon</cp:lastModifiedBy>
  <cp:revision>9</cp:revision>
  <dcterms:created xsi:type="dcterms:W3CDTF">2020-02-04T23:51:00Z</dcterms:created>
  <dcterms:modified xsi:type="dcterms:W3CDTF">2020-02-05T00:20:00Z</dcterms:modified>
</cp:coreProperties>
</file>