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14" w:rsidRDefault="00BE2414" w:rsidP="00263589">
      <w:pPr>
        <w:pStyle w:val="MemoHeading"/>
        <w:widowControl w:val="0"/>
        <w:spacing w:after="0"/>
        <w:rPr>
          <w:sz w:val="26"/>
          <w:szCs w:val="26"/>
        </w:rPr>
      </w:pPr>
      <w:bookmarkStart w:id="0" w:name="bmkMemoHeading"/>
      <w:bookmarkStart w:id="1" w:name="_GoBack"/>
      <w:bookmarkEnd w:id="1"/>
    </w:p>
    <w:p w:rsidR="00BE2414" w:rsidRDefault="00BE2414" w:rsidP="00263589">
      <w:pPr>
        <w:pStyle w:val="MemoHeading"/>
        <w:widowControl w:val="0"/>
        <w:spacing w:after="0"/>
        <w:rPr>
          <w:sz w:val="26"/>
          <w:szCs w:val="26"/>
        </w:rPr>
      </w:pPr>
    </w:p>
    <w:p w:rsidR="009C1932" w:rsidRPr="00263589" w:rsidRDefault="009C1932" w:rsidP="00263589">
      <w:pPr>
        <w:pStyle w:val="MemoHeading"/>
        <w:widowControl w:val="0"/>
        <w:spacing w:after="0"/>
        <w:rPr>
          <w:sz w:val="26"/>
          <w:szCs w:val="26"/>
        </w:rPr>
      </w:pPr>
      <w:r w:rsidRPr="00263589">
        <w:rPr>
          <w:sz w:val="26"/>
          <w:szCs w:val="26"/>
        </w:rPr>
        <w:t>MEMORANDUM</w:t>
      </w:r>
      <w:bookmarkEnd w:id="0"/>
    </w:p>
    <w:p w:rsidR="009C1932" w:rsidRPr="009C1932" w:rsidRDefault="009C1932" w:rsidP="002622F7">
      <w:pPr>
        <w:pStyle w:val="BodyText"/>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7012"/>
      </w:tblGrid>
      <w:tr w:rsidR="009C1932" w:rsidRPr="009C1932" w:rsidTr="00FF1BB0">
        <w:tc>
          <w:tcPr>
            <w:tcW w:w="2050" w:type="dxa"/>
          </w:tcPr>
          <w:p w:rsidR="009C1932" w:rsidRPr="009C1932" w:rsidRDefault="009C1932" w:rsidP="002622F7">
            <w:pPr>
              <w:pStyle w:val="BBBodyTextNoSpacing"/>
              <w:widowControl w:val="0"/>
              <w:rPr>
                <w:rFonts w:ascii="Georgia" w:hAnsi="Georgia"/>
                <w:b/>
                <w:sz w:val="22"/>
              </w:rPr>
            </w:pPr>
            <w:bookmarkStart w:id="2" w:name="labTo"/>
            <w:r w:rsidRPr="009C1932">
              <w:rPr>
                <w:rFonts w:ascii="Georgia" w:hAnsi="Georgia"/>
                <w:b/>
                <w:sz w:val="22"/>
              </w:rPr>
              <w:t>To</w:t>
            </w:r>
            <w:bookmarkEnd w:id="2"/>
            <w:r w:rsidRPr="009C1932">
              <w:rPr>
                <w:rFonts w:ascii="Georgia" w:hAnsi="Georgia"/>
                <w:b/>
                <w:sz w:val="22"/>
              </w:rPr>
              <w:t>:</w:t>
            </w:r>
          </w:p>
        </w:tc>
        <w:tc>
          <w:tcPr>
            <w:tcW w:w="7236" w:type="dxa"/>
          </w:tcPr>
          <w:p w:rsidR="009C1932" w:rsidRPr="009C1932" w:rsidRDefault="009C1932" w:rsidP="002622F7">
            <w:pPr>
              <w:pStyle w:val="BBBodyTextNoSpacing"/>
              <w:widowControl w:val="0"/>
              <w:rPr>
                <w:rFonts w:ascii="Georgia" w:hAnsi="Georgia"/>
                <w:sz w:val="22"/>
              </w:rPr>
            </w:pPr>
            <w:bookmarkStart w:id="3" w:name="bmkTo"/>
            <w:r w:rsidRPr="009C1932">
              <w:rPr>
                <w:rFonts w:ascii="Georgia" w:hAnsi="Georgia"/>
                <w:sz w:val="22"/>
              </w:rPr>
              <w:t>Internet Corporation for Assigned Names and Numbers</w:t>
            </w:r>
            <w:bookmarkEnd w:id="3"/>
            <w:r w:rsidR="00255C56">
              <w:rPr>
                <w:rFonts w:ascii="Georgia" w:hAnsi="Georgia"/>
                <w:sz w:val="22"/>
              </w:rPr>
              <w:t xml:space="preserve"> (ICANN)</w:t>
            </w:r>
            <w:r w:rsidRPr="009C1932">
              <w:rPr>
                <w:rFonts w:ascii="Georgia" w:hAnsi="Georgia"/>
                <w:sz w:val="22"/>
              </w:rPr>
              <w:t>, EPDP Team</w:t>
            </w:r>
          </w:p>
        </w:tc>
      </w:tr>
      <w:tr w:rsidR="009C1932" w:rsidRPr="009C1932" w:rsidTr="00FF1BB0">
        <w:tc>
          <w:tcPr>
            <w:tcW w:w="2050" w:type="dxa"/>
          </w:tcPr>
          <w:p w:rsidR="009C1932" w:rsidRPr="009C1932" w:rsidRDefault="009C1932" w:rsidP="002622F7">
            <w:pPr>
              <w:pStyle w:val="BBBodyTextNoSpacing"/>
              <w:widowControl w:val="0"/>
              <w:rPr>
                <w:rFonts w:ascii="Georgia" w:hAnsi="Georgia"/>
                <w:b/>
                <w:sz w:val="22"/>
              </w:rPr>
            </w:pPr>
            <w:bookmarkStart w:id="4" w:name="labFrom"/>
            <w:r w:rsidRPr="009C1932">
              <w:rPr>
                <w:rFonts w:ascii="Georgia" w:hAnsi="Georgia"/>
                <w:b/>
                <w:sz w:val="22"/>
              </w:rPr>
              <w:t>From</w:t>
            </w:r>
            <w:bookmarkEnd w:id="4"/>
            <w:r w:rsidRPr="009C1932">
              <w:rPr>
                <w:rFonts w:ascii="Georgia" w:hAnsi="Georgia"/>
                <w:b/>
                <w:sz w:val="22"/>
              </w:rPr>
              <w:t>:</w:t>
            </w:r>
          </w:p>
        </w:tc>
        <w:tc>
          <w:tcPr>
            <w:tcW w:w="7236" w:type="dxa"/>
          </w:tcPr>
          <w:p w:rsidR="009C1932" w:rsidRPr="009C1932" w:rsidRDefault="00263589" w:rsidP="002622F7">
            <w:pPr>
              <w:pStyle w:val="BBBodyTextNoSpacing"/>
              <w:widowControl w:val="0"/>
              <w:rPr>
                <w:rFonts w:ascii="Georgia" w:hAnsi="Georgia"/>
                <w:sz w:val="22"/>
              </w:rPr>
            </w:pPr>
            <w:r>
              <w:rPr>
                <w:rFonts w:ascii="Georgia" w:hAnsi="Georgia"/>
                <w:sz w:val="22"/>
              </w:rPr>
              <w:t>Ruth Boardman &amp; Katerina Tassi, Bird &amp; Bird LLP</w:t>
            </w:r>
          </w:p>
        </w:tc>
      </w:tr>
      <w:tr w:rsidR="009C1932" w:rsidRPr="009C1932" w:rsidTr="00FF1BB0">
        <w:tc>
          <w:tcPr>
            <w:tcW w:w="2050" w:type="dxa"/>
          </w:tcPr>
          <w:p w:rsidR="009C1932" w:rsidRPr="009C1932" w:rsidRDefault="009C1932" w:rsidP="002622F7">
            <w:pPr>
              <w:pStyle w:val="BBBodyTextNoSpacing"/>
              <w:widowControl w:val="0"/>
              <w:rPr>
                <w:rFonts w:ascii="Georgia" w:hAnsi="Georgia"/>
                <w:b/>
                <w:sz w:val="22"/>
              </w:rPr>
            </w:pPr>
            <w:bookmarkStart w:id="5" w:name="labDate"/>
            <w:r w:rsidRPr="009C1932">
              <w:rPr>
                <w:rFonts w:ascii="Georgia" w:hAnsi="Georgia"/>
                <w:b/>
                <w:sz w:val="22"/>
              </w:rPr>
              <w:t>Date</w:t>
            </w:r>
            <w:bookmarkEnd w:id="5"/>
            <w:r w:rsidRPr="009C1932">
              <w:rPr>
                <w:rFonts w:ascii="Georgia" w:hAnsi="Georgia"/>
                <w:b/>
                <w:sz w:val="22"/>
              </w:rPr>
              <w:t>:</w:t>
            </w:r>
          </w:p>
        </w:tc>
        <w:tc>
          <w:tcPr>
            <w:tcW w:w="7236" w:type="dxa"/>
          </w:tcPr>
          <w:p w:rsidR="009C1932" w:rsidRPr="00AD0DFA" w:rsidRDefault="00AD0DFA" w:rsidP="002622F7">
            <w:pPr>
              <w:pStyle w:val="BBBodyTextNoSpacing"/>
              <w:widowControl w:val="0"/>
              <w:rPr>
                <w:rFonts w:ascii="Georgia" w:hAnsi="Georgia"/>
                <w:sz w:val="22"/>
              </w:rPr>
            </w:pPr>
            <w:r w:rsidRPr="00AD0DFA">
              <w:rPr>
                <w:rFonts w:ascii="Georgia" w:hAnsi="Georgia"/>
                <w:sz w:val="22"/>
              </w:rPr>
              <w:t xml:space="preserve">13 March 2020 </w:t>
            </w:r>
          </w:p>
        </w:tc>
      </w:tr>
      <w:tr w:rsidR="009C1932" w:rsidRPr="009C1932" w:rsidTr="00FF1BB0">
        <w:tc>
          <w:tcPr>
            <w:tcW w:w="2050" w:type="dxa"/>
          </w:tcPr>
          <w:p w:rsidR="009C1932" w:rsidRPr="009C1932" w:rsidRDefault="009C1932" w:rsidP="002622F7">
            <w:pPr>
              <w:pStyle w:val="BBBodyTextNoSpacing"/>
              <w:widowControl w:val="0"/>
              <w:rPr>
                <w:rFonts w:ascii="Georgia" w:hAnsi="Georgia"/>
                <w:b/>
                <w:sz w:val="22"/>
              </w:rPr>
            </w:pPr>
            <w:bookmarkStart w:id="6" w:name="labRe"/>
            <w:r w:rsidRPr="009C1932">
              <w:rPr>
                <w:rFonts w:ascii="Georgia" w:hAnsi="Georgia"/>
                <w:b/>
                <w:sz w:val="22"/>
              </w:rPr>
              <w:t>Subject</w:t>
            </w:r>
            <w:bookmarkEnd w:id="6"/>
            <w:r w:rsidRPr="009C1932">
              <w:rPr>
                <w:rFonts w:ascii="Georgia" w:hAnsi="Georgia"/>
                <w:b/>
                <w:sz w:val="22"/>
              </w:rPr>
              <w:t>:</w:t>
            </w:r>
          </w:p>
        </w:tc>
        <w:tc>
          <w:tcPr>
            <w:tcW w:w="7236" w:type="dxa"/>
          </w:tcPr>
          <w:p w:rsidR="009C1932" w:rsidRPr="009C1932" w:rsidRDefault="009C1932" w:rsidP="00553540">
            <w:pPr>
              <w:pStyle w:val="BBBodyTextNoSpacing"/>
              <w:widowControl w:val="0"/>
              <w:rPr>
                <w:rFonts w:ascii="Georgia" w:hAnsi="Georgia"/>
                <w:sz w:val="22"/>
              </w:rPr>
            </w:pPr>
            <w:bookmarkStart w:id="7" w:name="bmkRe"/>
            <w:r w:rsidRPr="009C1932">
              <w:rPr>
                <w:rFonts w:ascii="Georgia" w:hAnsi="Georgia"/>
                <w:sz w:val="22"/>
              </w:rPr>
              <w:t>Advice on</w:t>
            </w:r>
            <w:r w:rsidR="00263589">
              <w:rPr>
                <w:rFonts w:ascii="Georgia" w:hAnsi="Georgia"/>
                <w:sz w:val="22"/>
              </w:rPr>
              <w:t xml:space="preserve"> consent options </w:t>
            </w:r>
            <w:r w:rsidR="00553540">
              <w:rPr>
                <w:rFonts w:ascii="Georgia" w:hAnsi="Georgia"/>
                <w:sz w:val="22"/>
              </w:rPr>
              <w:t xml:space="preserve">for the purpose of making personal data public in RDS </w:t>
            </w:r>
            <w:r w:rsidR="00263589">
              <w:rPr>
                <w:rFonts w:ascii="Georgia" w:hAnsi="Georgia"/>
                <w:sz w:val="22"/>
              </w:rPr>
              <w:t xml:space="preserve">and requirements under </w:t>
            </w:r>
            <w:r w:rsidRPr="009C1932">
              <w:rPr>
                <w:rFonts w:ascii="Georgia" w:hAnsi="Georgia"/>
                <w:sz w:val="22"/>
              </w:rPr>
              <w:t>the General Data Protection Regulation (Regulation (EU) 2016/679) ("</w:t>
            </w:r>
            <w:r w:rsidRPr="009C1932">
              <w:rPr>
                <w:rFonts w:ascii="Georgia" w:hAnsi="Georgia"/>
                <w:b/>
                <w:sz w:val="22"/>
              </w:rPr>
              <w:t>GDPR</w:t>
            </w:r>
            <w:r w:rsidRPr="009C1932">
              <w:rPr>
                <w:rFonts w:ascii="Georgia" w:hAnsi="Georgia"/>
                <w:sz w:val="22"/>
              </w:rPr>
              <w:t>")</w:t>
            </w:r>
            <w:bookmarkEnd w:id="7"/>
            <w:r w:rsidR="00263589">
              <w:rPr>
                <w:rFonts w:ascii="Georgia" w:hAnsi="Georgia"/>
                <w:sz w:val="22"/>
              </w:rPr>
              <w:t xml:space="preserve"> </w:t>
            </w:r>
          </w:p>
        </w:tc>
      </w:tr>
    </w:tbl>
    <w:p w:rsidR="009C1932" w:rsidRPr="009C1932" w:rsidRDefault="009C1932" w:rsidP="002622F7">
      <w:pPr>
        <w:widowControl w:val="0"/>
        <w:pBdr>
          <w:bottom w:val="single" w:sz="12" w:space="1" w:color="auto"/>
        </w:pBdr>
        <w:spacing w:after="0"/>
        <w:jc w:val="both"/>
        <w:rPr>
          <w:rFonts w:ascii="Georgia" w:eastAsia="Calibri" w:hAnsi="Georgia" w:cs="Calibri"/>
        </w:rPr>
      </w:pPr>
    </w:p>
    <w:p w:rsidR="009C1932" w:rsidRDefault="009C1932" w:rsidP="002622F7">
      <w:pPr>
        <w:widowControl w:val="0"/>
        <w:autoSpaceDE w:val="0"/>
        <w:autoSpaceDN w:val="0"/>
        <w:spacing w:after="0"/>
        <w:jc w:val="both"/>
        <w:rPr>
          <w:rFonts w:ascii="Georgia" w:eastAsia="Calibri" w:hAnsi="Georgia" w:cs="Calibri"/>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65674D" w:rsidTr="008450BD">
        <w:tc>
          <w:tcPr>
            <w:tcW w:w="9242" w:type="dxa"/>
            <w:shd w:val="clear" w:color="auto" w:fill="F2F2F2" w:themeFill="background1" w:themeFillShade="F2"/>
          </w:tcPr>
          <w:p w:rsidR="0065674D" w:rsidRDefault="0065674D" w:rsidP="0065674D">
            <w:pPr>
              <w:widowControl w:val="0"/>
              <w:autoSpaceDE w:val="0"/>
              <w:autoSpaceDN w:val="0"/>
              <w:jc w:val="both"/>
              <w:rPr>
                <w:rFonts w:ascii="Georgia" w:eastAsia="Calibri" w:hAnsi="Georgia" w:cs="Calibri"/>
              </w:rPr>
            </w:pPr>
          </w:p>
          <w:p w:rsidR="0065674D" w:rsidRPr="0059233F" w:rsidRDefault="0065674D" w:rsidP="0065674D">
            <w:pPr>
              <w:widowControl w:val="0"/>
              <w:autoSpaceDE w:val="0"/>
              <w:autoSpaceDN w:val="0"/>
              <w:jc w:val="both"/>
              <w:rPr>
                <w:rFonts w:ascii="Georgia" w:eastAsia="Calibri" w:hAnsi="Georgia" w:cs="Calibri"/>
                <w:b/>
                <w:bCs/>
                <w:sz w:val="22"/>
                <w:szCs w:val="22"/>
              </w:rPr>
            </w:pPr>
            <w:r w:rsidRPr="0059233F">
              <w:rPr>
                <w:rFonts w:ascii="Georgia" w:eastAsia="Calibri" w:hAnsi="Georgia" w:cs="Calibri"/>
                <w:b/>
                <w:bCs/>
                <w:sz w:val="22"/>
                <w:szCs w:val="22"/>
              </w:rPr>
              <w:t>EXECUTIVE SUMMARY</w:t>
            </w:r>
          </w:p>
          <w:p w:rsidR="0065674D" w:rsidRPr="0059233F" w:rsidRDefault="0065674D" w:rsidP="0065674D">
            <w:pPr>
              <w:widowControl w:val="0"/>
              <w:autoSpaceDE w:val="0"/>
              <w:autoSpaceDN w:val="0"/>
              <w:jc w:val="both"/>
              <w:rPr>
                <w:rFonts w:ascii="Georgia" w:eastAsia="Calibri" w:hAnsi="Georgia" w:cs="Calibri"/>
                <w:sz w:val="22"/>
                <w:szCs w:val="22"/>
              </w:rPr>
            </w:pPr>
          </w:p>
          <w:p w:rsidR="0065674D" w:rsidRPr="0059233F" w:rsidRDefault="0065674D" w:rsidP="00235CB7">
            <w:pPr>
              <w:widowControl w:val="0"/>
              <w:autoSpaceDE w:val="0"/>
              <w:autoSpaceDN w:val="0"/>
              <w:jc w:val="both"/>
              <w:rPr>
                <w:rFonts w:ascii="Georgia" w:eastAsia="Calibri" w:hAnsi="Georgia" w:cs="Calibri"/>
                <w:sz w:val="22"/>
                <w:szCs w:val="22"/>
              </w:rPr>
            </w:pPr>
            <w:r w:rsidRPr="0059233F">
              <w:rPr>
                <w:rFonts w:ascii="Georgia" w:eastAsia="Calibri" w:hAnsi="Georgia" w:cs="Calibri"/>
                <w:sz w:val="22"/>
                <w:szCs w:val="22"/>
              </w:rPr>
              <w:t xml:space="preserve">This document </w:t>
            </w:r>
            <w:r w:rsidR="00235CB7">
              <w:rPr>
                <w:rFonts w:ascii="Georgia" w:eastAsia="Calibri" w:hAnsi="Georgia" w:cs="Calibri"/>
                <w:sz w:val="22"/>
                <w:szCs w:val="22"/>
              </w:rPr>
              <w:t xml:space="preserve">analyses the consent requirements set out in the GDPR and examines </w:t>
            </w:r>
            <w:r w:rsidRPr="0059233F">
              <w:rPr>
                <w:rFonts w:ascii="Georgia" w:eastAsia="Calibri" w:hAnsi="Georgia" w:cs="Calibri"/>
                <w:sz w:val="22"/>
                <w:szCs w:val="22"/>
              </w:rPr>
              <w:t xml:space="preserve">consents options for the purpose of </w:t>
            </w:r>
            <w:r w:rsidR="0059233F">
              <w:rPr>
                <w:rFonts w:ascii="Georgia" w:eastAsia="Calibri" w:hAnsi="Georgia" w:cs="Calibri"/>
                <w:sz w:val="22"/>
                <w:szCs w:val="22"/>
              </w:rPr>
              <w:t>publishing in RDS personal data provided in the context of the registration of legal person registrants.</w:t>
            </w:r>
            <w:r w:rsidRPr="0059233F">
              <w:rPr>
                <w:rFonts w:ascii="Georgia" w:eastAsia="Calibri" w:hAnsi="Georgia" w:cs="Calibri"/>
                <w:sz w:val="22"/>
                <w:szCs w:val="22"/>
              </w:rPr>
              <w:t xml:space="preserve"> </w:t>
            </w:r>
          </w:p>
          <w:p w:rsidR="0065674D" w:rsidRDefault="0065674D" w:rsidP="0065674D">
            <w:pPr>
              <w:widowControl w:val="0"/>
              <w:autoSpaceDE w:val="0"/>
              <w:autoSpaceDN w:val="0"/>
              <w:jc w:val="both"/>
              <w:rPr>
                <w:rFonts w:ascii="Georgia" w:eastAsia="Calibri" w:hAnsi="Georgia" w:cs="Calibri"/>
                <w:sz w:val="22"/>
                <w:szCs w:val="22"/>
              </w:rPr>
            </w:pPr>
          </w:p>
          <w:p w:rsidR="00235CB7" w:rsidRPr="00235CB7" w:rsidRDefault="00235CB7" w:rsidP="008450BD">
            <w:pPr>
              <w:widowControl w:val="0"/>
              <w:autoSpaceDE w:val="0"/>
              <w:autoSpaceDN w:val="0"/>
              <w:jc w:val="both"/>
              <w:rPr>
                <w:rFonts w:ascii="Georgia" w:eastAsia="Calibri" w:hAnsi="Georgia" w:cs="Calibri"/>
                <w:sz w:val="22"/>
                <w:szCs w:val="22"/>
                <w:u w:val="single"/>
              </w:rPr>
            </w:pPr>
            <w:r w:rsidRPr="00235CB7">
              <w:rPr>
                <w:rFonts w:ascii="Georgia" w:eastAsia="Calibri" w:hAnsi="Georgia" w:cs="Calibri"/>
                <w:sz w:val="22"/>
                <w:szCs w:val="22"/>
                <w:u w:val="single"/>
              </w:rPr>
              <w:t>Consent requirements</w:t>
            </w:r>
          </w:p>
          <w:p w:rsidR="0065674D" w:rsidRPr="0059233F" w:rsidRDefault="0065674D" w:rsidP="008450BD">
            <w:pPr>
              <w:widowControl w:val="0"/>
              <w:autoSpaceDE w:val="0"/>
              <w:autoSpaceDN w:val="0"/>
              <w:spacing w:before="240"/>
              <w:jc w:val="both"/>
              <w:rPr>
                <w:rFonts w:ascii="Georgia" w:eastAsia="Calibri" w:hAnsi="Georgia" w:cs="Calibri"/>
                <w:sz w:val="22"/>
                <w:szCs w:val="22"/>
              </w:rPr>
            </w:pPr>
            <w:r w:rsidRPr="0059233F">
              <w:rPr>
                <w:rFonts w:ascii="Georgia" w:eastAsia="Calibri" w:hAnsi="Georgia" w:cs="Calibri"/>
                <w:sz w:val="22"/>
                <w:szCs w:val="22"/>
              </w:rPr>
              <w:t xml:space="preserve">Pursuant to the GDPR, consent must be </w:t>
            </w:r>
            <w:r w:rsidRPr="0059233F">
              <w:rPr>
                <w:rFonts w:ascii="Georgia" w:eastAsia="Calibri" w:hAnsi="Georgia" w:cs="Calibri"/>
                <w:sz w:val="22"/>
                <w:szCs w:val="22"/>
                <w:u w:val="single"/>
              </w:rPr>
              <w:t>freely given</w:t>
            </w:r>
            <w:r w:rsidRPr="0059233F">
              <w:rPr>
                <w:rFonts w:ascii="Georgia" w:eastAsia="Calibri" w:hAnsi="Georgia" w:cs="Calibri"/>
                <w:sz w:val="22"/>
                <w:szCs w:val="22"/>
              </w:rPr>
              <w:t xml:space="preserve">, </w:t>
            </w:r>
            <w:r w:rsidRPr="0059233F">
              <w:rPr>
                <w:rFonts w:ascii="Georgia" w:eastAsia="Calibri" w:hAnsi="Georgia" w:cs="Calibri"/>
                <w:sz w:val="22"/>
                <w:szCs w:val="22"/>
                <w:u w:val="single"/>
              </w:rPr>
              <w:t>specific</w:t>
            </w:r>
            <w:r w:rsidRPr="0059233F">
              <w:rPr>
                <w:rFonts w:ascii="Georgia" w:eastAsia="Calibri" w:hAnsi="Georgia" w:cs="Calibri"/>
                <w:sz w:val="22"/>
                <w:szCs w:val="22"/>
              </w:rPr>
              <w:t xml:space="preserve">, </w:t>
            </w:r>
            <w:r w:rsidRPr="0059233F">
              <w:rPr>
                <w:rFonts w:ascii="Georgia" w:eastAsia="Calibri" w:hAnsi="Georgia" w:cs="Calibri"/>
                <w:sz w:val="22"/>
                <w:szCs w:val="22"/>
                <w:u w:val="single"/>
              </w:rPr>
              <w:t>informed</w:t>
            </w:r>
            <w:r w:rsidRPr="0059233F">
              <w:rPr>
                <w:rFonts w:ascii="Georgia" w:eastAsia="Calibri" w:hAnsi="Georgia" w:cs="Calibri"/>
                <w:sz w:val="22"/>
                <w:szCs w:val="22"/>
              </w:rPr>
              <w:t xml:space="preserve"> and </w:t>
            </w:r>
            <w:r w:rsidRPr="0059233F">
              <w:rPr>
                <w:rFonts w:ascii="Georgia" w:eastAsia="Calibri" w:hAnsi="Georgia" w:cs="Calibri"/>
                <w:sz w:val="22"/>
                <w:szCs w:val="22"/>
                <w:u w:val="single"/>
              </w:rPr>
              <w:t>unambiguous</w:t>
            </w:r>
            <w:r w:rsidRPr="0059233F">
              <w:rPr>
                <w:rFonts w:ascii="Georgia" w:eastAsia="Calibri" w:hAnsi="Georgia" w:cs="Calibri"/>
                <w:sz w:val="22"/>
                <w:szCs w:val="22"/>
              </w:rPr>
              <w:t xml:space="preserve">. Also, </w:t>
            </w:r>
            <w:r w:rsidR="00235CB7">
              <w:rPr>
                <w:rFonts w:ascii="Georgia" w:eastAsia="Calibri" w:hAnsi="Georgia" w:cs="Calibri"/>
                <w:sz w:val="22"/>
                <w:szCs w:val="22"/>
              </w:rPr>
              <w:t>it</w:t>
            </w:r>
            <w:r w:rsidRPr="0059233F">
              <w:rPr>
                <w:rFonts w:ascii="Georgia" w:eastAsia="Calibri" w:hAnsi="Georgia" w:cs="Calibri"/>
                <w:sz w:val="22"/>
                <w:szCs w:val="22"/>
              </w:rPr>
              <w:t xml:space="preserve"> needs to be </w:t>
            </w:r>
            <w:r w:rsidR="00235CB7">
              <w:rPr>
                <w:rFonts w:ascii="Georgia" w:eastAsia="Calibri" w:hAnsi="Georgia" w:cs="Calibri"/>
                <w:sz w:val="22"/>
                <w:szCs w:val="22"/>
              </w:rPr>
              <w:t xml:space="preserve">obtained </w:t>
            </w:r>
            <w:r w:rsidRPr="0059233F">
              <w:rPr>
                <w:rFonts w:ascii="Georgia" w:eastAsia="Calibri" w:hAnsi="Georgia" w:cs="Calibri"/>
                <w:sz w:val="22"/>
                <w:szCs w:val="22"/>
              </w:rPr>
              <w:t>prior to the processing taking place</w:t>
            </w:r>
            <w:r w:rsidR="00235CB7">
              <w:rPr>
                <w:rFonts w:ascii="Georgia" w:eastAsia="Calibri" w:hAnsi="Georgia" w:cs="Calibri"/>
                <w:sz w:val="22"/>
                <w:szCs w:val="22"/>
              </w:rPr>
              <w:t>. C</w:t>
            </w:r>
            <w:r w:rsidR="0059233F">
              <w:rPr>
                <w:rFonts w:ascii="Georgia" w:eastAsia="Calibri" w:hAnsi="Georgia" w:cs="Calibri"/>
                <w:sz w:val="22"/>
                <w:szCs w:val="22"/>
              </w:rPr>
              <w:t xml:space="preserve">ontrollers must be able to demonstrate that </w:t>
            </w:r>
            <w:r w:rsidR="00235CB7">
              <w:rPr>
                <w:rFonts w:ascii="Georgia" w:eastAsia="Calibri" w:hAnsi="Georgia" w:cs="Calibri"/>
                <w:sz w:val="22"/>
                <w:szCs w:val="22"/>
              </w:rPr>
              <w:t xml:space="preserve">valid </w:t>
            </w:r>
            <w:r w:rsidR="0059233F">
              <w:rPr>
                <w:rFonts w:ascii="Georgia" w:eastAsia="Calibri" w:hAnsi="Georgia" w:cs="Calibri"/>
                <w:sz w:val="22"/>
                <w:szCs w:val="22"/>
              </w:rPr>
              <w:t xml:space="preserve">consent has been given </w:t>
            </w:r>
            <w:r w:rsidRPr="0059233F">
              <w:rPr>
                <w:rFonts w:ascii="Georgia" w:eastAsia="Calibri" w:hAnsi="Georgia" w:cs="Calibri"/>
                <w:sz w:val="22"/>
                <w:szCs w:val="22"/>
              </w:rPr>
              <w:t xml:space="preserve">and individuals have the right to withdraw consent at any time. </w:t>
            </w:r>
          </w:p>
          <w:p w:rsidR="0065674D" w:rsidRPr="0059233F" w:rsidRDefault="0065674D" w:rsidP="0065674D">
            <w:pPr>
              <w:widowControl w:val="0"/>
              <w:autoSpaceDE w:val="0"/>
              <w:autoSpaceDN w:val="0"/>
              <w:jc w:val="both"/>
              <w:rPr>
                <w:rFonts w:ascii="Georgia" w:eastAsia="Calibri" w:hAnsi="Georgia" w:cs="Calibri"/>
                <w:sz w:val="22"/>
                <w:szCs w:val="22"/>
              </w:rPr>
            </w:pPr>
          </w:p>
          <w:p w:rsidR="0065674D" w:rsidRPr="0059233F" w:rsidRDefault="00235CB7" w:rsidP="00235CB7">
            <w:pPr>
              <w:widowControl w:val="0"/>
              <w:autoSpaceDE w:val="0"/>
              <w:autoSpaceDN w:val="0"/>
              <w:jc w:val="both"/>
              <w:rPr>
                <w:rFonts w:ascii="Georgia" w:eastAsia="Calibri" w:hAnsi="Georgia" w:cs="Calibri"/>
                <w:sz w:val="22"/>
                <w:szCs w:val="22"/>
              </w:rPr>
            </w:pPr>
            <w:r>
              <w:rPr>
                <w:rFonts w:ascii="Georgia" w:eastAsia="Calibri" w:hAnsi="Georgia" w:cs="Calibri"/>
                <w:sz w:val="22"/>
                <w:szCs w:val="22"/>
              </w:rPr>
              <w:t>Under the GDPR, t</w:t>
            </w:r>
            <w:r w:rsidR="0065674D" w:rsidRPr="0059233F">
              <w:rPr>
                <w:rFonts w:ascii="Georgia" w:eastAsia="Calibri" w:hAnsi="Georgia" w:cs="Calibri"/>
                <w:sz w:val="22"/>
                <w:szCs w:val="22"/>
              </w:rPr>
              <w:t xml:space="preserve">he obligation to obtain consent lies with the controller. The controller may </w:t>
            </w:r>
            <w:r w:rsidR="0059233F">
              <w:rPr>
                <w:rFonts w:ascii="Georgia" w:eastAsia="Calibri" w:hAnsi="Georgia" w:cs="Calibri"/>
                <w:sz w:val="22"/>
                <w:szCs w:val="22"/>
              </w:rPr>
              <w:t>instruct</w:t>
            </w:r>
            <w:r w:rsidR="0065674D" w:rsidRPr="0059233F">
              <w:rPr>
                <w:rFonts w:ascii="Georgia" w:eastAsia="Calibri" w:hAnsi="Georgia" w:cs="Calibri"/>
                <w:sz w:val="22"/>
                <w:szCs w:val="22"/>
              </w:rPr>
              <w:t xml:space="preserve"> a third party to obtain consent from indi</w:t>
            </w:r>
            <w:r>
              <w:rPr>
                <w:rFonts w:ascii="Georgia" w:eastAsia="Calibri" w:hAnsi="Georgia" w:cs="Calibri"/>
                <w:sz w:val="22"/>
                <w:szCs w:val="22"/>
              </w:rPr>
              <w:t>viduals on its behalf; however,</w:t>
            </w:r>
            <w:r w:rsidR="0059233F" w:rsidRPr="0059233F">
              <w:rPr>
                <w:rFonts w:ascii="Georgia" w:eastAsia="Calibri" w:hAnsi="Georgia" w:cs="Calibri"/>
                <w:sz w:val="22"/>
                <w:szCs w:val="22"/>
              </w:rPr>
              <w:t xml:space="preserve"> </w:t>
            </w:r>
            <w:r w:rsidR="0059233F">
              <w:rPr>
                <w:rFonts w:ascii="Georgia" w:eastAsia="Calibri" w:hAnsi="Georgia" w:cs="Calibri"/>
                <w:sz w:val="22"/>
                <w:szCs w:val="22"/>
              </w:rPr>
              <w:t xml:space="preserve">doing so </w:t>
            </w:r>
            <w:r w:rsidR="0059233F" w:rsidRPr="0059233F">
              <w:rPr>
                <w:rFonts w:ascii="Georgia" w:eastAsia="Calibri" w:hAnsi="Georgia" w:cs="Calibri"/>
                <w:sz w:val="22"/>
                <w:szCs w:val="22"/>
              </w:rPr>
              <w:t xml:space="preserve">will not relieve the </w:t>
            </w:r>
            <w:r w:rsidR="0059233F">
              <w:rPr>
                <w:rFonts w:ascii="Georgia" w:eastAsia="Calibri" w:hAnsi="Georgia" w:cs="Calibri"/>
                <w:sz w:val="22"/>
                <w:szCs w:val="22"/>
              </w:rPr>
              <w:t xml:space="preserve">controller </w:t>
            </w:r>
            <w:r w:rsidR="0059233F" w:rsidRPr="0059233F">
              <w:rPr>
                <w:rFonts w:ascii="Georgia" w:eastAsia="Calibri" w:hAnsi="Georgia" w:cs="Calibri"/>
                <w:sz w:val="22"/>
                <w:szCs w:val="22"/>
              </w:rPr>
              <w:t xml:space="preserve">from </w:t>
            </w:r>
            <w:r w:rsidR="0059233F">
              <w:rPr>
                <w:rFonts w:ascii="Georgia" w:eastAsia="Calibri" w:hAnsi="Georgia" w:cs="Calibri"/>
                <w:sz w:val="22"/>
                <w:szCs w:val="22"/>
              </w:rPr>
              <w:t xml:space="preserve">its </w:t>
            </w:r>
            <w:r w:rsidR="0059233F" w:rsidRPr="0059233F">
              <w:rPr>
                <w:rFonts w:ascii="Georgia" w:eastAsia="Calibri" w:hAnsi="Georgia" w:cs="Calibri"/>
                <w:sz w:val="22"/>
                <w:szCs w:val="22"/>
              </w:rPr>
              <w:t>obligations under the GDPR.</w:t>
            </w:r>
            <w:r w:rsidR="0065674D" w:rsidRPr="0059233F">
              <w:rPr>
                <w:rFonts w:ascii="Georgia" w:eastAsia="Calibri" w:hAnsi="Georgia" w:cs="Calibri"/>
                <w:sz w:val="22"/>
                <w:szCs w:val="22"/>
              </w:rPr>
              <w:t xml:space="preserve"> </w:t>
            </w:r>
          </w:p>
          <w:p w:rsidR="0065674D" w:rsidRDefault="0065674D" w:rsidP="0065674D">
            <w:pPr>
              <w:widowControl w:val="0"/>
              <w:autoSpaceDE w:val="0"/>
              <w:autoSpaceDN w:val="0"/>
              <w:jc w:val="both"/>
              <w:rPr>
                <w:rFonts w:ascii="Georgia" w:eastAsia="Calibri" w:hAnsi="Georgia" w:cs="Calibri"/>
                <w:sz w:val="22"/>
                <w:szCs w:val="22"/>
              </w:rPr>
            </w:pPr>
          </w:p>
          <w:p w:rsidR="00235CB7" w:rsidRPr="00235CB7" w:rsidRDefault="00235CB7" w:rsidP="0065674D">
            <w:pPr>
              <w:widowControl w:val="0"/>
              <w:autoSpaceDE w:val="0"/>
              <w:autoSpaceDN w:val="0"/>
              <w:jc w:val="both"/>
              <w:rPr>
                <w:rFonts w:ascii="Georgia" w:eastAsia="Calibri" w:hAnsi="Georgia" w:cs="Calibri"/>
                <w:sz w:val="22"/>
                <w:szCs w:val="22"/>
                <w:u w:val="single"/>
              </w:rPr>
            </w:pPr>
            <w:r w:rsidRPr="00235CB7">
              <w:rPr>
                <w:rFonts w:ascii="Georgia" w:eastAsia="Calibri" w:hAnsi="Georgia" w:cs="Calibri"/>
                <w:sz w:val="22"/>
                <w:szCs w:val="22"/>
                <w:u w:val="single"/>
              </w:rPr>
              <w:t>Consent options</w:t>
            </w:r>
          </w:p>
          <w:p w:rsidR="0065674D" w:rsidRDefault="0059233F" w:rsidP="008450BD">
            <w:pPr>
              <w:widowControl w:val="0"/>
              <w:autoSpaceDE w:val="0"/>
              <w:autoSpaceDN w:val="0"/>
              <w:spacing w:before="240"/>
              <w:jc w:val="both"/>
              <w:rPr>
                <w:rFonts w:ascii="Georgia" w:eastAsia="Calibri" w:hAnsi="Georgia" w:cs="Calibri"/>
                <w:sz w:val="22"/>
                <w:szCs w:val="22"/>
              </w:rPr>
            </w:pPr>
            <w:r>
              <w:rPr>
                <w:rFonts w:ascii="Georgia" w:eastAsia="Calibri" w:hAnsi="Georgia" w:cs="Calibri"/>
                <w:sz w:val="22"/>
                <w:szCs w:val="22"/>
              </w:rPr>
              <w:t xml:space="preserve">On the basis of </w:t>
            </w:r>
            <w:r w:rsidR="0065674D" w:rsidRPr="0059233F">
              <w:rPr>
                <w:rFonts w:ascii="Georgia" w:eastAsia="Calibri" w:hAnsi="Georgia" w:cs="Calibri"/>
                <w:sz w:val="22"/>
                <w:szCs w:val="22"/>
              </w:rPr>
              <w:t>the above</w:t>
            </w:r>
            <w:r>
              <w:rPr>
                <w:rFonts w:ascii="Georgia" w:eastAsia="Calibri" w:hAnsi="Georgia" w:cs="Calibri"/>
                <w:sz w:val="22"/>
                <w:szCs w:val="22"/>
              </w:rPr>
              <w:t xml:space="preserve"> requirements</w:t>
            </w:r>
            <w:r w:rsidR="0065674D" w:rsidRPr="0059233F">
              <w:rPr>
                <w:rFonts w:ascii="Georgia" w:eastAsia="Calibri" w:hAnsi="Georgia" w:cs="Calibri"/>
                <w:sz w:val="22"/>
                <w:szCs w:val="22"/>
              </w:rPr>
              <w:t xml:space="preserve">, this documents examines the following options </w:t>
            </w:r>
            <w:r>
              <w:rPr>
                <w:rFonts w:ascii="Georgia" w:eastAsia="Calibri" w:hAnsi="Georgia" w:cs="Calibri"/>
                <w:sz w:val="22"/>
                <w:szCs w:val="22"/>
              </w:rPr>
              <w:t xml:space="preserve">of </w:t>
            </w:r>
            <w:r w:rsidR="0065674D" w:rsidRPr="0059233F">
              <w:rPr>
                <w:rFonts w:ascii="Georgia" w:eastAsia="Calibri" w:hAnsi="Georgia" w:cs="Calibri"/>
                <w:sz w:val="22"/>
                <w:szCs w:val="22"/>
              </w:rPr>
              <w:t xml:space="preserve">obtaining consent for </w:t>
            </w:r>
            <w:r w:rsidR="00235CB7">
              <w:rPr>
                <w:rFonts w:ascii="Georgia" w:eastAsia="Calibri" w:hAnsi="Georgia" w:cs="Calibri"/>
                <w:sz w:val="22"/>
                <w:szCs w:val="22"/>
              </w:rPr>
              <w:t>making</w:t>
            </w:r>
            <w:r w:rsidR="0065674D" w:rsidRPr="0059233F">
              <w:rPr>
                <w:rFonts w:ascii="Georgia" w:eastAsia="Calibri" w:hAnsi="Georgia" w:cs="Calibri"/>
                <w:sz w:val="22"/>
                <w:szCs w:val="22"/>
              </w:rPr>
              <w:t xml:space="preserve"> </w:t>
            </w:r>
            <w:r>
              <w:rPr>
                <w:rFonts w:ascii="Georgia" w:eastAsia="Calibri" w:hAnsi="Georgia" w:cs="Calibri"/>
                <w:sz w:val="22"/>
                <w:szCs w:val="22"/>
              </w:rPr>
              <w:t xml:space="preserve">personal </w:t>
            </w:r>
            <w:r w:rsidR="0065674D" w:rsidRPr="0059233F">
              <w:rPr>
                <w:rFonts w:ascii="Georgia" w:eastAsia="Calibri" w:hAnsi="Georgia" w:cs="Calibri"/>
                <w:sz w:val="22"/>
                <w:szCs w:val="22"/>
              </w:rPr>
              <w:t xml:space="preserve">data </w:t>
            </w:r>
            <w:r w:rsidR="00235CB7">
              <w:rPr>
                <w:rFonts w:ascii="Georgia" w:eastAsia="Calibri" w:hAnsi="Georgia" w:cs="Calibri"/>
                <w:sz w:val="22"/>
                <w:szCs w:val="22"/>
              </w:rPr>
              <w:t xml:space="preserve">public </w:t>
            </w:r>
            <w:r w:rsidR="0065674D" w:rsidRPr="0059233F">
              <w:rPr>
                <w:rFonts w:ascii="Georgia" w:eastAsia="Calibri" w:hAnsi="Georgia" w:cs="Calibri"/>
                <w:sz w:val="22"/>
                <w:szCs w:val="22"/>
              </w:rPr>
              <w:t xml:space="preserve">in RDS and </w:t>
            </w:r>
            <w:r w:rsidR="00235CB7">
              <w:rPr>
                <w:rFonts w:ascii="Georgia" w:eastAsia="Calibri" w:hAnsi="Georgia" w:cs="Calibri"/>
                <w:sz w:val="22"/>
                <w:szCs w:val="22"/>
              </w:rPr>
              <w:t xml:space="preserve">sets out </w:t>
            </w:r>
            <w:r w:rsidR="0065674D" w:rsidRPr="0059233F">
              <w:rPr>
                <w:rFonts w:ascii="Georgia" w:eastAsia="Calibri" w:hAnsi="Georgia" w:cs="Calibri"/>
                <w:sz w:val="22"/>
                <w:szCs w:val="22"/>
              </w:rPr>
              <w:t>the compliance considerations of each option:</w:t>
            </w:r>
          </w:p>
          <w:p w:rsidR="00235CB7" w:rsidRDefault="00235CB7" w:rsidP="00235CB7">
            <w:pPr>
              <w:widowControl w:val="0"/>
              <w:autoSpaceDE w:val="0"/>
              <w:autoSpaceDN w:val="0"/>
              <w:jc w:val="both"/>
              <w:rPr>
                <w:rFonts w:ascii="Georgia" w:eastAsia="Calibri" w:hAnsi="Georgia" w:cs="Calibri"/>
                <w:sz w:val="22"/>
                <w:szCs w:val="22"/>
              </w:rPr>
            </w:pPr>
          </w:p>
          <w:p w:rsidR="00AF114E" w:rsidRPr="0019222D" w:rsidRDefault="00AF114E" w:rsidP="00AF114E">
            <w:pPr>
              <w:pStyle w:val="ListParagraph"/>
              <w:widowControl w:val="0"/>
              <w:numPr>
                <w:ilvl w:val="0"/>
                <w:numId w:val="20"/>
              </w:numPr>
              <w:autoSpaceDE w:val="0"/>
              <w:autoSpaceDN w:val="0"/>
              <w:ind w:left="426"/>
              <w:jc w:val="both"/>
              <w:rPr>
                <w:rFonts w:ascii="Georgia" w:eastAsia="Calibri" w:hAnsi="Georgia" w:cs="Calibri"/>
                <w:sz w:val="22"/>
                <w:szCs w:val="22"/>
                <w:u w:val="single"/>
              </w:rPr>
            </w:pPr>
            <w:r w:rsidRPr="0019222D">
              <w:rPr>
                <w:rFonts w:ascii="Georgia" w:eastAsia="Calibri" w:hAnsi="Georgia" w:cs="Calibri"/>
                <w:sz w:val="22"/>
                <w:szCs w:val="22"/>
                <w:u w:val="single"/>
              </w:rPr>
              <w:t>Controllers seek valid consent directly from individuals</w:t>
            </w:r>
          </w:p>
          <w:p w:rsidR="00AF114E" w:rsidRPr="00AF114E" w:rsidRDefault="00AF114E" w:rsidP="00AF114E">
            <w:pPr>
              <w:pStyle w:val="ListParagraph"/>
              <w:widowControl w:val="0"/>
              <w:numPr>
                <w:ilvl w:val="0"/>
                <w:numId w:val="21"/>
              </w:numPr>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 xml:space="preserve">Making personal data public in RDS is optional. </w:t>
            </w:r>
          </w:p>
          <w:p w:rsidR="00AF114E" w:rsidRPr="00AF114E" w:rsidRDefault="00AF114E" w:rsidP="00AF114E">
            <w:pPr>
              <w:pStyle w:val="ListParagraph"/>
              <w:widowControl w:val="0"/>
              <w:numPr>
                <w:ilvl w:val="0"/>
                <w:numId w:val="21"/>
              </w:numPr>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 xml:space="preserve">Prior to making personal data public, </w:t>
            </w:r>
            <w:r w:rsidR="00571179">
              <w:rPr>
                <w:rFonts w:ascii="Georgia" w:eastAsia="Calibri" w:hAnsi="Georgia" w:cs="Calibri"/>
                <w:sz w:val="22"/>
                <w:szCs w:val="22"/>
              </w:rPr>
              <w:t xml:space="preserve">the </w:t>
            </w:r>
            <w:r w:rsidRPr="00AF114E">
              <w:rPr>
                <w:rFonts w:ascii="Georgia" w:eastAsia="Calibri" w:hAnsi="Georgia" w:cs="Calibri"/>
                <w:sz w:val="22"/>
                <w:szCs w:val="22"/>
              </w:rPr>
              <w:t>controller contacts individuals directly to seek consent in line with the GDPR.</w:t>
            </w:r>
          </w:p>
          <w:p w:rsidR="00AF114E" w:rsidRPr="00AF114E" w:rsidRDefault="00AF114E" w:rsidP="00AF114E">
            <w:pPr>
              <w:pStyle w:val="ListParagraph"/>
              <w:widowControl w:val="0"/>
              <w:numPr>
                <w:ilvl w:val="0"/>
                <w:numId w:val="21"/>
              </w:numPr>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In the event of refusal to consent or failure to respond, the personal data will not be made public</w:t>
            </w:r>
            <w:r>
              <w:rPr>
                <w:rFonts w:ascii="Georgia" w:eastAsia="Calibri" w:hAnsi="Georgia" w:cs="Calibri"/>
                <w:sz w:val="22"/>
                <w:szCs w:val="22"/>
              </w:rPr>
              <w:t>.</w:t>
            </w:r>
          </w:p>
          <w:p w:rsidR="00AF114E" w:rsidRPr="00AF114E" w:rsidRDefault="00AF114E" w:rsidP="00AF114E">
            <w:pPr>
              <w:pStyle w:val="ListParagraph"/>
              <w:widowControl w:val="0"/>
              <w:autoSpaceDE w:val="0"/>
              <w:autoSpaceDN w:val="0"/>
              <w:ind w:left="851"/>
              <w:jc w:val="both"/>
              <w:rPr>
                <w:rFonts w:ascii="Georgia" w:eastAsia="Calibri" w:hAnsi="Georgia" w:cs="Calibri"/>
              </w:rPr>
            </w:pPr>
          </w:p>
          <w:p w:rsidR="00AF114E" w:rsidRPr="0019222D" w:rsidRDefault="00AF114E" w:rsidP="00AF114E">
            <w:pPr>
              <w:pStyle w:val="ListParagraph"/>
              <w:widowControl w:val="0"/>
              <w:numPr>
                <w:ilvl w:val="0"/>
                <w:numId w:val="20"/>
              </w:numPr>
              <w:autoSpaceDE w:val="0"/>
              <w:autoSpaceDN w:val="0"/>
              <w:ind w:left="426"/>
              <w:jc w:val="both"/>
              <w:rPr>
                <w:rFonts w:ascii="Georgia" w:eastAsia="Calibri" w:hAnsi="Georgia" w:cs="Calibri"/>
                <w:u w:val="single"/>
              </w:rPr>
            </w:pPr>
            <w:r w:rsidRPr="0019222D">
              <w:rPr>
                <w:rFonts w:ascii="Georgia" w:eastAsia="Calibri" w:hAnsi="Georgia" w:cs="Calibri"/>
                <w:sz w:val="22"/>
                <w:szCs w:val="22"/>
                <w:u w:val="single"/>
              </w:rPr>
              <w:t>Registrant obtains valid consent and provides evidence to controller</w:t>
            </w:r>
          </w:p>
          <w:p w:rsidR="00AF114E" w:rsidRPr="00AF114E" w:rsidRDefault="00AF114E" w:rsidP="00AF114E">
            <w:pPr>
              <w:pStyle w:val="ListParagraph"/>
              <w:widowControl w:val="0"/>
              <w:numPr>
                <w:ilvl w:val="0"/>
                <w:numId w:val="21"/>
              </w:numPr>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 xml:space="preserve">Making personal data public in RDS is optional. </w:t>
            </w:r>
          </w:p>
          <w:p w:rsidR="00AF114E" w:rsidRPr="00AF114E" w:rsidRDefault="00AF114E" w:rsidP="00AF114E">
            <w:pPr>
              <w:pStyle w:val="ListParagraph"/>
              <w:widowControl w:val="0"/>
              <w:numPr>
                <w:ilvl w:val="0"/>
                <w:numId w:val="21"/>
              </w:numPr>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Prior to making personal data public, the controller requires the registrant to:</w:t>
            </w:r>
          </w:p>
          <w:p w:rsidR="00AF114E" w:rsidRPr="00AF114E" w:rsidRDefault="00AF114E" w:rsidP="00AF114E">
            <w:pPr>
              <w:pStyle w:val="ListParagraph"/>
              <w:widowControl w:val="0"/>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 xml:space="preserve">(a) obtain individuals' consent; and </w:t>
            </w:r>
          </w:p>
          <w:p w:rsidR="00AF114E" w:rsidRPr="00AF114E" w:rsidRDefault="00AF114E" w:rsidP="00AF114E">
            <w:pPr>
              <w:pStyle w:val="ListParagraph"/>
              <w:widowControl w:val="0"/>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(b) provide to the controller evidence that consent has been obtained</w:t>
            </w:r>
            <w:r w:rsidR="00571179">
              <w:rPr>
                <w:rFonts w:ascii="Georgia" w:eastAsia="Calibri" w:hAnsi="Georgia" w:cs="Calibri"/>
                <w:sz w:val="22"/>
                <w:szCs w:val="22"/>
              </w:rPr>
              <w:t>.</w:t>
            </w:r>
          </w:p>
          <w:p w:rsidR="00AF114E" w:rsidRPr="00AF114E" w:rsidRDefault="00AF114E" w:rsidP="00AF114E">
            <w:pPr>
              <w:pStyle w:val="ListParagraph"/>
              <w:widowControl w:val="0"/>
              <w:numPr>
                <w:ilvl w:val="0"/>
                <w:numId w:val="21"/>
              </w:numPr>
              <w:autoSpaceDE w:val="0"/>
              <w:autoSpaceDN w:val="0"/>
              <w:ind w:left="851"/>
              <w:jc w:val="both"/>
              <w:rPr>
                <w:rFonts w:ascii="Georgia" w:eastAsia="Calibri" w:hAnsi="Georgia" w:cs="Calibri"/>
              </w:rPr>
            </w:pPr>
            <w:r w:rsidRPr="00AF114E">
              <w:rPr>
                <w:rFonts w:ascii="Georgia" w:eastAsia="Calibri" w:hAnsi="Georgia" w:cs="Calibri"/>
                <w:sz w:val="22"/>
                <w:szCs w:val="22"/>
              </w:rPr>
              <w:lastRenderedPageBreak/>
              <w:t>In the event of refusal to consent or failure to receive evidence, the personal data will not be made public</w:t>
            </w:r>
            <w:r>
              <w:rPr>
                <w:rFonts w:ascii="Georgia" w:eastAsia="Calibri" w:hAnsi="Georgia" w:cs="Calibri"/>
                <w:sz w:val="22"/>
                <w:szCs w:val="22"/>
              </w:rPr>
              <w:t>.</w:t>
            </w:r>
          </w:p>
          <w:p w:rsidR="00AF114E" w:rsidRPr="00AF114E" w:rsidRDefault="00AF114E" w:rsidP="00AF114E">
            <w:pPr>
              <w:pStyle w:val="ListParagraph"/>
              <w:widowControl w:val="0"/>
              <w:autoSpaceDE w:val="0"/>
              <w:autoSpaceDN w:val="0"/>
              <w:ind w:left="851"/>
              <w:jc w:val="both"/>
              <w:rPr>
                <w:rFonts w:ascii="Georgia" w:eastAsia="Calibri" w:hAnsi="Georgia" w:cs="Calibri"/>
              </w:rPr>
            </w:pPr>
          </w:p>
          <w:p w:rsidR="00AF114E" w:rsidRPr="0019222D" w:rsidRDefault="00AF114E" w:rsidP="00AF114E">
            <w:pPr>
              <w:pStyle w:val="ListParagraph"/>
              <w:widowControl w:val="0"/>
              <w:numPr>
                <w:ilvl w:val="0"/>
                <w:numId w:val="20"/>
              </w:numPr>
              <w:autoSpaceDE w:val="0"/>
              <w:autoSpaceDN w:val="0"/>
              <w:ind w:left="426"/>
              <w:jc w:val="both"/>
              <w:rPr>
                <w:rFonts w:ascii="Georgia" w:eastAsia="Calibri" w:hAnsi="Georgia" w:cs="Calibri"/>
                <w:sz w:val="22"/>
                <w:szCs w:val="22"/>
                <w:u w:val="single"/>
              </w:rPr>
            </w:pPr>
            <w:r w:rsidRPr="0019222D">
              <w:rPr>
                <w:rFonts w:ascii="Georgia" w:eastAsia="Calibri" w:hAnsi="Georgia" w:cs="Calibri"/>
                <w:sz w:val="22"/>
                <w:szCs w:val="22"/>
                <w:u w:val="single"/>
              </w:rPr>
              <w:t>Registrant obtains valid consent and controller confirms this with the individual</w:t>
            </w:r>
          </w:p>
          <w:p w:rsidR="00AF114E" w:rsidRPr="00AF114E" w:rsidRDefault="00AF114E" w:rsidP="00AF114E">
            <w:pPr>
              <w:pStyle w:val="ListParagraph"/>
              <w:widowControl w:val="0"/>
              <w:numPr>
                <w:ilvl w:val="0"/>
                <w:numId w:val="21"/>
              </w:numPr>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Prior to making personal data public, the controller requires the registrant to:</w:t>
            </w:r>
          </w:p>
          <w:p w:rsidR="00AF114E" w:rsidRPr="00AF114E" w:rsidRDefault="00AF114E" w:rsidP="00AF114E">
            <w:pPr>
              <w:pStyle w:val="ListParagraph"/>
              <w:widowControl w:val="0"/>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 xml:space="preserve">(a) obtain individuals' consent; and </w:t>
            </w:r>
          </w:p>
          <w:p w:rsidR="00AF114E" w:rsidRPr="00AF114E" w:rsidRDefault="00AF114E" w:rsidP="00AF114E">
            <w:pPr>
              <w:pStyle w:val="ListParagraph"/>
              <w:widowControl w:val="0"/>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(b) provide to the controller evidence that consent has been obtained.</w:t>
            </w:r>
          </w:p>
          <w:p w:rsidR="00AF114E" w:rsidRDefault="00AF114E" w:rsidP="00AF114E">
            <w:pPr>
              <w:pStyle w:val="ListParagraph"/>
              <w:widowControl w:val="0"/>
              <w:numPr>
                <w:ilvl w:val="0"/>
                <w:numId w:val="21"/>
              </w:numPr>
              <w:autoSpaceDE w:val="0"/>
              <w:autoSpaceDN w:val="0"/>
              <w:ind w:left="851"/>
              <w:jc w:val="both"/>
              <w:rPr>
                <w:rFonts w:ascii="Georgia" w:eastAsia="Calibri" w:hAnsi="Georgia" w:cs="Calibri"/>
                <w:sz w:val="22"/>
                <w:szCs w:val="22"/>
              </w:rPr>
            </w:pPr>
            <w:r w:rsidRPr="00AF114E">
              <w:rPr>
                <w:rFonts w:ascii="Georgia" w:eastAsia="Calibri" w:hAnsi="Georgia" w:cs="Calibri"/>
                <w:sz w:val="22"/>
                <w:szCs w:val="22"/>
              </w:rPr>
              <w:t>Controller follows up with the individual directly: it informs them that the registrant has confirmed they have granted consent</w:t>
            </w:r>
            <w:r>
              <w:rPr>
                <w:rFonts w:ascii="Georgia" w:eastAsia="Calibri" w:hAnsi="Georgia" w:cs="Calibri"/>
                <w:sz w:val="22"/>
                <w:szCs w:val="22"/>
              </w:rPr>
              <w:t>.</w:t>
            </w:r>
          </w:p>
          <w:p w:rsidR="00AF114E" w:rsidRPr="00AF114E" w:rsidRDefault="00AF114E" w:rsidP="00AF114E">
            <w:pPr>
              <w:pStyle w:val="ListParagraph"/>
              <w:widowControl w:val="0"/>
              <w:autoSpaceDE w:val="0"/>
              <w:autoSpaceDN w:val="0"/>
              <w:ind w:left="851"/>
              <w:jc w:val="both"/>
              <w:rPr>
                <w:rFonts w:ascii="Georgia" w:eastAsia="Calibri" w:hAnsi="Georgia" w:cs="Calibri"/>
                <w:sz w:val="22"/>
                <w:szCs w:val="22"/>
              </w:rPr>
            </w:pPr>
          </w:p>
          <w:p w:rsidR="00AF114E" w:rsidRPr="0019222D" w:rsidRDefault="00AF114E" w:rsidP="0019222D">
            <w:pPr>
              <w:pStyle w:val="ListParagraph"/>
              <w:widowControl w:val="0"/>
              <w:numPr>
                <w:ilvl w:val="0"/>
                <w:numId w:val="20"/>
              </w:numPr>
              <w:autoSpaceDE w:val="0"/>
              <w:autoSpaceDN w:val="0"/>
              <w:ind w:left="426"/>
              <w:jc w:val="both"/>
              <w:rPr>
                <w:rFonts w:ascii="Georgia" w:eastAsia="Calibri" w:hAnsi="Georgia" w:cs="Calibri"/>
                <w:sz w:val="22"/>
                <w:szCs w:val="22"/>
              </w:rPr>
            </w:pPr>
            <w:r w:rsidRPr="0019222D">
              <w:rPr>
                <w:rFonts w:ascii="Georgia" w:eastAsia="Calibri" w:hAnsi="Georgia" w:cs="Calibri"/>
                <w:sz w:val="22"/>
                <w:szCs w:val="22"/>
                <w:u w:val="single"/>
              </w:rPr>
              <w:t>Registrant undertakes the obligation to obtain consent</w:t>
            </w:r>
            <w:r w:rsidRPr="0019222D">
              <w:rPr>
                <w:rFonts w:ascii="Georgia" w:eastAsia="Calibri" w:hAnsi="Georgia" w:cs="Calibri"/>
                <w:sz w:val="22"/>
                <w:szCs w:val="22"/>
              </w:rPr>
              <w:t xml:space="preserve"> </w:t>
            </w:r>
          </w:p>
          <w:p w:rsidR="002A64CE" w:rsidRPr="002A64CE" w:rsidRDefault="002A64CE" w:rsidP="002A64CE">
            <w:pPr>
              <w:pStyle w:val="ListParagraph"/>
              <w:widowControl w:val="0"/>
              <w:numPr>
                <w:ilvl w:val="0"/>
                <w:numId w:val="21"/>
              </w:numPr>
              <w:autoSpaceDE w:val="0"/>
              <w:autoSpaceDN w:val="0"/>
              <w:ind w:left="851"/>
              <w:jc w:val="both"/>
              <w:rPr>
                <w:rFonts w:ascii="Georgia" w:eastAsia="Calibri" w:hAnsi="Georgia" w:cs="Calibri"/>
                <w:sz w:val="22"/>
                <w:szCs w:val="22"/>
              </w:rPr>
            </w:pPr>
            <w:r w:rsidRPr="002A64CE">
              <w:rPr>
                <w:rFonts w:ascii="Georgia" w:eastAsia="Calibri" w:hAnsi="Georgia" w:cs="Calibri"/>
                <w:sz w:val="22"/>
                <w:szCs w:val="22"/>
              </w:rPr>
              <w:t>Registrants are allowed to provi</w:t>
            </w:r>
            <w:r w:rsidR="008450BD">
              <w:rPr>
                <w:rFonts w:ascii="Georgia" w:eastAsia="Calibri" w:hAnsi="Georgia" w:cs="Calibri"/>
                <w:sz w:val="22"/>
                <w:szCs w:val="22"/>
              </w:rPr>
              <w:t>de non-personal contact details.</w:t>
            </w:r>
            <w:r w:rsidRPr="002A64CE">
              <w:rPr>
                <w:rFonts w:ascii="Georgia" w:eastAsia="Calibri" w:hAnsi="Georgia" w:cs="Calibri"/>
                <w:sz w:val="22"/>
                <w:szCs w:val="22"/>
              </w:rPr>
              <w:t xml:space="preserve"> </w:t>
            </w:r>
          </w:p>
          <w:p w:rsidR="002A64CE" w:rsidRPr="002A64CE" w:rsidRDefault="002A64CE" w:rsidP="002A64CE">
            <w:pPr>
              <w:pStyle w:val="ListParagraph"/>
              <w:widowControl w:val="0"/>
              <w:numPr>
                <w:ilvl w:val="0"/>
                <w:numId w:val="21"/>
              </w:numPr>
              <w:autoSpaceDE w:val="0"/>
              <w:autoSpaceDN w:val="0"/>
              <w:ind w:left="851"/>
              <w:jc w:val="both"/>
              <w:rPr>
                <w:rFonts w:ascii="Georgia" w:eastAsia="Calibri" w:hAnsi="Georgia" w:cs="Calibri"/>
                <w:sz w:val="22"/>
                <w:szCs w:val="22"/>
              </w:rPr>
            </w:pPr>
            <w:r>
              <w:rPr>
                <w:rFonts w:ascii="Georgia" w:eastAsia="Calibri" w:hAnsi="Georgia" w:cs="Calibri"/>
                <w:sz w:val="22"/>
                <w:szCs w:val="22"/>
              </w:rPr>
              <w:t>R</w:t>
            </w:r>
            <w:r w:rsidRPr="002A64CE">
              <w:rPr>
                <w:rFonts w:ascii="Georgia" w:eastAsia="Calibri" w:hAnsi="Georgia" w:cs="Calibri"/>
                <w:sz w:val="22"/>
                <w:szCs w:val="22"/>
              </w:rPr>
              <w:t>egistration data is made public by default (irrespective of whether or not personal data is included).</w:t>
            </w:r>
          </w:p>
          <w:p w:rsidR="00AF114E" w:rsidRPr="00AF114E" w:rsidRDefault="002A64CE" w:rsidP="002A64CE">
            <w:pPr>
              <w:pStyle w:val="ListParagraph"/>
              <w:widowControl w:val="0"/>
              <w:numPr>
                <w:ilvl w:val="0"/>
                <w:numId w:val="21"/>
              </w:numPr>
              <w:autoSpaceDE w:val="0"/>
              <w:autoSpaceDN w:val="0"/>
              <w:ind w:left="851"/>
              <w:jc w:val="both"/>
              <w:rPr>
                <w:rFonts w:ascii="Georgia" w:eastAsia="Calibri" w:hAnsi="Georgia" w:cs="Calibri"/>
              </w:rPr>
            </w:pPr>
            <w:r w:rsidRPr="002A64CE">
              <w:rPr>
                <w:rFonts w:ascii="Georgia" w:eastAsia="Calibri" w:hAnsi="Georgia" w:cs="Calibri"/>
                <w:sz w:val="22"/>
                <w:szCs w:val="22"/>
              </w:rPr>
              <w:t>By means of a statement, registrants undertake to ensure they have obtained individuals' consent if they choose to provide personal data</w:t>
            </w:r>
            <w:r w:rsidRPr="002A64CE">
              <w:rPr>
                <w:rFonts w:ascii="Georgia" w:eastAsia="Calibri" w:hAnsi="Georgia" w:cs="Calibri"/>
              </w:rPr>
              <w:t>.</w:t>
            </w:r>
          </w:p>
          <w:p w:rsidR="0065674D" w:rsidRPr="0065674D" w:rsidRDefault="00BA5011" w:rsidP="0019222D">
            <w:pPr>
              <w:widowControl w:val="0"/>
              <w:autoSpaceDE w:val="0"/>
              <w:autoSpaceDN w:val="0"/>
              <w:jc w:val="both"/>
              <w:rPr>
                <w:rFonts w:ascii="Georgia" w:eastAsia="Calibri" w:hAnsi="Georgia" w:cs="Calibri"/>
              </w:rPr>
            </w:pPr>
            <w:r>
              <w:rPr>
                <w:rFonts w:ascii="Georgia" w:eastAsia="Calibri" w:hAnsi="Georgia" w:cs="Calibri"/>
                <w:sz w:val="22"/>
                <w:szCs w:val="22"/>
              </w:rPr>
              <w:t xml:space="preserve"> </w:t>
            </w:r>
          </w:p>
        </w:tc>
      </w:tr>
    </w:tbl>
    <w:p w:rsidR="009D3D1D" w:rsidRPr="009D3D1D" w:rsidRDefault="009D3D1D" w:rsidP="009D3D1D">
      <w:pPr>
        <w:jc w:val="both"/>
        <w:rPr>
          <w:rFonts w:ascii="Georgia" w:hAnsi="Georgia"/>
        </w:rPr>
      </w:pPr>
    </w:p>
    <w:p w:rsidR="007941E6" w:rsidRDefault="007941E6" w:rsidP="009D3D1D">
      <w:pPr>
        <w:widowControl w:val="0"/>
        <w:autoSpaceDE w:val="0"/>
        <w:autoSpaceDN w:val="0"/>
        <w:spacing w:after="0"/>
        <w:jc w:val="both"/>
        <w:rPr>
          <w:rFonts w:ascii="Georgia" w:eastAsia="Calibri" w:hAnsi="Georgia" w:cs="Calibri"/>
        </w:rPr>
      </w:pPr>
    </w:p>
    <w:p w:rsidR="00054BD4" w:rsidRDefault="00054BD4">
      <w:pPr>
        <w:rPr>
          <w:rFonts w:ascii="Georgia" w:eastAsia="Calibri" w:hAnsi="Georgia" w:cs="Calibri"/>
        </w:rPr>
      </w:pPr>
      <w:r>
        <w:rPr>
          <w:rFonts w:ascii="Georgia" w:eastAsia="Calibri" w:hAnsi="Georgia" w:cs="Calibri"/>
        </w:rPr>
        <w:br w:type="page"/>
      </w:r>
    </w:p>
    <w:p w:rsidR="009C1932" w:rsidRPr="002622F7" w:rsidRDefault="002622F7" w:rsidP="002622F7">
      <w:pPr>
        <w:widowControl w:val="0"/>
        <w:autoSpaceDE w:val="0"/>
        <w:autoSpaceDN w:val="0"/>
        <w:spacing w:after="0"/>
        <w:jc w:val="both"/>
        <w:rPr>
          <w:rFonts w:ascii="Georgia" w:eastAsia="Calibri" w:hAnsi="Georgia" w:cs="Calibri"/>
          <w:b/>
        </w:rPr>
      </w:pPr>
      <w:r w:rsidRPr="002622F7">
        <w:rPr>
          <w:rFonts w:ascii="Georgia" w:eastAsia="Calibri" w:hAnsi="Georgia" w:cs="Calibri"/>
          <w:b/>
        </w:rPr>
        <w:lastRenderedPageBreak/>
        <w:t>Question presented</w:t>
      </w:r>
    </w:p>
    <w:p w:rsidR="002622F7" w:rsidRDefault="002622F7" w:rsidP="002622F7">
      <w:pPr>
        <w:widowControl w:val="0"/>
        <w:autoSpaceDE w:val="0"/>
        <w:autoSpaceDN w:val="0"/>
        <w:spacing w:after="0"/>
        <w:jc w:val="both"/>
        <w:rPr>
          <w:rFonts w:ascii="Georgia" w:eastAsia="Calibri" w:hAnsi="Georgia" w:cs="Calibri"/>
        </w:rPr>
      </w:pPr>
      <w:r>
        <w:rPr>
          <w:rFonts w:ascii="Georgia" w:eastAsia="Calibri" w:hAnsi="Georgia" w:cs="Calibri"/>
        </w:rPr>
        <w:t>Registration data submitted by legal person registrants may contain the data of natural persons. A Phase 1 memo stated that registrars can rely on a registrant's self-identification as legal or natural person if risk is mitigated by taking further steps to ensure the accuracy of the registrant's designation.</w:t>
      </w:r>
    </w:p>
    <w:p w:rsidR="002622F7" w:rsidRDefault="002622F7" w:rsidP="002622F7">
      <w:pPr>
        <w:widowControl w:val="0"/>
        <w:autoSpaceDE w:val="0"/>
        <w:autoSpaceDN w:val="0"/>
        <w:spacing w:after="0"/>
        <w:jc w:val="both"/>
        <w:rPr>
          <w:rFonts w:ascii="Georgia" w:eastAsia="Calibri" w:hAnsi="Georgia" w:cs="Calibri"/>
        </w:rPr>
      </w:pPr>
    </w:p>
    <w:p w:rsidR="00A722F0" w:rsidRPr="00ED30B0" w:rsidRDefault="002622F7" w:rsidP="002622F7">
      <w:pPr>
        <w:widowControl w:val="0"/>
        <w:autoSpaceDE w:val="0"/>
        <w:autoSpaceDN w:val="0"/>
        <w:spacing w:after="0"/>
        <w:jc w:val="both"/>
        <w:rPr>
          <w:rFonts w:ascii="Georgia" w:eastAsia="Calibri" w:hAnsi="Georgia" w:cs="Calibri"/>
        </w:rPr>
      </w:pPr>
      <w:r>
        <w:rPr>
          <w:rFonts w:ascii="Georgia" w:eastAsia="Calibri" w:hAnsi="Georgia" w:cs="Calibri"/>
        </w:rPr>
        <w:t xml:space="preserve">As a follow up to that memo: </w:t>
      </w:r>
      <w:r w:rsidRPr="00ED30B0">
        <w:rPr>
          <w:rFonts w:ascii="Georgia" w:eastAsia="Calibri" w:hAnsi="Georgia" w:cs="Calibri"/>
        </w:rPr>
        <w:t xml:space="preserve">what are the consent options and requirements related to such designations? Specifically: are data controllers entitled to rely on a statement obligating legal person registrants to obtain consent </w:t>
      </w:r>
      <w:r w:rsidR="00A722F0" w:rsidRPr="00ED30B0">
        <w:rPr>
          <w:rFonts w:ascii="Georgia" w:eastAsia="Calibri" w:hAnsi="Georgia" w:cs="Calibri"/>
        </w:rPr>
        <w:t xml:space="preserve">from </w:t>
      </w:r>
      <w:r w:rsidRPr="00ED30B0">
        <w:rPr>
          <w:rFonts w:ascii="Georgia" w:eastAsia="Calibri" w:hAnsi="Georgia" w:cs="Calibri"/>
        </w:rPr>
        <w:t xml:space="preserve">a natural person </w:t>
      </w:r>
      <w:r w:rsidR="00A722F0" w:rsidRPr="00ED30B0">
        <w:rPr>
          <w:rFonts w:ascii="Georgia" w:eastAsia="Calibri" w:hAnsi="Georgia" w:cs="Calibri"/>
        </w:rPr>
        <w:t>who would act as a contact and whose information may be publicly displayed in RDS? If so, what representations, if any, would be helpful for the controller to obtain from the legal person registrant in this case?</w:t>
      </w:r>
    </w:p>
    <w:p w:rsidR="00A722F0" w:rsidRPr="00ED30B0" w:rsidRDefault="00A722F0" w:rsidP="002622F7">
      <w:pPr>
        <w:widowControl w:val="0"/>
        <w:autoSpaceDE w:val="0"/>
        <w:autoSpaceDN w:val="0"/>
        <w:spacing w:after="0"/>
        <w:jc w:val="both"/>
        <w:rPr>
          <w:rFonts w:ascii="Georgia" w:eastAsia="Calibri" w:hAnsi="Georgia" w:cs="Calibri"/>
        </w:rPr>
      </w:pPr>
    </w:p>
    <w:p w:rsidR="002622F7" w:rsidRDefault="00A722F0" w:rsidP="001066ED">
      <w:pPr>
        <w:widowControl w:val="0"/>
        <w:autoSpaceDE w:val="0"/>
        <w:autoSpaceDN w:val="0"/>
        <w:spacing w:after="0"/>
        <w:jc w:val="both"/>
        <w:rPr>
          <w:rFonts w:ascii="Georgia" w:eastAsia="Calibri" w:hAnsi="Georgia" w:cs="Calibri"/>
        </w:rPr>
      </w:pPr>
      <w:r>
        <w:rPr>
          <w:rFonts w:ascii="Georgia" w:eastAsia="Calibri" w:hAnsi="Georgia" w:cs="Calibri"/>
        </w:rPr>
        <w:t xml:space="preserve">As part of your analysis please consult the GDPR policies and practices of the Internet protocol (IP address) registry RIPE-NCC (the registry for Europe, based in the Netherlands). RIPE-NCC's customers (registrants) are legal persons being displayed publicly in WHOIS. RIPE-NCC places the responsibility on its legal-person registrants to obtain permission </w:t>
      </w:r>
      <w:r w:rsidR="001066ED">
        <w:rPr>
          <w:rFonts w:ascii="Georgia" w:eastAsia="Calibri" w:hAnsi="Georgia" w:cs="Calibri"/>
        </w:rPr>
        <w:t>from</w:t>
      </w:r>
      <w:r>
        <w:rPr>
          <w:rFonts w:ascii="Georgia" w:eastAsia="Calibri" w:hAnsi="Georgia" w:cs="Calibri"/>
        </w:rPr>
        <w:t xml:space="preserve"> those natural persons, and provides procedures and safeguards for that. RIPE-NCC states mission justifications and data collection purposes similar to those in ICANN's Temporary Specification. </w:t>
      </w:r>
      <w:r w:rsidRPr="00ED30B0">
        <w:rPr>
          <w:rFonts w:ascii="Georgia" w:eastAsia="Calibri" w:hAnsi="Georgia" w:cs="Calibri"/>
        </w:rPr>
        <w:t>Could similar policies and procedures be used at ICANN</w:t>
      </w:r>
      <w:r>
        <w:rPr>
          <w:rFonts w:ascii="Georgia" w:eastAsia="Calibri" w:hAnsi="Georgia" w:cs="Calibri"/>
        </w:rPr>
        <w:t>?</w:t>
      </w:r>
      <w:r w:rsidR="002622F7">
        <w:rPr>
          <w:rFonts w:ascii="Georgia" w:eastAsia="Calibri" w:hAnsi="Georgia" w:cs="Calibri"/>
        </w:rPr>
        <w:t xml:space="preserve"> </w:t>
      </w:r>
    </w:p>
    <w:p w:rsidR="0090465A" w:rsidRDefault="0090465A" w:rsidP="001066ED">
      <w:pPr>
        <w:widowControl w:val="0"/>
        <w:autoSpaceDE w:val="0"/>
        <w:autoSpaceDN w:val="0"/>
        <w:spacing w:after="0"/>
        <w:jc w:val="both"/>
        <w:rPr>
          <w:rFonts w:ascii="Georgia" w:eastAsia="Calibri" w:hAnsi="Georgia" w:cs="Calibri"/>
        </w:rPr>
      </w:pPr>
    </w:p>
    <w:p w:rsidR="0090465A" w:rsidRPr="0090465A" w:rsidRDefault="0090465A" w:rsidP="0090465A">
      <w:pPr>
        <w:widowControl w:val="0"/>
        <w:autoSpaceDE w:val="0"/>
        <w:autoSpaceDN w:val="0"/>
        <w:spacing w:after="0"/>
        <w:jc w:val="both"/>
        <w:rPr>
          <w:rFonts w:ascii="Georgia" w:eastAsia="Calibri" w:hAnsi="Georgia" w:cs="Calibri"/>
          <w:lang w:val="en-US"/>
        </w:rPr>
      </w:pPr>
      <w:r w:rsidRPr="0011167B">
        <w:rPr>
          <w:rFonts w:ascii="Georgia" w:eastAsia="Calibri" w:hAnsi="Georgia" w:cs="Calibri"/>
          <w:lang w:val="en-US"/>
        </w:rPr>
        <w:t>Also see the policies of ARIN, the IP address registry for North America.  ARIN has some customers located in the EU.  ARIN also publishes the data of natural persons in its WHOIS output.  ARIN’s customers are natural persons, who submit the data of natural person contacts.</w:t>
      </w:r>
    </w:p>
    <w:p w:rsidR="002622F7" w:rsidRPr="009C1932" w:rsidRDefault="002622F7" w:rsidP="002622F7">
      <w:pPr>
        <w:widowControl w:val="0"/>
        <w:autoSpaceDE w:val="0"/>
        <w:autoSpaceDN w:val="0"/>
        <w:spacing w:after="0"/>
        <w:jc w:val="both"/>
        <w:rPr>
          <w:rFonts w:ascii="Georgia" w:eastAsia="Calibri" w:hAnsi="Georgia" w:cs="Calibri"/>
        </w:rPr>
      </w:pPr>
    </w:p>
    <w:p w:rsidR="009C1932" w:rsidRPr="009C1932" w:rsidRDefault="002A0B3E" w:rsidP="002622F7">
      <w:pPr>
        <w:widowControl w:val="0"/>
        <w:autoSpaceDE w:val="0"/>
        <w:autoSpaceDN w:val="0"/>
        <w:spacing w:after="0"/>
        <w:jc w:val="both"/>
        <w:rPr>
          <w:rFonts w:ascii="Georgia" w:eastAsia="Calibri" w:hAnsi="Georgia" w:cs="Calibri"/>
          <w:b/>
        </w:rPr>
      </w:pPr>
      <w:r>
        <w:rPr>
          <w:rFonts w:ascii="Georgia" w:eastAsia="Calibri" w:hAnsi="Georgia" w:cs="Calibri"/>
          <w:b/>
        </w:rPr>
        <w:t>Introduction</w:t>
      </w:r>
    </w:p>
    <w:p w:rsidR="004A5D96" w:rsidRDefault="002A0B3E" w:rsidP="00F47389">
      <w:pPr>
        <w:pStyle w:val="ListParagraph"/>
        <w:numPr>
          <w:ilvl w:val="0"/>
          <w:numId w:val="1"/>
        </w:numPr>
        <w:jc w:val="both"/>
        <w:rPr>
          <w:rFonts w:ascii="Georgia" w:hAnsi="Georgia"/>
        </w:rPr>
      </w:pPr>
      <w:r w:rsidRPr="002A0B3E">
        <w:rPr>
          <w:rFonts w:ascii="Georgia" w:hAnsi="Georgia"/>
          <w:u w:val="single"/>
        </w:rPr>
        <w:t>Background</w:t>
      </w:r>
      <w:r>
        <w:rPr>
          <w:rFonts w:ascii="Georgia" w:hAnsi="Georgia"/>
        </w:rPr>
        <w:t xml:space="preserve">: </w:t>
      </w:r>
      <w:r w:rsidR="00D851BB">
        <w:rPr>
          <w:rFonts w:ascii="Georgia" w:hAnsi="Georgia"/>
        </w:rPr>
        <w:t>Previous advice provided by Bird &amp; Bird (“Phase 1 memo”) examined liability in connection with a registrant’s self-identification as a natural or non-natural person</w:t>
      </w:r>
      <w:r w:rsidR="001774BD">
        <w:rPr>
          <w:rFonts w:ascii="Georgia" w:hAnsi="Georgia"/>
        </w:rPr>
        <w:t xml:space="preserve"> pursuant to the GDPR. </w:t>
      </w:r>
      <w:r w:rsidR="004A5D96">
        <w:rPr>
          <w:rFonts w:ascii="Georgia" w:hAnsi="Georgia"/>
        </w:rPr>
        <w:t>This Phase 1 memo examined the approach of</w:t>
      </w:r>
      <w:r w:rsidR="009413A4">
        <w:rPr>
          <w:rFonts w:ascii="Georgia" w:hAnsi="Georgia"/>
        </w:rPr>
        <w:t>:</w:t>
      </w:r>
      <w:r w:rsidR="004A5D96">
        <w:rPr>
          <w:rFonts w:ascii="Georgia" w:hAnsi="Georgia"/>
        </w:rPr>
        <w:t xml:space="preserve"> </w:t>
      </w:r>
      <w:r w:rsidR="009413A4">
        <w:rPr>
          <w:rFonts w:ascii="Georgia" w:hAnsi="Georgia"/>
        </w:rPr>
        <w:t xml:space="preserve">(i) </w:t>
      </w:r>
      <w:r w:rsidR="004A5D96">
        <w:rPr>
          <w:rFonts w:ascii="Georgia" w:hAnsi="Georgia"/>
        </w:rPr>
        <w:t xml:space="preserve">distinguishing registrants whose registration data does not include any personal data </w:t>
      </w:r>
      <w:r w:rsidR="00F47389">
        <w:rPr>
          <w:rFonts w:ascii="Georgia" w:hAnsi="Georgia"/>
        </w:rPr>
        <w:t xml:space="preserve">(“non-personal registrants”) </w:t>
      </w:r>
      <w:r w:rsidR="004A5D96">
        <w:rPr>
          <w:rFonts w:ascii="Georgia" w:hAnsi="Georgia"/>
        </w:rPr>
        <w:t>from those that provide personal data</w:t>
      </w:r>
      <w:r w:rsidR="00F47389">
        <w:rPr>
          <w:rFonts w:ascii="Georgia" w:hAnsi="Georgia"/>
        </w:rPr>
        <w:t xml:space="preserve"> and </w:t>
      </w:r>
      <w:r w:rsidR="009413A4">
        <w:rPr>
          <w:rFonts w:ascii="Georgia" w:hAnsi="Georgia"/>
        </w:rPr>
        <w:t>(ii) by default making</w:t>
      </w:r>
      <w:r w:rsidR="00F47389">
        <w:rPr>
          <w:rFonts w:ascii="Georgia" w:hAnsi="Georgia"/>
        </w:rPr>
        <w:t xml:space="preserve"> public the registration </w:t>
      </w:r>
      <w:r w:rsidR="009413A4">
        <w:rPr>
          <w:rFonts w:ascii="Georgia" w:hAnsi="Georgia"/>
        </w:rPr>
        <w:t xml:space="preserve">data </w:t>
      </w:r>
      <w:r w:rsidR="00F47389">
        <w:rPr>
          <w:rFonts w:ascii="Georgia" w:hAnsi="Georgia"/>
        </w:rPr>
        <w:t>of the former</w:t>
      </w:r>
      <w:r w:rsidR="004A5D96">
        <w:rPr>
          <w:rFonts w:ascii="Georgia" w:hAnsi="Georgia"/>
        </w:rPr>
        <w:t>.</w:t>
      </w:r>
      <w:r w:rsidR="00F47389">
        <w:rPr>
          <w:rFonts w:ascii="Georgia" w:hAnsi="Georgia"/>
        </w:rPr>
        <w:t xml:space="preserve"> Self-identification of registrants and additional measures for distinguishing non-personal registrants were examined in the Phase 1 memo. </w:t>
      </w:r>
      <w:r w:rsidR="004A5D96">
        <w:rPr>
          <w:rFonts w:ascii="Georgia" w:hAnsi="Georgia"/>
        </w:rPr>
        <w:t xml:space="preserve"> </w:t>
      </w:r>
    </w:p>
    <w:p w:rsidR="00F47389" w:rsidRDefault="00F47389" w:rsidP="00F47389">
      <w:pPr>
        <w:pStyle w:val="ListParagraph"/>
        <w:jc w:val="both"/>
        <w:rPr>
          <w:rFonts w:ascii="Georgia" w:hAnsi="Georgia"/>
        </w:rPr>
      </w:pPr>
    </w:p>
    <w:p w:rsidR="00F47389" w:rsidRDefault="002A0B3E" w:rsidP="008E1B63">
      <w:pPr>
        <w:pStyle w:val="ListParagraph"/>
        <w:numPr>
          <w:ilvl w:val="0"/>
          <w:numId w:val="1"/>
        </w:numPr>
        <w:jc w:val="both"/>
        <w:rPr>
          <w:rFonts w:ascii="Georgia" w:hAnsi="Georgia"/>
        </w:rPr>
      </w:pPr>
      <w:r w:rsidRPr="002A0B3E">
        <w:rPr>
          <w:rFonts w:ascii="Georgia" w:hAnsi="Georgia"/>
          <w:u w:val="single"/>
        </w:rPr>
        <w:t>Objective</w:t>
      </w:r>
      <w:r w:rsidR="00E973CB">
        <w:rPr>
          <w:rFonts w:ascii="Georgia" w:hAnsi="Georgia"/>
          <w:u w:val="single"/>
        </w:rPr>
        <w:t xml:space="preserve"> of this memo</w:t>
      </w:r>
      <w:r>
        <w:rPr>
          <w:rFonts w:ascii="Georgia" w:hAnsi="Georgia"/>
        </w:rPr>
        <w:t xml:space="preserve">: </w:t>
      </w:r>
      <w:r w:rsidR="00E973CB">
        <w:rPr>
          <w:rFonts w:ascii="Georgia" w:hAnsi="Georgia"/>
        </w:rPr>
        <w:t xml:space="preserve">This document </w:t>
      </w:r>
      <w:r w:rsidR="00807A85">
        <w:rPr>
          <w:rFonts w:ascii="Georgia" w:hAnsi="Georgia"/>
        </w:rPr>
        <w:t>focusses on</w:t>
      </w:r>
      <w:r w:rsidR="00F47389">
        <w:rPr>
          <w:rFonts w:ascii="Georgia" w:hAnsi="Georgia"/>
        </w:rPr>
        <w:t xml:space="preserve"> the </w:t>
      </w:r>
      <w:r w:rsidR="00E973CB">
        <w:rPr>
          <w:rFonts w:ascii="Georgia" w:hAnsi="Georgia"/>
        </w:rPr>
        <w:t xml:space="preserve">use of consent as a </w:t>
      </w:r>
      <w:r w:rsidR="00F47389">
        <w:rPr>
          <w:rFonts w:ascii="Georgia" w:hAnsi="Georgia"/>
        </w:rPr>
        <w:t xml:space="preserve">lawful basis for making </w:t>
      </w:r>
      <w:r w:rsidR="00E973CB">
        <w:rPr>
          <w:rFonts w:ascii="Georgia" w:hAnsi="Georgia"/>
        </w:rPr>
        <w:t xml:space="preserve">public in the Registration </w:t>
      </w:r>
      <w:r w:rsidR="000C40FB">
        <w:rPr>
          <w:rFonts w:ascii="Georgia" w:hAnsi="Georgia"/>
        </w:rPr>
        <w:t>Directory</w:t>
      </w:r>
      <w:r w:rsidR="00E973CB">
        <w:rPr>
          <w:rFonts w:ascii="Georgia" w:hAnsi="Georgia"/>
        </w:rPr>
        <w:t xml:space="preserve"> Service ("RDS")</w:t>
      </w:r>
      <w:r w:rsidR="00F47389">
        <w:rPr>
          <w:rFonts w:ascii="Georgia" w:hAnsi="Georgia"/>
        </w:rPr>
        <w:t xml:space="preserve"> personal data </w:t>
      </w:r>
      <w:r>
        <w:rPr>
          <w:rFonts w:ascii="Georgia" w:hAnsi="Georgia"/>
        </w:rPr>
        <w:t>of admin/ tech contacts provided by a legal person registrant.</w:t>
      </w:r>
      <w:r w:rsidR="00E973CB">
        <w:rPr>
          <w:rFonts w:ascii="Georgia" w:hAnsi="Georgia"/>
        </w:rPr>
        <w:t xml:space="preserve"> </w:t>
      </w:r>
      <w:r w:rsidR="0090465A">
        <w:rPr>
          <w:rFonts w:ascii="Georgia" w:hAnsi="Georgia"/>
        </w:rPr>
        <w:t>It</w:t>
      </w:r>
      <w:r w:rsidR="00E973CB">
        <w:rPr>
          <w:rFonts w:ascii="Georgia" w:hAnsi="Georgia"/>
        </w:rPr>
        <w:t xml:space="preserve"> does not examine further the means by which </w:t>
      </w:r>
      <w:r w:rsidR="00505AE3">
        <w:rPr>
          <w:rFonts w:ascii="Georgia" w:hAnsi="Georgia"/>
        </w:rPr>
        <w:t xml:space="preserve">controllers would identify whether </w:t>
      </w:r>
      <w:r w:rsidR="00E973CB">
        <w:rPr>
          <w:rFonts w:ascii="Georgia" w:hAnsi="Georgia"/>
        </w:rPr>
        <w:t xml:space="preserve">personal data </w:t>
      </w:r>
      <w:r w:rsidR="00505AE3">
        <w:rPr>
          <w:rFonts w:ascii="Georgia" w:hAnsi="Georgia"/>
        </w:rPr>
        <w:t xml:space="preserve">is </w:t>
      </w:r>
      <w:r w:rsidR="00E973CB">
        <w:rPr>
          <w:rFonts w:ascii="Georgia" w:hAnsi="Georgia"/>
        </w:rPr>
        <w:t xml:space="preserve">contained in </w:t>
      </w:r>
      <w:r w:rsidR="00505AE3">
        <w:rPr>
          <w:rFonts w:ascii="Georgia" w:hAnsi="Georgia"/>
        </w:rPr>
        <w:t xml:space="preserve">the </w:t>
      </w:r>
      <w:r w:rsidR="00E973CB">
        <w:rPr>
          <w:rFonts w:ascii="Georgia" w:hAnsi="Georgia"/>
        </w:rPr>
        <w:t xml:space="preserve">registration data. </w:t>
      </w:r>
    </w:p>
    <w:p w:rsidR="00F76AD0" w:rsidRDefault="00F76AD0" w:rsidP="00F76AD0">
      <w:pPr>
        <w:pStyle w:val="ListParagraph"/>
        <w:jc w:val="both"/>
        <w:rPr>
          <w:rFonts w:ascii="Georgia" w:hAnsi="Georgia"/>
        </w:rPr>
      </w:pPr>
    </w:p>
    <w:p w:rsidR="00F76AD0" w:rsidRDefault="0090465A" w:rsidP="003B1F14">
      <w:pPr>
        <w:pStyle w:val="ListParagraph"/>
        <w:numPr>
          <w:ilvl w:val="0"/>
          <w:numId w:val="1"/>
        </w:numPr>
        <w:jc w:val="both"/>
        <w:rPr>
          <w:rFonts w:ascii="Georgia" w:hAnsi="Georgia"/>
        </w:rPr>
      </w:pPr>
      <w:r>
        <w:rPr>
          <w:rFonts w:ascii="Georgia" w:hAnsi="Georgia"/>
        </w:rPr>
        <w:t>Furthermore, t</w:t>
      </w:r>
      <w:r w:rsidR="00941DFD">
        <w:rPr>
          <w:rFonts w:ascii="Georgia" w:hAnsi="Georgia"/>
        </w:rPr>
        <w:t xml:space="preserve">his document does not examine points such as </w:t>
      </w:r>
      <w:r w:rsidR="008D2A3E">
        <w:rPr>
          <w:rFonts w:ascii="Georgia" w:hAnsi="Georgia"/>
        </w:rPr>
        <w:t>the transfer of registration data to th</w:t>
      </w:r>
      <w:r w:rsidR="00E35F35">
        <w:rPr>
          <w:rFonts w:ascii="Georgia" w:hAnsi="Georgia"/>
        </w:rPr>
        <w:t>e</w:t>
      </w:r>
      <w:r w:rsidR="008D2A3E">
        <w:rPr>
          <w:rFonts w:ascii="Georgia" w:hAnsi="Georgia"/>
        </w:rPr>
        <w:t xml:space="preserve"> registry and escrow provider, </w:t>
      </w:r>
      <w:r w:rsidR="00941DFD">
        <w:rPr>
          <w:rFonts w:ascii="Georgia" w:hAnsi="Georgia"/>
        </w:rPr>
        <w:t xml:space="preserve">the legitimate character of </w:t>
      </w:r>
      <w:r w:rsidR="00E35F35">
        <w:rPr>
          <w:rFonts w:ascii="Georgia" w:hAnsi="Georgia"/>
        </w:rPr>
        <w:t xml:space="preserve">publishing </w:t>
      </w:r>
      <w:r w:rsidR="00D66C70">
        <w:rPr>
          <w:rFonts w:ascii="Georgia" w:hAnsi="Georgia"/>
        </w:rPr>
        <w:t xml:space="preserve">data </w:t>
      </w:r>
      <w:r w:rsidR="00941DFD">
        <w:rPr>
          <w:rFonts w:ascii="Georgia" w:hAnsi="Georgia"/>
        </w:rPr>
        <w:t xml:space="preserve">in RDS or the </w:t>
      </w:r>
      <w:r w:rsidR="003B1F14">
        <w:rPr>
          <w:rFonts w:ascii="Georgia" w:hAnsi="Georgia"/>
        </w:rPr>
        <w:t xml:space="preserve">elements of registration data </w:t>
      </w:r>
      <w:r w:rsidR="008D2A3E">
        <w:rPr>
          <w:rFonts w:ascii="Georgia" w:hAnsi="Georgia"/>
        </w:rPr>
        <w:t xml:space="preserve">which </w:t>
      </w:r>
      <w:r w:rsidR="003B1F14">
        <w:rPr>
          <w:rFonts w:ascii="Georgia" w:hAnsi="Georgia"/>
        </w:rPr>
        <w:t xml:space="preserve">should be published in RDS. </w:t>
      </w:r>
      <w:r w:rsidR="00F76AD0" w:rsidRPr="00F76AD0">
        <w:rPr>
          <w:rFonts w:ascii="Georgia" w:hAnsi="Georgia"/>
        </w:rPr>
        <w:t xml:space="preserve">We appreciate </w:t>
      </w:r>
      <w:r w:rsidR="00F76AD0">
        <w:rPr>
          <w:rFonts w:ascii="Georgia" w:hAnsi="Georgia"/>
        </w:rPr>
        <w:t xml:space="preserve">that </w:t>
      </w:r>
      <w:r w:rsidR="003B1F14">
        <w:rPr>
          <w:rFonts w:ascii="Georgia" w:hAnsi="Georgia"/>
        </w:rPr>
        <w:t>these matters have been separately examined by EPDP</w:t>
      </w:r>
      <w:r w:rsidR="004661FB">
        <w:rPr>
          <w:rFonts w:ascii="Georgia" w:hAnsi="Georgia"/>
        </w:rPr>
        <w:t>;</w:t>
      </w:r>
      <w:r w:rsidR="00D66C70">
        <w:rPr>
          <w:rFonts w:ascii="Georgia" w:hAnsi="Georgia"/>
        </w:rPr>
        <w:t xml:space="preserve"> we have therefore not addresse</w:t>
      </w:r>
      <w:r w:rsidR="00281677">
        <w:rPr>
          <w:rFonts w:ascii="Georgia" w:hAnsi="Georgia"/>
        </w:rPr>
        <w:t>d</w:t>
      </w:r>
      <w:r w:rsidR="00D66C70">
        <w:rPr>
          <w:rFonts w:ascii="Georgia" w:hAnsi="Georgia"/>
        </w:rPr>
        <w:t xml:space="preserve"> these points</w:t>
      </w:r>
      <w:r w:rsidR="003B1F14">
        <w:rPr>
          <w:rFonts w:ascii="Georgia" w:hAnsi="Georgia"/>
        </w:rPr>
        <w:t>.</w:t>
      </w:r>
    </w:p>
    <w:p w:rsidR="00281677" w:rsidRPr="00281677" w:rsidRDefault="00281677" w:rsidP="00281677">
      <w:pPr>
        <w:pStyle w:val="ListParagraph"/>
        <w:jc w:val="both"/>
        <w:rPr>
          <w:rFonts w:ascii="Georgia" w:hAnsi="Georgia"/>
        </w:rPr>
      </w:pPr>
    </w:p>
    <w:p w:rsidR="0090465A" w:rsidRPr="0011167B" w:rsidRDefault="0090465A" w:rsidP="00135C71">
      <w:pPr>
        <w:pStyle w:val="ListParagraph"/>
        <w:numPr>
          <w:ilvl w:val="0"/>
          <w:numId w:val="1"/>
        </w:numPr>
        <w:jc w:val="both"/>
        <w:rPr>
          <w:rFonts w:ascii="Georgia" w:hAnsi="Georgia"/>
        </w:rPr>
      </w:pPr>
      <w:r w:rsidRPr="0011167B">
        <w:rPr>
          <w:rFonts w:ascii="Georgia" w:hAnsi="Georgia"/>
        </w:rPr>
        <w:lastRenderedPageBreak/>
        <w:t xml:space="preserve">As requested, we have taken into </w:t>
      </w:r>
      <w:r w:rsidR="00D60F2D" w:rsidRPr="0011167B">
        <w:rPr>
          <w:rFonts w:ascii="Georgia" w:hAnsi="Georgia"/>
        </w:rPr>
        <w:t xml:space="preserve">account </w:t>
      </w:r>
      <w:r w:rsidRPr="0011167B">
        <w:rPr>
          <w:rFonts w:ascii="Georgia" w:hAnsi="Georgia"/>
        </w:rPr>
        <w:t xml:space="preserve">the policies followed by RIPE-NCC and by ARIN. Our comments in </w:t>
      </w:r>
      <w:r w:rsidR="00D60F2D" w:rsidRPr="0011167B">
        <w:rPr>
          <w:rFonts w:ascii="Georgia" w:hAnsi="Georgia"/>
        </w:rPr>
        <w:t>relation to</w:t>
      </w:r>
      <w:r w:rsidRPr="0011167B">
        <w:rPr>
          <w:rFonts w:ascii="Georgia" w:hAnsi="Georgia"/>
        </w:rPr>
        <w:t xml:space="preserve"> RIPE-NCC policies are included in para 15 below. In respect of ARIN, we note that ARIN consider </w:t>
      </w:r>
      <w:r w:rsidR="00080EB2" w:rsidRPr="0011167B">
        <w:rPr>
          <w:rFonts w:ascii="Georgia" w:hAnsi="Georgia"/>
        </w:rPr>
        <w:t>that they are not in principle subject to the GDPR: the article "Personal Data Privacy Considerations at ARIN"</w:t>
      </w:r>
      <w:r w:rsidR="00D60F2D" w:rsidRPr="0011167B">
        <w:rPr>
          <w:rStyle w:val="FootnoteReference"/>
          <w:rFonts w:ascii="Georgia" w:hAnsi="Georgia"/>
        </w:rPr>
        <w:footnoteReference w:id="1"/>
      </w:r>
      <w:r w:rsidR="00080EB2" w:rsidRPr="0011167B">
        <w:rPr>
          <w:rFonts w:ascii="Georgia" w:hAnsi="Georgia"/>
        </w:rPr>
        <w:t xml:space="preserve"> published by the ARIN President &amp; CEO and the ARIN General Counsel states that "</w:t>
      </w:r>
      <w:r w:rsidR="00080EB2" w:rsidRPr="0011167B">
        <w:rPr>
          <w:rFonts w:ascii="Georgia" w:hAnsi="Georgia"/>
          <w:i/>
        </w:rPr>
        <w:t xml:space="preserve">ARIN's </w:t>
      </w:r>
      <w:r w:rsidRPr="0011167B">
        <w:rPr>
          <w:rFonts w:ascii="Georgia" w:hAnsi="Georgia"/>
          <w:i/>
        </w:rPr>
        <w:t>general operational activities do not fall within the scope of GDPR</w:t>
      </w:r>
      <w:r w:rsidR="00080EB2" w:rsidRPr="0011167B">
        <w:rPr>
          <w:rFonts w:ascii="Georgia" w:hAnsi="Georgia"/>
        </w:rPr>
        <w:t xml:space="preserve">" and takes the view that </w:t>
      </w:r>
      <w:r w:rsidR="00135C71" w:rsidRPr="0011167B">
        <w:rPr>
          <w:rFonts w:ascii="Georgia" w:hAnsi="Georgia"/>
        </w:rPr>
        <w:t xml:space="preserve">the GDPR could be relevant </w:t>
      </w:r>
      <w:r w:rsidR="00080EB2" w:rsidRPr="0011167B">
        <w:rPr>
          <w:rFonts w:ascii="Georgia" w:hAnsi="Georgia"/>
        </w:rPr>
        <w:t xml:space="preserve">only </w:t>
      </w:r>
      <w:r w:rsidR="00135C71" w:rsidRPr="0011167B">
        <w:rPr>
          <w:rFonts w:ascii="Georgia" w:hAnsi="Georgia"/>
        </w:rPr>
        <w:t xml:space="preserve">to </w:t>
      </w:r>
      <w:r w:rsidR="00080EB2" w:rsidRPr="0011167B">
        <w:rPr>
          <w:rFonts w:ascii="Georgia" w:hAnsi="Georgia"/>
        </w:rPr>
        <w:t>"incidental activities" (for example, event registration)</w:t>
      </w:r>
      <w:r w:rsidRPr="0011167B">
        <w:rPr>
          <w:rFonts w:ascii="Georgia" w:hAnsi="Georgia"/>
        </w:rPr>
        <w:t>.</w:t>
      </w:r>
    </w:p>
    <w:p w:rsidR="0090465A" w:rsidRPr="0090465A" w:rsidRDefault="0090465A" w:rsidP="0090465A">
      <w:pPr>
        <w:pStyle w:val="ListParagraph"/>
        <w:jc w:val="both"/>
        <w:rPr>
          <w:rFonts w:ascii="Georgia" w:hAnsi="Georgia"/>
        </w:rPr>
      </w:pPr>
    </w:p>
    <w:p w:rsidR="00C82886" w:rsidRDefault="002A0B3E" w:rsidP="00255C56">
      <w:pPr>
        <w:pStyle w:val="ListParagraph"/>
        <w:numPr>
          <w:ilvl w:val="0"/>
          <w:numId w:val="1"/>
        </w:numPr>
        <w:jc w:val="both"/>
        <w:rPr>
          <w:rFonts w:ascii="Georgia" w:hAnsi="Georgia"/>
        </w:rPr>
      </w:pPr>
      <w:r w:rsidRPr="002A0B3E">
        <w:rPr>
          <w:rFonts w:ascii="Georgia" w:hAnsi="Georgia"/>
          <w:u w:val="single"/>
        </w:rPr>
        <w:t>Structure</w:t>
      </w:r>
      <w:r>
        <w:rPr>
          <w:rFonts w:ascii="Georgia" w:hAnsi="Georgia"/>
        </w:rPr>
        <w:t xml:space="preserve">: </w:t>
      </w:r>
      <w:r w:rsidR="001066ED">
        <w:rPr>
          <w:rFonts w:ascii="Georgia" w:hAnsi="Georgia"/>
        </w:rPr>
        <w:t xml:space="preserve">This document </w:t>
      </w:r>
      <w:r w:rsidR="00A43101">
        <w:rPr>
          <w:rFonts w:ascii="Georgia" w:hAnsi="Georgia"/>
        </w:rPr>
        <w:t xml:space="preserve">provides relevant background information and </w:t>
      </w:r>
      <w:r w:rsidR="001066ED">
        <w:rPr>
          <w:rFonts w:ascii="Georgia" w:hAnsi="Georgia"/>
        </w:rPr>
        <w:t xml:space="preserve">examines </w:t>
      </w:r>
      <w:r w:rsidR="00255C56">
        <w:rPr>
          <w:rFonts w:ascii="Georgia" w:hAnsi="Georgia"/>
        </w:rPr>
        <w:t xml:space="preserve">the </w:t>
      </w:r>
      <w:r w:rsidR="00C82886">
        <w:rPr>
          <w:rFonts w:ascii="Georgia" w:hAnsi="Georgia"/>
        </w:rPr>
        <w:t>following points:</w:t>
      </w:r>
    </w:p>
    <w:p w:rsidR="00C82886" w:rsidRDefault="00C82886" w:rsidP="00C82886">
      <w:pPr>
        <w:pStyle w:val="ListParagraph"/>
        <w:numPr>
          <w:ilvl w:val="0"/>
          <w:numId w:val="13"/>
        </w:numPr>
        <w:ind w:left="1134"/>
        <w:jc w:val="both"/>
        <w:rPr>
          <w:rFonts w:ascii="Georgia" w:hAnsi="Georgia"/>
        </w:rPr>
      </w:pPr>
      <w:r>
        <w:rPr>
          <w:rFonts w:ascii="Georgia" w:hAnsi="Georgia"/>
        </w:rPr>
        <w:t xml:space="preserve">The </w:t>
      </w:r>
      <w:r w:rsidR="00255C56">
        <w:rPr>
          <w:rFonts w:ascii="Georgia" w:hAnsi="Georgia"/>
        </w:rPr>
        <w:t xml:space="preserve">concept of </w:t>
      </w:r>
      <w:r w:rsidR="001066ED">
        <w:rPr>
          <w:rFonts w:ascii="Georgia" w:hAnsi="Georgia"/>
        </w:rPr>
        <w:t>consent as a lawful basis for making personal data publicly available in RDS</w:t>
      </w:r>
      <w:r>
        <w:rPr>
          <w:rFonts w:ascii="Georgia" w:hAnsi="Georgia"/>
        </w:rPr>
        <w:t xml:space="preserve"> and the parties responsible for obtaining consent (paras </w:t>
      </w:r>
      <w:r w:rsidR="00C964FE">
        <w:rPr>
          <w:rFonts w:ascii="Georgia" w:hAnsi="Georgia"/>
        </w:rPr>
        <w:t>10</w:t>
      </w:r>
      <w:r w:rsidR="00563DC3">
        <w:rPr>
          <w:rFonts w:ascii="Georgia" w:hAnsi="Georgia"/>
        </w:rPr>
        <w:t>-</w:t>
      </w:r>
      <w:r w:rsidR="00C964FE">
        <w:rPr>
          <w:rFonts w:ascii="Georgia" w:hAnsi="Georgia"/>
        </w:rPr>
        <w:t>12</w:t>
      </w:r>
      <w:r>
        <w:rPr>
          <w:rFonts w:ascii="Georgia" w:hAnsi="Georgia"/>
        </w:rPr>
        <w:t xml:space="preserve">); </w:t>
      </w:r>
      <w:r w:rsidR="001066ED">
        <w:rPr>
          <w:rFonts w:ascii="Georgia" w:hAnsi="Georgia"/>
        </w:rPr>
        <w:t xml:space="preserve"> </w:t>
      </w:r>
    </w:p>
    <w:p w:rsidR="00C82886" w:rsidRDefault="001066ED" w:rsidP="00C82886">
      <w:pPr>
        <w:pStyle w:val="ListParagraph"/>
        <w:numPr>
          <w:ilvl w:val="0"/>
          <w:numId w:val="13"/>
        </w:numPr>
        <w:ind w:left="1134"/>
        <w:jc w:val="both"/>
        <w:rPr>
          <w:rFonts w:ascii="Georgia" w:hAnsi="Georgia"/>
        </w:rPr>
      </w:pPr>
      <w:r>
        <w:rPr>
          <w:rFonts w:ascii="Georgia" w:hAnsi="Georgia"/>
        </w:rPr>
        <w:t xml:space="preserve">the elements </w:t>
      </w:r>
      <w:r w:rsidR="00C82886">
        <w:rPr>
          <w:rFonts w:ascii="Georgia" w:hAnsi="Georgia"/>
        </w:rPr>
        <w:t xml:space="preserve">of valid consent under the GDPR (paras </w:t>
      </w:r>
      <w:r w:rsidR="00563DC3">
        <w:rPr>
          <w:rFonts w:ascii="Georgia" w:hAnsi="Georgia"/>
        </w:rPr>
        <w:t>1</w:t>
      </w:r>
      <w:r w:rsidR="00C964FE">
        <w:rPr>
          <w:rFonts w:ascii="Georgia" w:hAnsi="Georgia"/>
        </w:rPr>
        <w:t>3</w:t>
      </w:r>
      <w:r w:rsidR="00563DC3">
        <w:rPr>
          <w:rFonts w:ascii="Georgia" w:hAnsi="Georgia"/>
        </w:rPr>
        <w:t>-1</w:t>
      </w:r>
      <w:r w:rsidR="00C964FE">
        <w:rPr>
          <w:rFonts w:ascii="Georgia" w:hAnsi="Georgia"/>
        </w:rPr>
        <w:t>8</w:t>
      </w:r>
      <w:r w:rsidR="00C82886">
        <w:rPr>
          <w:rFonts w:ascii="Georgia" w:hAnsi="Georgia"/>
        </w:rPr>
        <w:t xml:space="preserve">); </w:t>
      </w:r>
    </w:p>
    <w:p w:rsidR="00C82886" w:rsidRDefault="00C82886" w:rsidP="00C82886">
      <w:pPr>
        <w:pStyle w:val="ListParagraph"/>
        <w:numPr>
          <w:ilvl w:val="0"/>
          <w:numId w:val="13"/>
        </w:numPr>
        <w:ind w:left="1134"/>
        <w:jc w:val="both"/>
        <w:rPr>
          <w:rFonts w:ascii="Georgia" w:hAnsi="Georgia"/>
        </w:rPr>
      </w:pPr>
      <w:r>
        <w:rPr>
          <w:rFonts w:ascii="Georgia" w:hAnsi="Georgia"/>
        </w:rPr>
        <w:t xml:space="preserve">additional GDPR requirements relating to consent, such as </w:t>
      </w:r>
      <w:r w:rsidR="00255C56">
        <w:rPr>
          <w:rFonts w:ascii="Georgia" w:hAnsi="Georgia"/>
        </w:rPr>
        <w:t xml:space="preserve">the requirement to </w:t>
      </w:r>
      <w:r>
        <w:rPr>
          <w:rFonts w:ascii="Georgia" w:hAnsi="Georgia"/>
        </w:rPr>
        <w:t xml:space="preserve">demonstrate </w:t>
      </w:r>
      <w:r w:rsidR="00255C56">
        <w:rPr>
          <w:rFonts w:ascii="Georgia" w:hAnsi="Georgia"/>
        </w:rPr>
        <w:t xml:space="preserve">consent and </w:t>
      </w:r>
      <w:r>
        <w:rPr>
          <w:rFonts w:ascii="Georgia" w:hAnsi="Georgia"/>
        </w:rPr>
        <w:t>the right</w:t>
      </w:r>
      <w:r w:rsidR="00255C56">
        <w:rPr>
          <w:rFonts w:ascii="Georgia" w:hAnsi="Georgia"/>
        </w:rPr>
        <w:t xml:space="preserve"> of individuals to withdraw consent at any time</w:t>
      </w:r>
      <w:r>
        <w:rPr>
          <w:rFonts w:ascii="Georgia" w:hAnsi="Georgia"/>
        </w:rPr>
        <w:t xml:space="preserve"> (paras </w:t>
      </w:r>
      <w:r w:rsidR="00C964FE">
        <w:rPr>
          <w:rFonts w:ascii="Georgia" w:hAnsi="Georgia"/>
        </w:rPr>
        <w:t>19</w:t>
      </w:r>
      <w:r w:rsidR="00563DC3">
        <w:rPr>
          <w:rFonts w:ascii="Georgia" w:hAnsi="Georgia"/>
        </w:rPr>
        <w:t>-2</w:t>
      </w:r>
      <w:r w:rsidR="00C964FE">
        <w:rPr>
          <w:rFonts w:ascii="Georgia" w:hAnsi="Georgia"/>
        </w:rPr>
        <w:t>3</w:t>
      </w:r>
      <w:r>
        <w:rPr>
          <w:rFonts w:ascii="Georgia" w:hAnsi="Georgia"/>
        </w:rPr>
        <w:t>);</w:t>
      </w:r>
      <w:r w:rsidR="002B160D">
        <w:rPr>
          <w:rFonts w:ascii="Georgia" w:hAnsi="Georgia"/>
        </w:rPr>
        <w:t xml:space="preserve"> and</w:t>
      </w:r>
    </w:p>
    <w:p w:rsidR="002A0B3E" w:rsidRDefault="00C82886" w:rsidP="00C82886">
      <w:pPr>
        <w:pStyle w:val="ListParagraph"/>
        <w:numPr>
          <w:ilvl w:val="0"/>
          <w:numId w:val="13"/>
        </w:numPr>
        <w:ind w:left="1134"/>
        <w:jc w:val="both"/>
        <w:rPr>
          <w:rFonts w:ascii="Georgia" w:hAnsi="Georgia"/>
        </w:rPr>
      </w:pPr>
      <w:r>
        <w:rPr>
          <w:rFonts w:ascii="Georgia" w:hAnsi="Georgia"/>
        </w:rPr>
        <w:t>options f</w:t>
      </w:r>
      <w:r w:rsidR="002B160D">
        <w:rPr>
          <w:rFonts w:ascii="Georgia" w:hAnsi="Georgia"/>
        </w:rPr>
        <w:t>or</w:t>
      </w:r>
      <w:r>
        <w:rPr>
          <w:rFonts w:ascii="Georgia" w:hAnsi="Georgia"/>
        </w:rPr>
        <w:t xml:space="preserve"> c</w:t>
      </w:r>
      <w:r w:rsidR="00A43101">
        <w:rPr>
          <w:rFonts w:ascii="Georgia" w:hAnsi="Georgia"/>
        </w:rPr>
        <w:t xml:space="preserve">onsent in the RDS context (para </w:t>
      </w:r>
      <w:r w:rsidR="00563DC3">
        <w:rPr>
          <w:rFonts w:ascii="Georgia" w:hAnsi="Georgia"/>
        </w:rPr>
        <w:t>2</w:t>
      </w:r>
      <w:r w:rsidR="00C964FE">
        <w:rPr>
          <w:rFonts w:ascii="Georgia" w:hAnsi="Georgia"/>
        </w:rPr>
        <w:t>4</w:t>
      </w:r>
      <w:r>
        <w:rPr>
          <w:rFonts w:ascii="Georgia" w:hAnsi="Georgia"/>
        </w:rPr>
        <w:t xml:space="preserve">). </w:t>
      </w:r>
      <w:r w:rsidR="00255C56">
        <w:rPr>
          <w:rFonts w:ascii="Georgia" w:hAnsi="Georgia"/>
        </w:rPr>
        <w:t xml:space="preserve">  </w:t>
      </w:r>
    </w:p>
    <w:p w:rsidR="004A5D96" w:rsidRPr="002A0B3E" w:rsidRDefault="002A0B3E" w:rsidP="002A0B3E">
      <w:pPr>
        <w:ind w:left="360"/>
        <w:jc w:val="both"/>
        <w:rPr>
          <w:rFonts w:ascii="Georgia" w:hAnsi="Georgia"/>
          <w:b/>
          <w:bCs/>
        </w:rPr>
      </w:pPr>
      <w:r w:rsidRPr="002A0B3E">
        <w:rPr>
          <w:rFonts w:ascii="Georgia" w:hAnsi="Georgia"/>
          <w:b/>
          <w:bCs/>
        </w:rPr>
        <w:t>Analysis</w:t>
      </w:r>
    </w:p>
    <w:p w:rsidR="006B739C" w:rsidRDefault="006B739C" w:rsidP="006B739C">
      <w:pPr>
        <w:pStyle w:val="ListParagraph"/>
        <w:numPr>
          <w:ilvl w:val="0"/>
          <w:numId w:val="1"/>
        </w:numPr>
        <w:jc w:val="both"/>
        <w:rPr>
          <w:rFonts w:ascii="Georgia" w:hAnsi="Georgia"/>
        </w:rPr>
      </w:pPr>
      <w:r>
        <w:rPr>
          <w:rFonts w:ascii="Georgia" w:hAnsi="Georgia"/>
        </w:rPr>
        <w:t xml:space="preserve">This document examines the processing of </w:t>
      </w:r>
      <w:r w:rsidRPr="006B739C">
        <w:rPr>
          <w:rFonts w:ascii="Georgia" w:hAnsi="Georgia"/>
          <w:i/>
        </w:rPr>
        <w:t>personal</w:t>
      </w:r>
      <w:r>
        <w:rPr>
          <w:rFonts w:ascii="Georgia" w:hAnsi="Georgia"/>
        </w:rPr>
        <w:t xml:space="preserve"> data in the context of RDS. </w:t>
      </w:r>
      <w:r w:rsidRPr="006B739C">
        <w:rPr>
          <w:rFonts w:ascii="Georgia" w:hAnsi="Georgia"/>
        </w:rPr>
        <w:t xml:space="preserve">By way of clarification, registration data of legal person registrants includes personal data when the contact details relate to a natural person (such as </w:t>
      </w:r>
      <w:hyperlink r:id="rId8" w:history="1">
        <w:r w:rsidRPr="0091320B">
          <w:rPr>
            <w:rStyle w:val="Hyperlink"/>
            <w:rFonts w:ascii="Georgia" w:hAnsi="Georgia"/>
          </w:rPr>
          <w:t>firstnamelastname@company.com</w:t>
        </w:r>
      </w:hyperlink>
      <w:r w:rsidRPr="006B739C">
        <w:rPr>
          <w:rFonts w:ascii="Georgia" w:hAnsi="Georgia"/>
        </w:rPr>
        <w:t xml:space="preserve">). Generic contact details of legal persons (such as </w:t>
      </w:r>
      <w:hyperlink r:id="rId9" w:history="1">
        <w:r w:rsidRPr="0091320B">
          <w:rPr>
            <w:rStyle w:val="Hyperlink"/>
            <w:rFonts w:ascii="Georgia" w:hAnsi="Georgia"/>
          </w:rPr>
          <w:t>info@company.com</w:t>
        </w:r>
      </w:hyperlink>
      <w:r w:rsidRPr="006B739C">
        <w:rPr>
          <w:rFonts w:ascii="Georgia" w:hAnsi="Georgia"/>
        </w:rPr>
        <w:t>) do not constitute personal data and are not examined in this document as they do not trigger GDPR concerns</w:t>
      </w:r>
      <w:r w:rsidR="00FF3B92">
        <w:rPr>
          <w:rFonts w:ascii="Georgia" w:hAnsi="Georgia"/>
        </w:rPr>
        <w:t>.</w:t>
      </w:r>
    </w:p>
    <w:p w:rsidR="00FF3B92" w:rsidRDefault="00FF3B92" w:rsidP="00FF3B92">
      <w:pPr>
        <w:pStyle w:val="ListParagraph"/>
        <w:jc w:val="both"/>
        <w:rPr>
          <w:rFonts w:ascii="Georgia" w:hAnsi="Georgia"/>
        </w:rPr>
      </w:pPr>
    </w:p>
    <w:p w:rsidR="000C2181" w:rsidRDefault="000C2181" w:rsidP="000C2181">
      <w:pPr>
        <w:pStyle w:val="ListParagraph"/>
        <w:numPr>
          <w:ilvl w:val="0"/>
          <w:numId w:val="1"/>
        </w:numPr>
        <w:jc w:val="both"/>
        <w:rPr>
          <w:rFonts w:ascii="Georgia" w:hAnsi="Georgia"/>
        </w:rPr>
      </w:pPr>
      <w:r>
        <w:rPr>
          <w:rFonts w:ascii="Georgia" w:hAnsi="Georgia"/>
        </w:rPr>
        <w:t xml:space="preserve">By way of background, the EDPB and its predecessor, </w:t>
      </w:r>
      <w:r w:rsidR="002523E3">
        <w:rPr>
          <w:rFonts w:ascii="Georgia" w:hAnsi="Georgia"/>
        </w:rPr>
        <w:t xml:space="preserve">the </w:t>
      </w:r>
      <w:r>
        <w:rPr>
          <w:rFonts w:ascii="Georgia" w:hAnsi="Georgia"/>
        </w:rPr>
        <w:t xml:space="preserve">Article 29 Working Party ("WP29") have examined -in previous communications with ICANN- the point of making personal data public in WHOIS. </w:t>
      </w:r>
      <w:r w:rsidRPr="00D851BB">
        <w:rPr>
          <w:rFonts w:ascii="Georgia" w:hAnsi="Georgia"/>
        </w:rPr>
        <w:t xml:space="preserve"> </w:t>
      </w:r>
      <w:r>
        <w:rPr>
          <w:rFonts w:ascii="Georgia" w:hAnsi="Georgia"/>
        </w:rPr>
        <w:t>In its letter of 05 July 2018</w:t>
      </w:r>
      <w:r>
        <w:rPr>
          <w:rStyle w:val="FootnoteReference"/>
          <w:rFonts w:ascii="Georgia" w:hAnsi="Georgia"/>
        </w:rPr>
        <w:footnoteReference w:id="2"/>
      </w:r>
      <w:r>
        <w:rPr>
          <w:rFonts w:ascii="Georgia" w:hAnsi="Georgia"/>
        </w:rPr>
        <w:t>, the EDPB considered that "</w:t>
      </w:r>
      <w:r w:rsidRPr="00C419A1">
        <w:rPr>
          <w:rFonts w:ascii="Georgia" w:hAnsi="Georgia"/>
          <w:i/>
        </w:rPr>
        <w:t>registrants should in principle not be required to provide personal data directly identifying individual employees or third parties fulfilling the administrative or technical functions on behalf of the registrant</w:t>
      </w:r>
      <w:r>
        <w:rPr>
          <w:rFonts w:ascii="Georgia" w:hAnsi="Georgia"/>
        </w:rPr>
        <w:t>”.</w:t>
      </w:r>
    </w:p>
    <w:p w:rsidR="000C2181" w:rsidRDefault="000C2181" w:rsidP="000C2181">
      <w:pPr>
        <w:pStyle w:val="ListParagraph"/>
        <w:jc w:val="both"/>
        <w:rPr>
          <w:rFonts w:ascii="Georgia" w:hAnsi="Georgia"/>
        </w:rPr>
      </w:pPr>
    </w:p>
    <w:p w:rsidR="000C2181" w:rsidRDefault="000C2181" w:rsidP="000C2181">
      <w:pPr>
        <w:pStyle w:val="ListParagraph"/>
        <w:numPr>
          <w:ilvl w:val="0"/>
          <w:numId w:val="1"/>
        </w:numPr>
        <w:jc w:val="both"/>
        <w:rPr>
          <w:rFonts w:ascii="Georgia" w:hAnsi="Georgia"/>
        </w:rPr>
      </w:pPr>
      <w:r>
        <w:rPr>
          <w:rFonts w:ascii="Georgia" w:hAnsi="Georgia"/>
        </w:rPr>
        <w:t>In the same letter, the EDPB stated that “</w:t>
      </w:r>
      <w:r w:rsidRPr="00A82F86">
        <w:rPr>
          <w:rFonts w:ascii="Georgia" w:hAnsi="Georgia"/>
          <w:i/>
          <w:iCs/>
        </w:rPr>
        <w:t>The mere fact that a registrant is a legal person does not necessarily justify unlimited publication of personal data relating to natural persons who work for or represent that organization, such as natural persons who manage administrative or technical iss</w:t>
      </w:r>
      <w:r>
        <w:rPr>
          <w:rFonts w:ascii="Georgia" w:hAnsi="Georgia"/>
          <w:i/>
          <w:iCs/>
        </w:rPr>
        <w:t>ues on behalf of the registrant</w:t>
      </w:r>
      <w:r>
        <w:rPr>
          <w:rFonts w:ascii="Georgia" w:hAnsi="Georgia"/>
        </w:rPr>
        <w:t>”. On this basis, the EDPB considered that “</w:t>
      </w:r>
      <w:r w:rsidRPr="00A82F86">
        <w:rPr>
          <w:rFonts w:ascii="Georgia" w:hAnsi="Georgia"/>
          <w:i/>
          <w:iCs/>
        </w:rPr>
        <w:t>personal data identifying individual employees (or third parties) acting on behalf of the registrant should not be made publicly available by default in the context of WHOIS</w:t>
      </w:r>
      <w:r>
        <w:rPr>
          <w:rFonts w:ascii="Georgia" w:hAnsi="Georgia"/>
        </w:rPr>
        <w:t>”.</w:t>
      </w:r>
    </w:p>
    <w:p w:rsidR="000B5187" w:rsidRDefault="000B5187" w:rsidP="000B5187">
      <w:pPr>
        <w:pStyle w:val="ListParagraph"/>
        <w:jc w:val="both"/>
        <w:rPr>
          <w:rFonts w:ascii="Georgia" w:hAnsi="Georgia"/>
        </w:rPr>
      </w:pPr>
    </w:p>
    <w:p w:rsidR="000B5187" w:rsidRDefault="000B5187" w:rsidP="000B5187">
      <w:pPr>
        <w:pStyle w:val="ListParagraph"/>
        <w:numPr>
          <w:ilvl w:val="0"/>
          <w:numId w:val="1"/>
        </w:numPr>
        <w:jc w:val="both"/>
        <w:rPr>
          <w:rFonts w:ascii="Georgia" w:hAnsi="Georgia"/>
        </w:rPr>
      </w:pPr>
      <w:r>
        <w:rPr>
          <w:rFonts w:ascii="Georgia" w:hAnsi="Georgia"/>
        </w:rPr>
        <w:lastRenderedPageBreak/>
        <w:t xml:space="preserve">EPDP Phase 2 Legal Committee's </w:t>
      </w:r>
      <w:r w:rsidRPr="00C14298">
        <w:rPr>
          <w:rFonts w:ascii="Georgia" w:hAnsi="Georgia"/>
        </w:rPr>
        <w:t>consideration</w:t>
      </w:r>
      <w:r w:rsidRPr="00535F88">
        <w:rPr>
          <w:rFonts w:ascii="Georgia" w:hAnsi="Georgia"/>
        </w:rPr>
        <w:t xml:space="preserve"> that controllers would </w:t>
      </w:r>
      <w:r>
        <w:rPr>
          <w:rFonts w:ascii="Georgia" w:hAnsi="Georgia"/>
        </w:rPr>
        <w:t>rely on</w:t>
      </w:r>
      <w:r w:rsidRPr="00535F88">
        <w:rPr>
          <w:rFonts w:ascii="Georgia" w:hAnsi="Georgia"/>
        </w:rPr>
        <w:t xml:space="preserve"> individuals' consent </w:t>
      </w:r>
      <w:r>
        <w:rPr>
          <w:rFonts w:ascii="Georgia" w:hAnsi="Georgia"/>
        </w:rPr>
        <w:t xml:space="preserve">as a lawful basis for making </w:t>
      </w:r>
      <w:r w:rsidRPr="00535F88">
        <w:rPr>
          <w:rFonts w:ascii="Georgia" w:hAnsi="Georgia"/>
        </w:rPr>
        <w:t xml:space="preserve">their contact details </w:t>
      </w:r>
      <w:r>
        <w:rPr>
          <w:rFonts w:ascii="Georgia" w:hAnsi="Georgia"/>
        </w:rPr>
        <w:t xml:space="preserve">public </w:t>
      </w:r>
      <w:r w:rsidRPr="00535F88">
        <w:rPr>
          <w:rFonts w:ascii="Georgia" w:hAnsi="Georgia"/>
        </w:rPr>
        <w:t xml:space="preserve">in </w:t>
      </w:r>
      <w:r>
        <w:rPr>
          <w:rFonts w:ascii="Georgia" w:hAnsi="Georgia"/>
        </w:rPr>
        <w:t xml:space="preserve">the RDS </w:t>
      </w:r>
      <w:r w:rsidRPr="00535F88">
        <w:rPr>
          <w:rFonts w:ascii="Georgia" w:hAnsi="Georgia"/>
        </w:rPr>
        <w:t xml:space="preserve">is </w:t>
      </w:r>
      <w:r>
        <w:rPr>
          <w:rFonts w:ascii="Georgia" w:hAnsi="Georgia"/>
        </w:rPr>
        <w:t xml:space="preserve">in principle </w:t>
      </w:r>
      <w:r w:rsidRPr="00535F88">
        <w:rPr>
          <w:rFonts w:ascii="Georgia" w:hAnsi="Georgia"/>
        </w:rPr>
        <w:t xml:space="preserve">in line with the </w:t>
      </w:r>
      <w:r>
        <w:rPr>
          <w:rFonts w:ascii="Georgia" w:hAnsi="Georgia"/>
        </w:rPr>
        <w:t xml:space="preserve">above views. </w:t>
      </w:r>
    </w:p>
    <w:p w:rsidR="000B5187" w:rsidRDefault="000B5187" w:rsidP="000B5187">
      <w:pPr>
        <w:pStyle w:val="ListParagraph"/>
        <w:jc w:val="both"/>
        <w:rPr>
          <w:rFonts w:ascii="Georgia" w:hAnsi="Georgia"/>
        </w:rPr>
      </w:pPr>
    </w:p>
    <w:p w:rsidR="0081698C" w:rsidRDefault="00D70478" w:rsidP="00E95324">
      <w:pPr>
        <w:pStyle w:val="ListParagraph"/>
        <w:numPr>
          <w:ilvl w:val="0"/>
          <w:numId w:val="1"/>
        </w:numPr>
        <w:jc w:val="both"/>
        <w:rPr>
          <w:rFonts w:ascii="Georgia" w:hAnsi="Georgia"/>
        </w:rPr>
      </w:pPr>
      <w:r w:rsidRPr="00D70478">
        <w:rPr>
          <w:rFonts w:ascii="Georgia" w:hAnsi="Georgia"/>
          <w:u w:val="single"/>
        </w:rPr>
        <w:t>Compliance with Lawfulness principle</w:t>
      </w:r>
      <w:r>
        <w:rPr>
          <w:rFonts w:ascii="Georgia" w:hAnsi="Georgia"/>
        </w:rPr>
        <w:t xml:space="preserve">: </w:t>
      </w:r>
      <w:r w:rsidR="00B449EF">
        <w:rPr>
          <w:rFonts w:ascii="Georgia" w:hAnsi="Georgia"/>
        </w:rPr>
        <w:t xml:space="preserve">Pursuant to the Lawfulness, fairness and transparency principle (under Article 5(1)(a) GDPR), personal data shall be processed </w:t>
      </w:r>
      <w:r w:rsidR="0079791A">
        <w:rPr>
          <w:rFonts w:ascii="Georgia" w:hAnsi="Georgia"/>
        </w:rPr>
        <w:t xml:space="preserve">only and to the extent that </w:t>
      </w:r>
      <w:r w:rsidR="00B449EF">
        <w:rPr>
          <w:rFonts w:ascii="Georgia" w:hAnsi="Georgia"/>
        </w:rPr>
        <w:t xml:space="preserve">at least one of the lawful bases </w:t>
      </w:r>
      <w:r w:rsidR="0079791A">
        <w:rPr>
          <w:rFonts w:ascii="Georgia" w:hAnsi="Georgia"/>
        </w:rPr>
        <w:t>set out</w:t>
      </w:r>
      <w:r w:rsidR="00B449EF">
        <w:rPr>
          <w:rFonts w:ascii="Georgia" w:hAnsi="Georgia"/>
        </w:rPr>
        <w:t xml:space="preserve"> in Article 6 GDPR</w:t>
      </w:r>
      <w:r w:rsidR="0079791A">
        <w:rPr>
          <w:rFonts w:ascii="Georgia" w:hAnsi="Georgia"/>
        </w:rPr>
        <w:t xml:space="preserve"> applies</w:t>
      </w:r>
      <w:r w:rsidR="00B449EF">
        <w:rPr>
          <w:rFonts w:ascii="Georgia" w:hAnsi="Georgia"/>
        </w:rPr>
        <w:t xml:space="preserve">. </w:t>
      </w:r>
      <w:r w:rsidR="00E95324">
        <w:rPr>
          <w:rFonts w:ascii="Georgia" w:hAnsi="Georgia"/>
        </w:rPr>
        <w:t xml:space="preserve">Consent </w:t>
      </w:r>
      <w:r>
        <w:rPr>
          <w:rFonts w:ascii="Georgia" w:hAnsi="Georgia"/>
        </w:rPr>
        <w:t>-</w:t>
      </w:r>
      <w:r w:rsidR="00E95324">
        <w:rPr>
          <w:rFonts w:ascii="Georgia" w:hAnsi="Georgia"/>
        </w:rPr>
        <w:t xml:space="preserve"> </w:t>
      </w:r>
      <w:r w:rsidR="00B44BA1">
        <w:rPr>
          <w:rFonts w:ascii="Georgia" w:hAnsi="Georgia"/>
        </w:rPr>
        <w:t xml:space="preserve">set out in Article 6(1)(a) GDPR </w:t>
      </w:r>
      <w:r>
        <w:rPr>
          <w:rFonts w:ascii="Georgia" w:hAnsi="Georgia"/>
        </w:rPr>
        <w:t xml:space="preserve">– constitutes </w:t>
      </w:r>
      <w:r w:rsidR="00E95324">
        <w:rPr>
          <w:rFonts w:ascii="Georgia" w:hAnsi="Georgia"/>
        </w:rPr>
        <w:t xml:space="preserve">one of these bases. </w:t>
      </w:r>
    </w:p>
    <w:p w:rsidR="00E95324" w:rsidRDefault="00E95324" w:rsidP="00E95324">
      <w:pPr>
        <w:pStyle w:val="ListParagraph"/>
        <w:jc w:val="both"/>
        <w:rPr>
          <w:rFonts w:ascii="Georgia" w:hAnsi="Georgia"/>
        </w:rPr>
      </w:pPr>
    </w:p>
    <w:p w:rsidR="00A26F6F" w:rsidRDefault="00746081" w:rsidP="00A26F6F">
      <w:pPr>
        <w:pStyle w:val="ListParagraph"/>
        <w:numPr>
          <w:ilvl w:val="0"/>
          <w:numId w:val="1"/>
        </w:numPr>
        <w:jc w:val="both"/>
        <w:rPr>
          <w:rFonts w:ascii="Georgia" w:hAnsi="Georgia"/>
        </w:rPr>
      </w:pPr>
      <w:r>
        <w:rPr>
          <w:rFonts w:ascii="Georgia" w:hAnsi="Georgia"/>
        </w:rPr>
        <w:t>Under the GDPR</w:t>
      </w:r>
      <w:r w:rsidR="00D70478">
        <w:rPr>
          <w:rFonts w:ascii="Georgia" w:hAnsi="Georgia"/>
        </w:rPr>
        <w:t xml:space="preserve"> (Article 5(2))</w:t>
      </w:r>
      <w:r>
        <w:rPr>
          <w:rFonts w:ascii="Georgia" w:hAnsi="Georgia"/>
        </w:rPr>
        <w:t xml:space="preserve">, the party that bears the </w:t>
      </w:r>
      <w:r w:rsidR="00D70478">
        <w:rPr>
          <w:rFonts w:ascii="Georgia" w:hAnsi="Georgia"/>
        </w:rPr>
        <w:t>responsibility of establishing</w:t>
      </w:r>
      <w:r w:rsidR="00012A60">
        <w:rPr>
          <w:rFonts w:ascii="Georgia" w:hAnsi="Georgia"/>
        </w:rPr>
        <w:t xml:space="preserve"> a lawful basis for the processing of personal data is </w:t>
      </w:r>
      <w:r>
        <w:rPr>
          <w:rFonts w:ascii="Georgia" w:hAnsi="Georgia"/>
        </w:rPr>
        <w:t>the controller</w:t>
      </w:r>
      <w:r w:rsidR="00D70478">
        <w:rPr>
          <w:rFonts w:ascii="Georgia" w:hAnsi="Georgia"/>
        </w:rPr>
        <w:t xml:space="preserve">: subsequently, </w:t>
      </w:r>
      <w:r w:rsidR="00012A60">
        <w:rPr>
          <w:rFonts w:ascii="Georgia" w:hAnsi="Georgia"/>
        </w:rPr>
        <w:t xml:space="preserve">where consent </w:t>
      </w:r>
      <w:r w:rsidR="00D70478">
        <w:rPr>
          <w:rFonts w:ascii="Georgia" w:hAnsi="Georgia"/>
        </w:rPr>
        <w:t xml:space="preserve">applies, </w:t>
      </w:r>
      <w:r w:rsidR="00A26F6F">
        <w:rPr>
          <w:rFonts w:ascii="Georgia" w:hAnsi="Georgia"/>
        </w:rPr>
        <w:t xml:space="preserve">the controller will be </w:t>
      </w:r>
      <w:r w:rsidR="00012A60">
        <w:rPr>
          <w:rFonts w:ascii="Georgia" w:hAnsi="Georgia"/>
        </w:rPr>
        <w:t xml:space="preserve">responsible for obtaining </w:t>
      </w:r>
      <w:r w:rsidR="00A26F6F">
        <w:rPr>
          <w:rFonts w:ascii="Georgia" w:hAnsi="Georgia"/>
        </w:rPr>
        <w:t xml:space="preserve">such </w:t>
      </w:r>
      <w:r w:rsidR="00012A60">
        <w:rPr>
          <w:rFonts w:ascii="Georgia" w:hAnsi="Georgia"/>
        </w:rPr>
        <w:t xml:space="preserve">consent in line with GDPR requirements. </w:t>
      </w:r>
      <w:r w:rsidR="008A51C5">
        <w:rPr>
          <w:rFonts w:ascii="Georgia" w:hAnsi="Georgia"/>
        </w:rPr>
        <w:t xml:space="preserve">This is also confirmed by Article 7(1) GDPR, which requires controllers to be able to demonstrate consent. </w:t>
      </w:r>
    </w:p>
    <w:p w:rsidR="00A26F6F" w:rsidRPr="00A26F6F" w:rsidRDefault="00A26F6F" w:rsidP="00A26F6F">
      <w:pPr>
        <w:pStyle w:val="ListParagraph"/>
        <w:rPr>
          <w:rFonts w:ascii="Georgia" w:hAnsi="Georgia"/>
        </w:rPr>
      </w:pPr>
    </w:p>
    <w:p w:rsidR="00012A60" w:rsidRDefault="00A26F6F" w:rsidP="0093720C">
      <w:pPr>
        <w:pStyle w:val="ListParagraph"/>
        <w:numPr>
          <w:ilvl w:val="0"/>
          <w:numId w:val="1"/>
        </w:numPr>
        <w:jc w:val="both"/>
        <w:rPr>
          <w:rFonts w:ascii="Georgia" w:hAnsi="Georgia"/>
        </w:rPr>
      </w:pPr>
      <w:r>
        <w:rPr>
          <w:rFonts w:ascii="Georgia" w:hAnsi="Georgia"/>
        </w:rPr>
        <w:t xml:space="preserve">Controllers cannot </w:t>
      </w:r>
      <w:r w:rsidR="001474A6">
        <w:rPr>
          <w:rFonts w:ascii="Georgia" w:hAnsi="Georgia"/>
        </w:rPr>
        <w:t xml:space="preserve">be </w:t>
      </w:r>
      <w:r>
        <w:rPr>
          <w:rFonts w:ascii="Georgia" w:hAnsi="Georgia"/>
        </w:rPr>
        <w:t>discharge</w:t>
      </w:r>
      <w:r w:rsidR="001474A6">
        <w:rPr>
          <w:rFonts w:ascii="Georgia" w:hAnsi="Georgia"/>
        </w:rPr>
        <w:t>d</w:t>
      </w:r>
      <w:r>
        <w:rPr>
          <w:rFonts w:ascii="Georgia" w:hAnsi="Georgia"/>
        </w:rPr>
        <w:t xml:space="preserve"> f</w:t>
      </w:r>
      <w:r w:rsidR="001474A6">
        <w:rPr>
          <w:rFonts w:ascii="Georgia" w:hAnsi="Georgia"/>
        </w:rPr>
        <w:t>rom</w:t>
      </w:r>
      <w:r>
        <w:rPr>
          <w:rFonts w:ascii="Georgia" w:hAnsi="Georgia"/>
        </w:rPr>
        <w:t xml:space="preserve"> their obligation to establish a lawful basis – and obtain valid consent – by means of contractual arrangements </w:t>
      </w:r>
      <w:r w:rsidR="00B44BA1">
        <w:rPr>
          <w:rFonts w:ascii="Georgia" w:hAnsi="Georgia"/>
        </w:rPr>
        <w:t>with registrants</w:t>
      </w:r>
      <w:r>
        <w:rPr>
          <w:rFonts w:ascii="Georgia" w:hAnsi="Georgia"/>
        </w:rPr>
        <w:t xml:space="preserve">. This is an important point to note as, </w:t>
      </w:r>
      <w:r w:rsidR="0093720C">
        <w:rPr>
          <w:rFonts w:ascii="Georgia" w:hAnsi="Georgia"/>
        </w:rPr>
        <w:t xml:space="preserve">irrespective of </w:t>
      </w:r>
      <w:r w:rsidR="001474A6">
        <w:rPr>
          <w:rFonts w:ascii="Georgia" w:hAnsi="Georgia"/>
        </w:rPr>
        <w:t>how</w:t>
      </w:r>
      <w:r w:rsidR="0093720C">
        <w:rPr>
          <w:rFonts w:ascii="Georgia" w:hAnsi="Georgia"/>
        </w:rPr>
        <w:t xml:space="preserve"> controllers will </w:t>
      </w:r>
      <w:r w:rsidR="001474A6">
        <w:rPr>
          <w:rFonts w:ascii="Georgia" w:hAnsi="Georgia"/>
        </w:rPr>
        <w:t xml:space="preserve">obtain </w:t>
      </w:r>
      <w:r w:rsidR="0093720C">
        <w:rPr>
          <w:rFonts w:ascii="Georgia" w:hAnsi="Georgia"/>
        </w:rPr>
        <w:t xml:space="preserve">consent, they </w:t>
      </w:r>
      <w:r w:rsidR="00B449EF">
        <w:rPr>
          <w:rFonts w:ascii="Georgia" w:hAnsi="Georgia"/>
        </w:rPr>
        <w:t xml:space="preserve">will </w:t>
      </w:r>
      <w:r w:rsidR="001474A6">
        <w:rPr>
          <w:rFonts w:ascii="Georgia" w:hAnsi="Georgia"/>
        </w:rPr>
        <w:t xml:space="preserve">ultimately </w:t>
      </w:r>
      <w:r w:rsidR="00B449EF">
        <w:rPr>
          <w:rFonts w:ascii="Georgia" w:hAnsi="Georgia"/>
        </w:rPr>
        <w:t xml:space="preserve">be responsible for complying with the lawfulness </w:t>
      </w:r>
      <w:r w:rsidR="001474A6">
        <w:rPr>
          <w:rFonts w:ascii="Georgia" w:hAnsi="Georgia"/>
        </w:rPr>
        <w:t xml:space="preserve">principle </w:t>
      </w:r>
      <w:r w:rsidR="00B449EF">
        <w:rPr>
          <w:rFonts w:ascii="Georgia" w:hAnsi="Georgia"/>
        </w:rPr>
        <w:t xml:space="preserve">and </w:t>
      </w:r>
      <w:r w:rsidR="0093720C">
        <w:rPr>
          <w:rFonts w:ascii="Georgia" w:hAnsi="Georgia"/>
        </w:rPr>
        <w:t xml:space="preserve">they </w:t>
      </w:r>
      <w:r w:rsidR="00B449EF">
        <w:rPr>
          <w:rFonts w:ascii="Georgia" w:hAnsi="Georgia"/>
        </w:rPr>
        <w:t xml:space="preserve">will </w:t>
      </w:r>
      <w:r w:rsidR="001474A6">
        <w:rPr>
          <w:rFonts w:ascii="Georgia" w:hAnsi="Georgia"/>
        </w:rPr>
        <w:t xml:space="preserve">have </w:t>
      </w:r>
      <w:r w:rsidR="00B449EF">
        <w:rPr>
          <w:rFonts w:ascii="Georgia" w:hAnsi="Georgia"/>
        </w:rPr>
        <w:t xml:space="preserve">to be able to demonstrate such compliance. </w:t>
      </w:r>
      <w:r w:rsidR="00012A60">
        <w:rPr>
          <w:rFonts w:ascii="Georgia" w:hAnsi="Georgia"/>
        </w:rPr>
        <w:t xml:space="preserve">  </w:t>
      </w:r>
    </w:p>
    <w:p w:rsidR="006E3158" w:rsidRPr="006E3158" w:rsidRDefault="006E3158" w:rsidP="006E3158">
      <w:pPr>
        <w:pStyle w:val="ListParagraph"/>
        <w:rPr>
          <w:rFonts w:ascii="Georgia" w:hAnsi="Georgia"/>
        </w:rPr>
      </w:pPr>
    </w:p>
    <w:p w:rsidR="006E3158" w:rsidRDefault="002A0C63" w:rsidP="005939FD">
      <w:pPr>
        <w:pStyle w:val="ListParagraph"/>
        <w:numPr>
          <w:ilvl w:val="0"/>
          <w:numId w:val="1"/>
        </w:numPr>
        <w:jc w:val="both"/>
        <w:rPr>
          <w:rFonts w:ascii="Georgia" w:hAnsi="Georgia"/>
        </w:rPr>
      </w:pPr>
      <w:r w:rsidRPr="002A0C63">
        <w:rPr>
          <w:rFonts w:ascii="Georgia" w:hAnsi="Georgia"/>
          <w:u w:val="single"/>
        </w:rPr>
        <w:t>Consent requirements</w:t>
      </w:r>
      <w:r>
        <w:rPr>
          <w:rFonts w:ascii="Georgia" w:hAnsi="Georgia"/>
        </w:rPr>
        <w:t xml:space="preserve">: </w:t>
      </w:r>
      <w:r w:rsidR="006E3158">
        <w:rPr>
          <w:rFonts w:ascii="Georgia" w:hAnsi="Georgia"/>
        </w:rPr>
        <w:t>To be valid, consent must meet GDPR standards – as per Article 4(11)</w:t>
      </w:r>
      <w:r w:rsidR="002E4D37">
        <w:rPr>
          <w:rFonts w:ascii="Georgia" w:hAnsi="Georgia"/>
        </w:rPr>
        <w:t xml:space="preserve"> GDPR</w:t>
      </w:r>
      <w:r w:rsidR="006E3158">
        <w:rPr>
          <w:rFonts w:ascii="Georgia" w:hAnsi="Georgia"/>
        </w:rPr>
        <w:t xml:space="preserve">, it must be </w:t>
      </w:r>
      <w:r w:rsidR="00D94D83">
        <w:rPr>
          <w:rFonts w:ascii="Georgia" w:hAnsi="Georgia"/>
        </w:rPr>
        <w:t xml:space="preserve">freely given, </w:t>
      </w:r>
      <w:r w:rsidR="006E3158">
        <w:rPr>
          <w:rFonts w:ascii="Georgia" w:hAnsi="Georgia"/>
        </w:rPr>
        <w:t>specific</w:t>
      </w:r>
      <w:r w:rsidR="00D94D83">
        <w:rPr>
          <w:rFonts w:ascii="Georgia" w:hAnsi="Georgia"/>
        </w:rPr>
        <w:t>, informed</w:t>
      </w:r>
      <w:r w:rsidR="006E3158">
        <w:rPr>
          <w:rFonts w:ascii="Georgia" w:hAnsi="Georgia"/>
        </w:rPr>
        <w:t xml:space="preserve"> and unambiguous. </w:t>
      </w:r>
      <w:r w:rsidR="00341620">
        <w:rPr>
          <w:rFonts w:ascii="Georgia" w:hAnsi="Georgia"/>
        </w:rPr>
        <w:t xml:space="preserve">The </w:t>
      </w:r>
      <w:r>
        <w:rPr>
          <w:rFonts w:ascii="Georgia" w:hAnsi="Georgia"/>
        </w:rPr>
        <w:t>request for consent shall be clearly distinguishable from other matters</w:t>
      </w:r>
      <w:r w:rsidR="005939FD">
        <w:rPr>
          <w:rFonts w:ascii="Georgia" w:hAnsi="Georgia"/>
        </w:rPr>
        <w:t xml:space="preserve">, for example, contractual terms, </w:t>
      </w:r>
      <w:r>
        <w:rPr>
          <w:rFonts w:ascii="Georgia" w:hAnsi="Georgia"/>
        </w:rPr>
        <w:t xml:space="preserve">and </w:t>
      </w:r>
      <w:r w:rsidR="005939FD">
        <w:rPr>
          <w:rFonts w:ascii="Georgia" w:hAnsi="Georgia"/>
        </w:rPr>
        <w:t>individuals shall have the right to withdraw consent at any time (Article 7(2) &amp; (3) GDPR). Each of these elements is examined further below.</w:t>
      </w:r>
    </w:p>
    <w:p w:rsidR="00D94D83" w:rsidRPr="00D94D83" w:rsidRDefault="00D94D83" w:rsidP="00D94D83">
      <w:pPr>
        <w:pStyle w:val="ListParagraph"/>
        <w:rPr>
          <w:rFonts w:ascii="Georgia" w:hAnsi="Georgia"/>
        </w:rPr>
      </w:pPr>
    </w:p>
    <w:p w:rsidR="00936BE4" w:rsidRDefault="00D94D83" w:rsidP="00936BE4">
      <w:pPr>
        <w:pStyle w:val="ListParagraph"/>
        <w:numPr>
          <w:ilvl w:val="0"/>
          <w:numId w:val="1"/>
        </w:numPr>
        <w:jc w:val="both"/>
        <w:rPr>
          <w:rFonts w:ascii="Georgia" w:hAnsi="Georgia"/>
        </w:rPr>
      </w:pPr>
      <w:r w:rsidRPr="00936BE4">
        <w:rPr>
          <w:rFonts w:ascii="Georgia" w:hAnsi="Georgia"/>
          <w:u w:val="single"/>
        </w:rPr>
        <w:t>Freely given</w:t>
      </w:r>
      <w:r w:rsidRPr="00936BE4">
        <w:rPr>
          <w:rFonts w:ascii="Georgia" w:hAnsi="Georgia"/>
        </w:rPr>
        <w:t xml:space="preserve">: </w:t>
      </w:r>
      <w:r w:rsidR="00E37431" w:rsidRPr="00936BE4">
        <w:rPr>
          <w:rFonts w:ascii="Georgia" w:hAnsi="Georgia"/>
        </w:rPr>
        <w:t xml:space="preserve">Individuals must have a genuine choice as to whether or not they </w:t>
      </w:r>
      <w:r w:rsidR="00384FA4">
        <w:rPr>
          <w:rFonts w:ascii="Georgia" w:hAnsi="Georgia"/>
        </w:rPr>
        <w:t>provide consent and they must be able to refuse or withdraw consent without detriment</w:t>
      </w:r>
      <w:r w:rsidR="00FC6878">
        <w:rPr>
          <w:rStyle w:val="FootnoteReference"/>
          <w:rFonts w:ascii="Georgia" w:hAnsi="Georgia"/>
        </w:rPr>
        <w:footnoteReference w:id="3"/>
      </w:r>
      <w:r w:rsidR="00384FA4">
        <w:rPr>
          <w:rFonts w:ascii="Georgia" w:hAnsi="Georgia"/>
        </w:rPr>
        <w:t xml:space="preserve">. </w:t>
      </w:r>
      <w:r w:rsidR="008273E3">
        <w:rPr>
          <w:rFonts w:ascii="Georgia" w:hAnsi="Georgia"/>
        </w:rPr>
        <w:t xml:space="preserve">Two points are of particular relevance to the case examined in this document: imbalance of power and conditionality.  </w:t>
      </w:r>
    </w:p>
    <w:p w:rsidR="008273E3" w:rsidRDefault="008273E3" w:rsidP="008273E3">
      <w:pPr>
        <w:pStyle w:val="ListParagraph"/>
        <w:jc w:val="both"/>
        <w:rPr>
          <w:rFonts w:ascii="Georgia" w:hAnsi="Georgia"/>
        </w:rPr>
      </w:pPr>
    </w:p>
    <w:p w:rsidR="008273E3" w:rsidRPr="009A78DA" w:rsidRDefault="008273E3" w:rsidP="003017BC">
      <w:pPr>
        <w:pStyle w:val="ListParagraph"/>
        <w:numPr>
          <w:ilvl w:val="1"/>
          <w:numId w:val="1"/>
        </w:numPr>
        <w:ind w:left="1134"/>
        <w:jc w:val="both"/>
        <w:rPr>
          <w:rFonts w:ascii="Georgia" w:hAnsi="Georgia"/>
        </w:rPr>
      </w:pPr>
      <w:r>
        <w:rPr>
          <w:rFonts w:ascii="Georgia" w:hAnsi="Georgia"/>
          <w:u w:val="single"/>
        </w:rPr>
        <w:t>Imbalance of power</w:t>
      </w:r>
      <w:r w:rsidRPr="008273E3">
        <w:rPr>
          <w:rFonts w:ascii="Georgia" w:hAnsi="Georgia"/>
        </w:rPr>
        <w:t xml:space="preserve">: </w:t>
      </w:r>
      <w:r w:rsidR="007E117A">
        <w:rPr>
          <w:rFonts w:ascii="Georgia" w:hAnsi="Georgia"/>
        </w:rPr>
        <w:t xml:space="preserve">We appreciate that in many cases legal person registrants will appoint their employees as admin/tech contacts and will provide their contact details. Due to the imbalance of power that occurs in the employment context, </w:t>
      </w:r>
      <w:r w:rsidR="003017BC">
        <w:rPr>
          <w:rFonts w:ascii="Georgia" w:hAnsi="Georgia"/>
        </w:rPr>
        <w:t>seeking consent from employees can be problematic, as it is unlikely to be freely given</w:t>
      </w:r>
      <w:r w:rsidR="003017BC">
        <w:rPr>
          <w:rStyle w:val="FootnoteReference"/>
          <w:rFonts w:ascii="Georgia" w:hAnsi="Georgia"/>
        </w:rPr>
        <w:footnoteReference w:id="4"/>
      </w:r>
      <w:r w:rsidR="003017BC">
        <w:rPr>
          <w:rFonts w:ascii="Georgia" w:hAnsi="Georgia"/>
        </w:rPr>
        <w:t xml:space="preserve">. However, the EDPB recognises that employees can give free consent – albeit in limited circumstances – when it will have no adverse consequences at all whether or not they give consent. </w:t>
      </w:r>
      <w:r w:rsidR="00775401">
        <w:rPr>
          <w:rFonts w:ascii="Georgia" w:hAnsi="Georgia"/>
        </w:rPr>
        <w:t xml:space="preserve">Given the higher bar to prove that consent is freely given, </w:t>
      </w:r>
      <w:r w:rsidR="00706373">
        <w:rPr>
          <w:rFonts w:ascii="Georgia" w:hAnsi="Georgia"/>
        </w:rPr>
        <w:t xml:space="preserve">when </w:t>
      </w:r>
      <w:r w:rsidR="00054FBB">
        <w:rPr>
          <w:rFonts w:ascii="Georgia" w:hAnsi="Georgia"/>
        </w:rPr>
        <w:t xml:space="preserve">obtaining consent </w:t>
      </w:r>
      <w:r w:rsidR="00706373">
        <w:rPr>
          <w:rFonts w:ascii="Georgia" w:hAnsi="Georgia"/>
        </w:rPr>
        <w:t xml:space="preserve">for making data public </w:t>
      </w:r>
      <w:r w:rsidR="00706373" w:rsidRPr="009A78DA">
        <w:rPr>
          <w:rFonts w:ascii="Georgia" w:hAnsi="Georgia"/>
        </w:rPr>
        <w:t xml:space="preserve">in the </w:t>
      </w:r>
      <w:r w:rsidR="00825B21" w:rsidRPr="009A78DA">
        <w:rPr>
          <w:rFonts w:ascii="Georgia" w:hAnsi="Georgia"/>
        </w:rPr>
        <w:t>RDS</w:t>
      </w:r>
      <w:r w:rsidR="00706373" w:rsidRPr="009A78DA">
        <w:rPr>
          <w:rFonts w:ascii="Georgia" w:hAnsi="Georgia"/>
        </w:rPr>
        <w:t xml:space="preserve">, it should be ensured and made clear to individuals that they have a </w:t>
      </w:r>
      <w:r w:rsidR="0019261D" w:rsidRPr="009A78DA">
        <w:rPr>
          <w:rFonts w:ascii="Georgia" w:hAnsi="Georgia"/>
        </w:rPr>
        <w:t>genuine</w:t>
      </w:r>
      <w:r w:rsidR="00706373" w:rsidRPr="009A78DA">
        <w:rPr>
          <w:rFonts w:ascii="Georgia" w:hAnsi="Georgia"/>
        </w:rPr>
        <w:t xml:space="preserve"> option to choose whether or not their information will be published and that refusing to consent will have no impact on them.</w:t>
      </w:r>
      <w:r w:rsidR="003017BC" w:rsidRPr="009A78DA">
        <w:rPr>
          <w:rFonts w:ascii="Georgia" w:hAnsi="Georgia"/>
        </w:rPr>
        <w:t xml:space="preserve"> </w:t>
      </w:r>
    </w:p>
    <w:p w:rsidR="008273E3" w:rsidRPr="009A78DA" w:rsidRDefault="008273E3" w:rsidP="003017BC">
      <w:pPr>
        <w:pStyle w:val="ListParagraph"/>
        <w:ind w:left="1134"/>
        <w:jc w:val="both"/>
        <w:rPr>
          <w:rFonts w:ascii="Georgia" w:hAnsi="Georgia"/>
        </w:rPr>
      </w:pPr>
    </w:p>
    <w:p w:rsidR="009A78DA" w:rsidRDefault="008273E3" w:rsidP="001D7486">
      <w:pPr>
        <w:pStyle w:val="ListParagraph"/>
        <w:numPr>
          <w:ilvl w:val="1"/>
          <w:numId w:val="1"/>
        </w:numPr>
        <w:ind w:left="1134"/>
        <w:jc w:val="both"/>
        <w:rPr>
          <w:rFonts w:ascii="Georgia" w:hAnsi="Georgia"/>
        </w:rPr>
      </w:pPr>
      <w:r w:rsidRPr="005F62D8">
        <w:rPr>
          <w:rFonts w:ascii="Georgia" w:hAnsi="Georgia"/>
          <w:u w:val="single"/>
        </w:rPr>
        <w:t>Conditionality</w:t>
      </w:r>
      <w:r w:rsidR="00523A4D" w:rsidRPr="005F62D8">
        <w:rPr>
          <w:rFonts w:ascii="Georgia" w:hAnsi="Georgia"/>
        </w:rPr>
        <w:t xml:space="preserve">: Article 7(4) GDPR indicates that </w:t>
      </w:r>
      <w:r w:rsidR="00FE7A39" w:rsidRPr="005F62D8">
        <w:rPr>
          <w:rFonts w:ascii="Georgia" w:hAnsi="Georgia"/>
        </w:rPr>
        <w:t>when assessing whether consent is freely given, "</w:t>
      </w:r>
      <w:r w:rsidR="00FE7A39" w:rsidRPr="00E27090">
        <w:rPr>
          <w:rFonts w:ascii="Georgia" w:hAnsi="Georgia"/>
          <w:i/>
        </w:rPr>
        <w:t>utmost account shall be taken of whether, inter alia, the performance of a contract, including the provision of a service, is conditional on consent to the processing of personal data that is not necessary for the performance of that contract</w:t>
      </w:r>
      <w:r w:rsidR="00FE7A39" w:rsidRPr="005F62D8">
        <w:rPr>
          <w:rFonts w:ascii="Georgia" w:hAnsi="Georgia"/>
        </w:rPr>
        <w:t>".</w:t>
      </w:r>
      <w:r w:rsidR="00523A4D" w:rsidRPr="00A61294">
        <w:rPr>
          <w:rFonts w:ascii="Georgia" w:hAnsi="Georgia"/>
        </w:rPr>
        <w:t xml:space="preserve"> </w:t>
      </w:r>
      <w:r w:rsidR="005D03F5" w:rsidRPr="00A61294">
        <w:rPr>
          <w:rFonts w:ascii="Georgia" w:hAnsi="Georgia"/>
        </w:rPr>
        <w:t>We acknowledge that in the context of RDS it is the legal person registrant</w:t>
      </w:r>
      <w:r w:rsidR="00FE7A39" w:rsidRPr="00836272">
        <w:rPr>
          <w:rFonts w:ascii="Georgia" w:hAnsi="Georgia"/>
        </w:rPr>
        <w:t>,</w:t>
      </w:r>
      <w:r w:rsidR="005D03F5" w:rsidRPr="006528E7">
        <w:rPr>
          <w:rFonts w:ascii="Georgia" w:hAnsi="Georgia"/>
        </w:rPr>
        <w:t xml:space="preserve"> and not the individual</w:t>
      </w:r>
      <w:r w:rsidR="00FE7A39" w:rsidRPr="005F62D8">
        <w:rPr>
          <w:rFonts w:ascii="Georgia" w:hAnsi="Georgia"/>
        </w:rPr>
        <w:t>,</w:t>
      </w:r>
      <w:r w:rsidR="005D03F5" w:rsidRPr="005F62D8">
        <w:rPr>
          <w:rFonts w:ascii="Georgia" w:hAnsi="Georgia"/>
        </w:rPr>
        <w:t xml:space="preserve"> who enters into a contract with controllers and receives their domain name registration services</w:t>
      </w:r>
      <w:r w:rsidR="005F62D8" w:rsidRPr="005F62D8">
        <w:rPr>
          <w:rFonts w:ascii="Georgia" w:hAnsi="Georgia"/>
        </w:rPr>
        <w:t xml:space="preserve">.  Although Article 7(4) may more typically be applied in situations when the data subject wishes to receive services from the controller, it is drafted in more general terms and is not restricted to situations when the data subject is to receive the services. </w:t>
      </w:r>
      <w:r w:rsidR="005F62D8">
        <w:rPr>
          <w:rFonts w:ascii="Georgia" w:hAnsi="Georgia"/>
        </w:rPr>
        <w:t xml:space="preserve"> </w:t>
      </w:r>
      <w:r w:rsidR="009A78DA" w:rsidRPr="00FE7A39">
        <w:rPr>
          <w:rFonts w:ascii="Georgia" w:hAnsi="Georgia"/>
        </w:rPr>
        <w:t xml:space="preserve">If </w:t>
      </w:r>
      <w:r w:rsidR="00C35355">
        <w:rPr>
          <w:rFonts w:ascii="Georgia" w:hAnsi="Georgia"/>
        </w:rPr>
        <w:t xml:space="preserve">contact details of </w:t>
      </w:r>
      <w:r w:rsidR="009A78DA" w:rsidRPr="00FE7A39">
        <w:rPr>
          <w:rFonts w:ascii="Georgia" w:hAnsi="Georgia"/>
        </w:rPr>
        <w:t xml:space="preserve">natural persons acting as admin/tech contacts </w:t>
      </w:r>
      <w:r w:rsidR="00C35355">
        <w:rPr>
          <w:rFonts w:ascii="Georgia" w:hAnsi="Georgia"/>
        </w:rPr>
        <w:t>for legal person registrants is to be made public by default, and if legal person registrants are required to obtain consent from the relevant points of contact for this, then it will be prohibitively difficult to rebut the presumption, set out at Article 7(4) that the consent is</w:t>
      </w:r>
      <w:r w:rsidR="009A78DA" w:rsidRPr="00FE7A39">
        <w:rPr>
          <w:rFonts w:ascii="Georgia" w:hAnsi="Georgia"/>
        </w:rPr>
        <w:t xml:space="preserve"> not be freely given.</w:t>
      </w:r>
      <w:r w:rsidR="00576A65" w:rsidRPr="00FE7A39">
        <w:rPr>
          <w:rFonts w:ascii="Georgia" w:hAnsi="Georgia"/>
        </w:rPr>
        <w:t xml:space="preserve"> </w:t>
      </w:r>
      <w:r w:rsidR="00910132" w:rsidRPr="00FE7A39">
        <w:rPr>
          <w:rFonts w:ascii="Georgia" w:hAnsi="Georgia"/>
        </w:rPr>
        <w:t>If the legal person registrant does not have the option to keep contact details non-public or to have contact details removed from RDS without replacing them with other contact details, then this lack of option will likely impact on individuals' freedom to refuse/withdraw consent and the unconditional character of these rights.</w:t>
      </w:r>
      <w:r w:rsidR="00910132">
        <w:rPr>
          <w:rFonts w:ascii="Georgia" w:hAnsi="Georgia"/>
        </w:rPr>
        <w:t xml:space="preserve"> </w:t>
      </w:r>
      <w:r w:rsidR="009A78DA">
        <w:rPr>
          <w:rFonts w:ascii="Georgia" w:hAnsi="Georgia"/>
        </w:rPr>
        <w:t xml:space="preserve"> </w:t>
      </w:r>
    </w:p>
    <w:p w:rsidR="009A78DA" w:rsidRDefault="009A78DA" w:rsidP="005D03F5">
      <w:pPr>
        <w:pStyle w:val="ListParagraph"/>
        <w:ind w:left="1134"/>
        <w:jc w:val="both"/>
        <w:rPr>
          <w:rFonts w:ascii="Georgia" w:hAnsi="Georgia"/>
        </w:rPr>
      </w:pPr>
    </w:p>
    <w:p w:rsidR="00862362" w:rsidRPr="00B21886" w:rsidRDefault="00862362" w:rsidP="00BF431C">
      <w:pPr>
        <w:pStyle w:val="ListParagraph"/>
        <w:numPr>
          <w:ilvl w:val="0"/>
          <w:numId w:val="1"/>
        </w:numPr>
        <w:jc w:val="both"/>
        <w:rPr>
          <w:rFonts w:ascii="Georgia" w:hAnsi="Georgia"/>
        </w:rPr>
      </w:pPr>
      <w:r w:rsidRPr="009A78DA">
        <w:rPr>
          <w:rFonts w:ascii="Georgia" w:hAnsi="Georgia"/>
        </w:rPr>
        <w:t xml:space="preserve">In this respect, we note that </w:t>
      </w:r>
      <w:r w:rsidR="004A4C19">
        <w:rPr>
          <w:rFonts w:ascii="Georgia" w:hAnsi="Georgia"/>
        </w:rPr>
        <w:t xml:space="preserve">the question analysed in this document points </w:t>
      </w:r>
      <w:r w:rsidRPr="009A78DA">
        <w:rPr>
          <w:rFonts w:ascii="Georgia" w:hAnsi="Georgia"/>
        </w:rPr>
        <w:t xml:space="preserve">to the RIPE-NCC registry. </w:t>
      </w:r>
      <w:r w:rsidR="00C7281E">
        <w:rPr>
          <w:rFonts w:ascii="Georgia" w:hAnsi="Georgia"/>
        </w:rPr>
        <w:t>On the basis of</w:t>
      </w:r>
      <w:r w:rsidRPr="009A78DA">
        <w:rPr>
          <w:rFonts w:ascii="Georgia" w:hAnsi="Georgia"/>
        </w:rPr>
        <w:t xml:space="preserve"> the information provided </w:t>
      </w:r>
      <w:r w:rsidR="004A4C19">
        <w:rPr>
          <w:rFonts w:ascii="Georgia" w:hAnsi="Georgia"/>
        </w:rPr>
        <w:t>o</w:t>
      </w:r>
      <w:r w:rsidRPr="009A78DA">
        <w:rPr>
          <w:rFonts w:ascii="Georgia" w:hAnsi="Georgia"/>
        </w:rPr>
        <w:t xml:space="preserve">n the </w:t>
      </w:r>
      <w:r w:rsidR="004A4C19">
        <w:rPr>
          <w:rFonts w:ascii="Georgia" w:hAnsi="Georgia"/>
        </w:rPr>
        <w:t xml:space="preserve">RIPE-NCC webpages </w:t>
      </w:r>
      <w:r w:rsidRPr="009A78DA">
        <w:rPr>
          <w:rFonts w:ascii="Georgia" w:hAnsi="Georgia"/>
        </w:rPr>
        <w:t>shared with us,</w:t>
      </w:r>
      <w:r w:rsidR="00103F53" w:rsidRPr="009A78DA">
        <w:rPr>
          <w:rFonts w:ascii="Georgia" w:hAnsi="Georgia"/>
        </w:rPr>
        <w:t xml:space="preserve"> </w:t>
      </w:r>
      <w:r w:rsidR="00C7281E">
        <w:rPr>
          <w:rFonts w:ascii="Georgia" w:hAnsi="Georgia"/>
        </w:rPr>
        <w:t xml:space="preserve">we note that RIPE-NCC purport to </w:t>
      </w:r>
      <w:r w:rsidR="00103F53" w:rsidRPr="009A78DA">
        <w:rPr>
          <w:rFonts w:ascii="Georgia" w:hAnsi="Georgia"/>
        </w:rPr>
        <w:t>rely on consent when an individual other</w:t>
      </w:r>
      <w:r w:rsidR="00103F53">
        <w:rPr>
          <w:rFonts w:ascii="Georgia" w:hAnsi="Georgia"/>
        </w:rPr>
        <w:t xml:space="preserve"> than the "resource holder" is appointed as point of contact</w:t>
      </w:r>
      <w:r w:rsidR="009A4440">
        <w:rPr>
          <w:rFonts w:ascii="Georgia" w:hAnsi="Georgia"/>
        </w:rPr>
        <w:t xml:space="preserve"> </w:t>
      </w:r>
      <w:r w:rsidR="00BF431C">
        <w:rPr>
          <w:rFonts w:ascii="Georgia" w:hAnsi="Georgia"/>
        </w:rPr>
        <w:t xml:space="preserve">and </w:t>
      </w:r>
      <w:r w:rsidR="009A4440">
        <w:rPr>
          <w:rFonts w:ascii="Georgia" w:hAnsi="Georgia"/>
        </w:rPr>
        <w:t>require the "resource holder" to obtain consent</w:t>
      </w:r>
      <w:r w:rsidR="00B21886">
        <w:rPr>
          <w:rFonts w:ascii="Georgia" w:hAnsi="Georgia"/>
        </w:rPr>
        <w:t xml:space="preserve"> from that individual</w:t>
      </w:r>
      <w:r w:rsidR="00103F53">
        <w:rPr>
          <w:rFonts w:ascii="Georgia" w:hAnsi="Georgia"/>
        </w:rPr>
        <w:t xml:space="preserve">. </w:t>
      </w:r>
      <w:r w:rsidR="00BF431C">
        <w:rPr>
          <w:rFonts w:ascii="Georgia" w:hAnsi="Georgia"/>
        </w:rPr>
        <w:t>We also note that the publication of the point of contact's details is mandatory</w:t>
      </w:r>
      <w:r w:rsidR="00B21886">
        <w:rPr>
          <w:rFonts w:ascii="Georgia" w:hAnsi="Georgia"/>
        </w:rPr>
        <w:t xml:space="preserve">; thus, </w:t>
      </w:r>
      <w:r w:rsidR="00BF431C">
        <w:rPr>
          <w:rFonts w:ascii="Georgia" w:hAnsi="Georgia"/>
        </w:rPr>
        <w:t xml:space="preserve">registration is conditional on the </w:t>
      </w:r>
      <w:r w:rsidR="00B21886">
        <w:rPr>
          <w:rFonts w:ascii="Georgia" w:hAnsi="Georgia"/>
        </w:rPr>
        <w:t>"resource holder"</w:t>
      </w:r>
      <w:r w:rsidR="00BF431C">
        <w:rPr>
          <w:rFonts w:ascii="Georgia" w:hAnsi="Georgia"/>
        </w:rPr>
        <w:t xml:space="preserve"> en</w:t>
      </w:r>
      <w:r w:rsidR="00FB6DBC">
        <w:rPr>
          <w:rFonts w:ascii="Georgia" w:hAnsi="Georgia"/>
        </w:rPr>
        <w:t xml:space="preserve">suring consent from the person </w:t>
      </w:r>
      <w:r w:rsidR="00BF431C">
        <w:rPr>
          <w:rFonts w:ascii="Georgia" w:hAnsi="Georgia"/>
        </w:rPr>
        <w:t>t</w:t>
      </w:r>
      <w:r w:rsidR="00FB6DBC">
        <w:rPr>
          <w:rFonts w:ascii="Georgia" w:hAnsi="Georgia"/>
        </w:rPr>
        <w:t>hey wish</w:t>
      </w:r>
      <w:r w:rsidR="00BF431C">
        <w:rPr>
          <w:rFonts w:ascii="Georgia" w:hAnsi="Georgia"/>
        </w:rPr>
        <w:t xml:space="preserve"> to appoint as point of contact.</w:t>
      </w:r>
      <w:r w:rsidR="00B21886">
        <w:rPr>
          <w:rFonts w:ascii="Georgia" w:hAnsi="Georgia"/>
        </w:rPr>
        <w:t xml:space="preserve"> In our view</w:t>
      </w:r>
      <w:r w:rsidR="00BF431C">
        <w:rPr>
          <w:rFonts w:ascii="Georgia" w:hAnsi="Georgia"/>
        </w:rPr>
        <w:t xml:space="preserve">, this practice triggers the presumption </w:t>
      </w:r>
      <w:r w:rsidR="00B21886">
        <w:rPr>
          <w:rFonts w:ascii="Georgia" w:hAnsi="Georgia"/>
        </w:rPr>
        <w:t xml:space="preserve">examined above, </w:t>
      </w:r>
      <w:r w:rsidR="00BF431C">
        <w:rPr>
          <w:rFonts w:ascii="Georgia" w:hAnsi="Georgia"/>
        </w:rPr>
        <w:t xml:space="preserve">that in this context </w:t>
      </w:r>
      <w:r w:rsidR="00FB6DBC">
        <w:rPr>
          <w:rFonts w:ascii="Georgia" w:hAnsi="Georgia"/>
        </w:rPr>
        <w:t xml:space="preserve">consent </w:t>
      </w:r>
      <w:r w:rsidR="00BF431C">
        <w:rPr>
          <w:rFonts w:ascii="Georgia" w:hAnsi="Georgia"/>
        </w:rPr>
        <w:t xml:space="preserve">will not be freely given. </w:t>
      </w:r>
    </w:p>
    <w:p w:rsidR="00862362" w:rsidRDefault="00862362" w:rsidP="00862362">
      <w:pPr>
        <w:pStyle w:val="ListParagraph"/>
        <w:jc w:val="both"/>
        <w:rPr>
          <w:rFonts w:ascii="Georgia" w:hAnsi="Georgia"/>
        </w:rPr>
      </w:pPr>
    </w:p>
    <w:p w:rsidR="005D2D64" w:rsidRPr="00535F88" w:rsidRDefault="005D2D64" w:rsidP="005D2D64">
      <w:pPr>
        <w:pStyle w:val="ListParagraph"/>
        <w:numPr>
          <w:ilvl w:val="0"/>
          <w:numId w:val="1"/>
        </w:numPr>
        <w:jc w:val="both"/>
        <w:rPr>
          <w:rFonts w:ascii="Georgia" w:hAnsi="Georgia"/>
        </w:rPr>
      </w:pPr>
      <w:r w:rsidRPr="005D2D64">
        <w:rPr>
          <w:rFonts w:ascii="Georgia" w:hAnsi="Georgia"/>
          <w:u w:val="single"/>
        </w:rPr>
        <w:t>Specific</w:t>
      </w:r>
      <w:r>
        <w:rPr>
          <w:rFonts w:ascii="Georgia" w:hAnsi="Georgia"/>
        </w:rPr>
        <w:t xml:space="preserve">: </w:t>
      </w:r>
      <w:r w:rsidR="00C75034">
        <w:rPr>
          <w:rFonts w:ascii="Georgia" w:hAnsi="Georgia"/>
        </w:rPr>
        <w:t>Pursuant to Article 6(1)(a) GDPR, consent must be given in respect of the processing of data "</w:t>
      </w:r>
      <w:r w:rsidR="00C75034" w:rsidRPr="00C75034">
        <w:rPr>
          <w:rFonts w:ascii="Georgia" w:hAnsi="Georgia"/>
          <w:i/>
        </w:rPr>
        <w:t>for one or more specific purposes</w:t>
      </w:r>
      <w:r w:rsidR="00C75034">
        <w:rPr>
          <w:rFonts w:ascii="Georgia" w:hAnsi="Georgia"/>
        </w:rPr>
        <w:t xml:space="preserve">". As the EDPB </w:t>
      </w:r>
      <w:r w:rsidR="00B57CD8">
        <w:rPr>
          <w:rFonts w:ascii="Georgia" w:hAnsi="Georgia"/>
        </w:rPr>
        <w:t>consent guidelines mention</w:t>
      </w:r>
      <w:r w:rsidR="00C75034">
        <w:rPr>
          <w:rFonts w:ascii="Georgia" w:hAnsi="Georgia"/>
        </w:rPr>
        <w:t>, "</w:t>
      </w:r>
      <w:r w:rsidR="00C75034" w:rsidRPr="00B57CD8">
        <w:rPr>
          <w:rFonts w:ascii="Georgia" w:hAnsi="Georgia"/>
          <w:i/>
        </w:rPr>
        <w:t>obtaining valid consent is always preceded by the determination of a specific, explicit and legitimate purpose for the intended processing activity</w:t>
      </w:r>
      <w:r w:rsidR="00C75034">
        <w:rPr>
          <w:rFonts w:ascii="Georgia" w:hAnsi="Georgia"/>
        </w:rPr>
        <w:t xml:space="preserve">". </w:t>
      </w:r>
      <w:r w:rsidR="001E1E5B">
        <w:rPr>
          <w:rFonts w:ascii="Georgia" w:hAnsi="Georgia"/>
        </w:rPr>
        <w:t xml:space="preserve">This means that consent should be sought for the particular processing operation, i.e. the publication of </w:t>
      </w:r>
      <w:r w:rsidR="00B57CD8">
        <w:rPr>
          <w:rFonts w:ascii="Georgia" w:hAnsi="Georgia"/>
        </w:rPr>
        <w:t>individuals'</w:t>
      </w:r>
      <w:r w:rsidR="001E1E5B">
        <w:rPr>
          <w:rFonts w:ascii="Georgia" w:hAnsi="Georgia"/>
        </w:rPr>
        <w:t xml:space="preserve"> contact details in the </w:t>
      </w:r>
      <w:r w:rsidR="00825B21">
        <w:rPr>
          <w:rFonts w:ascii="Georgia" w:hAnsi="Georgia"/>
        </w:rPr>
        <w:t>RDS</w:t>
      </w:r>
      <w:r w:rsidR="0072340F">
        <w:rPr>
          <w:rFonts w:ascii="Georgia" w:hAnsi="Georgia"/>
        </w:rPr>
        <w:t xml:space="preserve"> (and individuals should be made specifically aware of this purpose)</w:t>
      </w:r>
      <w:r w:rsidR="001E1E5B">
        <w:rPr>
          <w:rFonts w:ascii="Georgia" w:hAnsi="Georgia"/>
        </w:rPr>
        <w:t xml:space="preserve">. </w:t>
      </w:r>
    </w:p>
    <w:p w:rsidR="008E1B63" w:rsidRPr="008E1B63" w:rsidRDefault="008E1B63" w:rsidP="008E1B63">
      <w:pPr>
        <w:pStyle w:val="ListParagraph"/>
        <w:rPr>
          <w:rFonts w:ascii="Georgia" w:hAnsi="Georgia"/>
        </w:rPr>
      </w:pPr>
    </w:p>
    <w:p w:rsidR="00D94D83" w:rsidRDefault="00D94D83" w:rsidP="008E1B63">
      <w:pPr>
        <w:pStyle w:val="ListParagraph"/>
        <w:numPr>
          <w:ilvl w:val="0"/>
          <w:numId w:val="1"/>
        </w:numPr>
        <w:jc w:val="both"/>
        <w:rPr>
          <w:rFonts w:ascii="Georgia" w:hAnsi="Georgia"/>
        </w:rPr>
      </w:pPr>
      <w:r w:rsidRPr="00D94D83">
        <w:rPr>
          <w:rFonts w:ascii="Georgia" w:hAnsi="Georgia"/>
          <w:u w:val="single"/>
        </w:rPr>
        <w:t>Informed</w:t>
      </w:r>
      <w:r>
        <w:rPr>
          <w:rFonts w:ascii="Georgia" w:hAnsi="Georgia"/>
        </w:rPr>
        <w:t xml:space="preserve">: </w:t>
      </w:r>
      <w:r w:rsidR="00C90861">
        <w:rPr>
          <w:rFonts w:ascii="Georgia" w:hAnsi="Georgia"/>
        </w:rPr>
        <w:t xml:space="preserve">Providing information to individuals prior to obtaining their consent is </w:t>
      </w:r>
      <w:r w:rsidR="00EC10B0">
        <w:rPr>
          <w:rFonts w:ascii="Georgia" w:hAnsi="Georgia"/>
        </w:rPr>
        <w:t xml:space="preserve">a </w:t>
      </w:r>
      <w:r w:rsidR="00C90861">
        <w:rPr>
          <w:rFonts w:ascii="Georgia" w:hAnsi="Georgia"/>
        </w:rPr>
        <w:t xml:space="preserve">key </w:t>
      </w:r>
      <w:r w:rsidR="00EC10B0">
        <w:rPr>
          <w:rFonts w:ascii="Georgia" w:hAnsi="Georgia"/>
        </w:rPr>
        <w:t xml:space="preserve">requirement </w:t>
      </w:r>
      <w:r w:rsidR="00C90861">
        <w:rPr>
          <w:rFonts w:ascii="Georgia" w:hAnsi="Georgia"/>
        </w:rPr>
        <w:t xml:space="preserve">to ensure that they are in a position to make informed decisions and </w:t>
      </w:r>
      <w:r w:rsidR="00EC10B0">
        <w:rPr>
          <w:rFonts w:ascii="Georgia" w:hAnsi="Georgia"/>
        </w:rPr>
        <w:t xml:space="preserve">thus provide </w:t>
      </w:r>
      <w:r w:rsidR="00C90861">
        <w:rPr>
          <w:rFonts w:ascii="Georgia" w:hAnsi="Georgia"/>
        </w:rPr>
        <w:t>valid</w:t>
      </w:r>
      <w:r w:rsidR="00EC10B0">
        <w:rPr>
          <w:rFonts w:ascii="Georgia" w:hAnsi="Georgia"/>
        </w:rPr>
        <w:t xml:space="preserve"> consent</w:t>
      </w:r>
      <w:r w:rsidR="00C90861">
        <w:rPr>
          <w:rFonts w:ascii="Georgia" w:hAnsi="Georgia"/>
        </w:rPr>
        <w:t xml:space="preserve">. Pursuant to the EDPB consent guidelines, </w:t>
      </w:r>
      <w:r w:rsidR="001024F6">
        <w:rPr>
          <w:rFonts w:ascii="Georgia" w:hAnsi="Georgia"/>
        </w:rPr>
        <w:t xml:space="preserve">controllers shall provide to individuals </w:t>
      </w:r>
      <w:r w:rsidR="00C90861">
        <w:rPr>
          <w:rFonts w:ascii="Georgia" w:hAnsi="Georgia"/>
        </w:rPr>
        <w:t xml:space="preserve">at least the following information </w:t>
      </w:r>
      <w:r w:rsidR="001024F6">
        <w:rPr>
          <w:rFonts w:ascii="Georgia" w:hAnsi="Georgia"/>
        </w:rPr>
        <w:t xml:space="preserve">prior to obtaining their </w:t>
      </w:r>
      <w:r w:rsidR="00C90861">
        <w:rPr>
          <w:rFonts w:ascii="Georgia" w:hAnsi="Georgia"/>
        </w:rPr>
        <w:t>consent:</w:t>
      </w:r>
    </w:p>
    <w:p w:rsidR="00C90861" w:rsidRDefault="00C90861" w:rsidP="00C90861">
      <w:pPr>
        <w:pStyle w:val="ListParagraph"/>
        <w:numPr>
          <w:ilvl w:val="0"/>
          <w:numId w:val="3"/>
        </w:numPr>
        <w:jc w:val="both"/>
        <w:rPr>
          <w:rFonts w:ascii="Georgia" w:hAnsi="Georgia"/>
        </w:rPr>
      </w:pPr>
      <w:r>
        <w:rPr>
          <w:rFonts w:ascii="Georgia" w:hAnsi="Georgia"/>
        </w:rPr>
        <w:t xml:space="preserve">The identity of the controller(s); </w:t>
      </w:r>
    </w:p>
    <w:p w:rsidR="00C90861" w:rsidRDefault="001024F6" w:rsidP="00C90861">
      <w:pPr>
        <w:pStyle w:val="ListParagraph"/>
        <w:numPr>
          <w:ilvl w:val="0"/>
          <w:numId w:val="3"/>
        </w:numPr>
        <w:jc w:val="both"/>
        <w:rPr>
          <w:rFonts w:ascii="Georgia" w:hAnsi="Georgia"/>
        </w:rPr>
      </w:pPr>
      <w:r>
        <w:rPr>
          <w:rFonts w:ascii="Georgia" w:hAnsi="Georgia"/>
        </w:rPr>
        <w:t xml:space="preserve">The purpose for which consent is sought; </w:t>
      </w:r>
    </w:p>
    <w:p w:rsidR="001024F6" w:rsidRDefault="001024F6" w:rsidP="00C90861">
      <w:pPr>
        <w:pStyle w:val="ListParagraph"/>
        <w:numPr>
          <w:ilvl w:val="0"/>
          <w:numId w:val="3"/>
        </w:numPr>
        <w:jc w:val="both"/>
        <w:rPr>
          <w:rFonts w:ascii="Georgia" w:hAnsi="Georgia"/>
        </w:rPr>
      </w:pPr>
      <w:r>
        <w:rPr>
          <w:rFonts w:ascii="Georgia" w:hAnsi="Georgia"/>
        </w:rPr>
        <w:t>The type of data collected and used;</w:t>
      </w:r>
    </w:p>
    <w:p w:rsidR="001024F6" w:rsidRDefault="001024F6" w:rsidP="00C90861">
      <w:pPr>
        <w:pStyle w:val="ListParagraph"/>
        <w:numPr>
          <w:ilvl w:val="0"/>
          <w:numId w:val="3"/>
        </w:numPr>
        <w:jc w:val="both"/>
        <w:rPr>
          <w:rFonts w:ascii="Georgia" w:hAnsi="Georgia"/>
        </w:rPr>
      </w:pPr>
      <w:r>
        <w:rPr>
          <w:rFonts w:ascii="Georgia" w:hAnsi="Georgia"/>
        </w:rPr>
        <w:t xml:space="preserve">The existence of the right to withdraw consent; </w:t>
      </w:r>
    </w:p>
    <w:p w:rsidR="001024F6" w:rsidRDefault="001024F6" w:rsidP="00C90861">
      <w:pPr>
        <w:pStyle w:val="ListParagraph"/>
        <w:numPr>
          <w:ilvl w:val="0"/>
          <w:numId w:val="3"/>
        </w:numPr>
        <w:jc w:val="both"/>
        <w:rPr>
          <w:rFonts w:ascii="Georgia" w:hAnsi="Georgia"/>
        </w:rPr>
      </w:pPr>
      <w:r>
        <w:rPr>
          <w:rFonts w:ascii="Georgia" w:hAnsi="Georgia"/>
        </w:rPr>
        <w:lastRenderedPageBreak/>
        <w:t xml:space="preserve">Where relevant, information about the use of the data for automated decision-making in accordance with Article 22(2)(c) GDPR; </w:t>
      </w:r>
    </w:p>
    <w:p w:rsidR="001024F6" w:rsidRDefault="004A221D" w:rsidP="00C90861">
      <w:pPr>
        <w:pStyle w:val="ListParagraph"/>
        <w:numPr>
          <w:ilvl w:val="0"/>
          <w:numId w:val="3"/>
        </w:numPr>
        <w:jc w:val="both"/>
        <w:rPr>
          <w:rFonts w:ascii="Georgia" w:hAnsi="Georgia"/>
        </w:rPr>
      </w:pPr>
      <w:r>
        <w:rPr>
          <w:rFonts w:ascii="Georgia" w:hAnsi="Georgia"/>
        </w:rPr>
        <w:t>Where relevant, i</w:t>
      </w:r>
      <w:r w:rsidR="001024F6">
        <w:rPr>
          <w:rFonts w:ascii="Georgia" w:hAnsi="Georgia"/>
        </w:rPr>
        <w:t xml:space="preserve">nformation on the possible risks of data transfers due to the absence of an adequacy decision and of appropriate safeguards as described in Article 46 GDPR. </w:t>
      </w:r>
    </w:p>
    <w:p w:rsidR="00E85597" w:rsidRPr="00E85597" w:rsidRDefault="00E85597" w:rsidP="00EA0532">
      <w:pPr>
        <w:ind w:left="709"/>
        <w:jc w:val="both"/>
        <w:rPr>
          <w:rFonts w:ascii="Georgia" w:hAnsi="Georgia"/>
        </w:rPr>
      </w:pPr>
      <w:r>
        <w:rPr>
          <w:rFonts w:ascii="Georgia" w:hAnsi="Georgia"/>
        </w:rPr>
        <w:t xml:space="preserve">In line with the requirements of </w:t>
      </w:r>
      <w:r w:rsidR="00713296">
        <w:rPr>
          <w:rFonts w:ascii="Georgia" w:hAnsi="Georgia"/>
        </w:rPr>
        <w:t>Article 12 GDPR, the information should be provided in clear and plain language. To ensure that</w:t>
      </w:r>
      <w:r w:rsidR="00EA0532">
        <w:rPr>
          <w:rFonts w:ascii="Georgia" w:hAnsi="Georgia"/>
        </w:rPr>
        <w:t xml:space="preserve"> individuals receive</w:t>
      </w:r>
      <w:r w:rsidR="00713296">
        <w:rPr>
          <w:rFonts w:ascii="Georgia" w:hAnsi="Georgia"/>
        </w:rPr>
        <w:t xml:space="preserve"> adequate information in an appropr</w:t>
      </w:r>
      <w:r w:rsidR="00EA0532">
        <w:rPr>
          <w:rFonts w:ascii="Georgia" w:hAnsi="Georgia"/>
        </w:rPr>
        <w:t>iate form</w:t>
      </w:r>
      <w:r w:rsidR="00713296">
        <w:rPr>
          <w:rFonts w:ascii="Georgia" w:hAnsi="Georgia"/>
        </w:rPr>
        <w:t xml:space="preserve">, we suggest that controllers always have control over </w:t>
      </w:r>
      <w:r w:rsidR="004A221D">
        <w:rPr>
          <w:rFonts w:ascii="Georgia" w:hAnsi="Georgia"/>
        </w:rPr>
        <w:t xml:space="preserve">the language to be used in </w:t>
      </w:r>
      <w:r w:rsidR="00713296">
        <w:rPr>
          <w:rFonts w:ascii="Georgia" w:hAnsi="Georgia"/>
        </w:rPr>
        <w:t xml:space="preserve">such </w:t>
      </w:r>
      <w:r w:rsidR="004A221D">
        <w:rPr>
          <w:rFonts w:ascii="Georgia" w:hAnsi="Georgia"/>
        </w:rPr>
        <w:t xml:space="preserve">an </w:t>
      </w:r>
      <w:r w:rsidR="00713296">
        <w:rPr>
          <w:rFonts w:ascii="Georgia" w:hAnsi="Georgia"/>
        </w:rPr>
        <w:t xml:space="preserve">information notice. </w:t>
      </w:r>
    </w:p>
    <w:p w:rsidR="007E48BB" w:rsidRDefault="00D94D83" w:rsidP="008E1B63">
      <w:pPr>
        <w:pStyle w:val="ListParagraph"/>
        <w:numPr>
          <w:ilvl w:val="0"/>
          <w:numId w:val="1"/>
        </w:numPr>
        <w:jc w:val="both"/>
        <w:rPr>
          <w:rFonts w:ascii="Georgia" w:hAnsi="Georgia"/>
        </w:rPr>
      </w:pPr>
      <w:r w:rsidRPr="00D94D83">
        <w:rPr>
          <w:rFonts w:ascii="Georgia" w:hAnsi="Georgia"/>
          <w:u w:val="single"/>
        </w:rPr>
        <w:t>Unambiguous</w:t>
      </w:r>
      <w:r>
        <w:rPr>
          <w:rFonts w:ascii="Georgia" w:hAnsi="Georgia"/>
        </w:rPr>
        <w:t>:</w:t>
      </w:r>
      <w:r w:rsidR="003E238A">
        <w:rPr>
          <w:rFonts w:ascii="Georgia" w:hAnsi="Georgia"/>
        </w:rPr>
        <w:t xml:space="preserve"> C</w:t>
      </w:r>
      <w:r w:rsidR="008C6692">
        <w:rPr>
          <w:rFonts w:ascii="Georgia" w:hAnsi="Georgia"/>
        </w:rPr>
        <w:t>onsent requires a statement by the individual or a clear affirmative</w:t>
      </w:r>
      <w:r w:rsidR="003E238A">
        <w:rPr>
          <w:rFonts w:ascii="Georgia" w:hAnsi="Georgia"/>
        </w:rPr>
        <w:t xml:space="preserve"> act</w:t>
      </w:r>
      <w:r w:rsidR="008C6692">
        <w:rPr>
          <w:rFonts w:ascii="Georgia" w:hAnsi="Georgia"/>
        </w:rPr>
        <w:t>, which demonstrates that individuals must have taken a deliberate action to consent to a particular processing.</w:t>
      </w:r>
      <w:r w:rsidR="003E238A">
        <w:rPr>
          <w:rFonts w:ascii="Georgia" w:hAnsi="Georgia"/>
        </w:rPr>
        <w:t xml:space="preserve"> For example, merely informing an individual that their contact details will be made public unless they object, </w:t>
      </w:r>
      <w:r w:rsidR="006D5820">
        <w:rPr>
          <w:rFonts w:ascii="Georgia" w:hAnsi="Georgia"/>
        </w:rPr>
        <w:t>does n</w:t>
      </w:r>
      <w:r w:rsidR="003E238A">
        <w:rPr>
          <w:rFonts w:ascii="Georgia" w:hAnsi="Georgia"/>
        </w:rPr>
        <w:t xml:space="preserve">ot </w:t>
      </w:r>
      <w:r w:rsidR="006D5820">
        <w:rPr>
          <w:rFonts w:ascii="Georgia" w:hAnsi="Georgia"/>
        </w:rPr>
        <w:t xml:space="preserve">constitute </w:t>
      </w:r>
      <w:r w:rsidR="003E238A">
        <w:rPr>
          <w:rFonts w:ascii="Georgia" w:hAnsi="Georgia"/>
        </w:rPr>
        <w:t xml:space="preserve">an unambiguous indication of their wishes and thus </w:t>
      </w:r>
      <w:r w:rsidR="006D5820">
        <w:rPr>
          <w:rFonts w:ascii="Georgia" w:hAnsi="Georgia"/>
        </w:rPr>
        <w:t xml:space="preserve">does </w:t>
      </w:r>
      <w:r w:rsidR="003E238A">
        <w:rPr>
          <w:rFonts w:ascii="Georgia" w:hAnsi="Georgia"/>
        </w:rPr>
        <w:t xml:space="preserve">not equal valid consent. </w:t>
      </w:r>
    </w:p>
    <w:p w:rsidR="00D94D83" w:rsidRDefault="008C6692" w:rsidP="007E48BB">
      <w:pPr>
        <w:pStyle w:val="ListParagraph"/>
        <w:jc w:val="both"/>
        <w:rPr>
          <w:rFonts w:ascii="Georgia" w:hAnsi="Georgia"/>
        </w:rPr>
      </w:pPr>
      <w:r>
        <w:rPr>
          <w:rFonts w:ascii="Georgia" w:hAnsi="Georgia"/>
        </w:rPr>
        <w:t xml:space="preserve"> </w:t>
      </w:r>
    </w:p>
    <w:p w:rsidR="00164056" w:rsidRDefault="007E48BB" w:rsidP="008E1B63">
      <w:pPr>
        <w:pStyle w:val="ListParagraph"/>
        <w:numPr>
          <w:ilvl w:val="0"/>
          <w:numId w:val="1"/>
        </w:numPr>
        <w:jc w:val="both"/>
        <w:rPr>
          <w:rFonts w:ascii="Georgia" w:hAnsi="Georgia"/>
        </w:rPr>
      </w:pPr>
      <w:r>
        <w:rPr>
          <w:rFonts w:ascii="Georgia" w:hAnsi="Georgia"/>
          <w:u w:val="single"/>
        </w:rPr>
        <w:t>Timing of consent</w:t>
      </w:r>
      <w:r w:rsidRPr="007E48BB">
        <w:rPr>
          <w:rFonts w:ascii="Georgia" w:hAnsi="Georgia"/>
        </w:rPr>
        <w:t>:</w:t>
      </w:r>
      <w:r>
        <w:rPr>
          <w:rFonts w:ascii="Georgia" w:hAnsi="Georgia"/>
        </w:rPr>
        <w:t xml:space="preserve"> Consent needs to be obtained prior to the </w:t>
      </w:r>
      <w:r w:rsidR="009D7775">
        <w:rPr>
          <w:rFonts w:ascii="Georgia" w:hAnsi="Georgia"/>
        </w:rPr>
        <w:t xml:space="preserve">relevant </w:t>
      </w:r>
      <w:r>
        <w:rPr>
          <w:rFonts w:ascii="Georgia" w:hAnsi="Georgia"/>
        </w:rPr>
        <w:t xml:space="preserve">processing operation </w:t>
      </w:r>
      <w:r w:rsidR="009D7775">
        <w:rPr>
          <w:rFonts w:ascii="Georgia" w:hAnsi="Georgia"/>
        </w:rPr>
        <w:t>taking</w:t>
      </w:r>
      <w:r>
        <w:rPr>
          <w:rFonts w:ascii="Georgia" w:hAnsi="Georgia"/>
        </w:rPr>
        <w:t xml:space="preserve"> place.</w:t>
      </w:r>
      <w:r w:rsidR="009D7775">
        <w:rPr>
          <w:rFonts w:ascii="Georgia" w:hAnsi="Georgia"/>
        </w:rPr>
        <w:t xml:space="preserve"> </w:t>
      </w:r>
      <w:r w:rsidR="00263AA8">
        <w:rPr>
          <w:rFonts w:ascii="Georgia" w:hAnsi="Georgia"/>
        </w:rPr>
        <w:t xml:space="preserve">Although this is not expressly stated in the GDPR, the EDPB consent guidelines consider this is </w:t>
      </w:r>
      <w:r w:rsidR="0017785C">
        <w:rPr>
          <w:rFonts w:ascii="Georgia" w:hAnsi="Georgia"/>
        </w:rPr>
        <w:t>implied by the wording used in A</w:t>
      </w:r>
      <w:r w:rsidR="00263AA8">
        <w:rPr>
          <w:rFonts w:ascii="Georgia" w:hAnsi="Georgia"/>
        </w:rPr>
        <w:t xml:space="preserve">rticle 6(1)(a) GDPR ("the data subject </w:t>
      </w:r>
      <w:r w:rsidR="00263AA8" w:rsidRPr="00263AA8">
        <w:rPr>
          <w:rFonts w:ascii="Georgia" w:hAnsi="Georgia"/>
          <w:i/>
        </w:rPr>
        <w:t>has given</w:t>
      </w:r>
      <w:r w:rsidR="00263AA8">
        <w:rPr>
          <w:rFonts w:ascii="Georgia" w:hAnsi="Georgia"/>
        </w:rPr>
        <w:t xml:space="preserve"> consent […]")</w:t>
      </w:r>
      <w:r w:rsidR="00282F29">
        <w:rPr>
          <w:rFonts w:ascii="Georgia" w:hAnsi="Georgia"/>
        </w:rPr>
        <w:t>.</w:t>
      </w:r>
    </w:p>
    <w:p w:rsidR="00282F29" w:rsidRDefault="00282F29" w:rsidP="00282F29">
      <w:pPr>
        <w:pStyle w:val="ListParagraph"/>
        <w:jc w:val="both"/>
        <w:rPr>
          <w:rFonts w:ascii="Georgia" w:hAnsi="Georgia"/>
        </w:rPr>
      </w:pPr>
    </w:p>
    <w:p w:rsidR="00B10E57" w:rsidRPr="00B10E57" w:rsidRDefault="007D05F6" w:rsidP="00F83C4D">
      <w:pPr>
        <w:pStyle w:val="ListParagraph"/>
        <w:numPr>
          <w:ilvl w:val="0"/>
          <w:numId w:val="1"/>
        </w:numPr>
        <w:shd w:val="clear" w:color="auto" w:fill="FFFFFF"/>
        <w:spacing w:before="100" w:beforeAutospacing="1" w:after="100" w:afterAutospacing="1" w:line="240" w:lineRule="auto"/>
        <w:ind w:left="774"/>
        <w:jc w:val="both"/>
        <w:rPr>
          <w:rFonts w:ascii="Georgia" w:eastAsia="Times New Roman" w:hAnsi="Georgia" w:cs="Times New Roman"/>
          <w:bCs/>
          <w:color w:val="000000"/>
          <w:lang w:eastAsia="en-GB"/>
        </w:rPr>
      </w:pPr>
      <w:r w:rsidRPr="00B10E57">
        <w:rPr>
          <w:rFonts w:ascii="Georgia" w:hAnsi="Georgia"/>
          <w:u w:val="single"/>
        </w:rPr>
        <w:t>Demonstrating</w:t>
      </w:r>
      <w:r w:rsidR="00282F29" w:rsidRPr="00B10E57">
        <w:rPr>
          <w:rFonts w:ascii="Georgia" w:hAnsi="Georgia"/>
          <w:u w:val="single"/>
        </w:rPr>
        <w:t xml:space="preserve"> consent</w:t>
      </w:r>
      <w:r w:rsidR="00282F29" w:rsidRPr="00B10E57">
        <w:rPr>
          <w:rFonts w:ascii="Georgia" w:hAnsi="Georgia"/>
        </w:rPr>
        <w:t xml:space="preserve">: </w:t>
      </w:r>
      <w:r w:rsidR="00530D02" w:rsidRPr="00B10E57">
        <w:rPr>
          <w:rFonts w:ascii="Georgia" w:hAnsi="Georgia"/>
        </w:rPr>
        <w:t xml:space="preserve">Pursuant to the accountability principle set out in Article 5(2) GDPR and Article 7(1) GDPR the controller must be able to demonstrate </w:t>
      </w:r>
      <w:r w:rsidR="00536C84" w:rsidRPr="00B10E57">
        <w:rPr>
          <w:rFonts w:ascii="Georgia" w:hAnsi="Georgia"/>
        </w:rPr>
        <w:t>that individuals have</w:t>
      </w:r>
      <w:r w:rsidR="00530D02" w:rsidRPr="00B10E57">
        <w:rPr>
          <w:rFonts w:ascii="Georgia" w:hAnsi="Georgia"/>
        </w:rPr>
        <w:t xml:space="preserve"> consent</w:t>
      </w:r>
      <w:r w:rsidR="00536C84" w:rsidRPr="00B10E57">
        <w:rPr>
          <w:rFonts w:ascii="Georgia" w:hAnsi="Georgia"/>
        </w:rPr>
        <w:t>ed</w:t>
      </w:r>
      <w:r w:rsidR="00530D02" w:rsidRPr="00B10E57">
        <w:rPr>
          <w:rFonts w:ascii="Georgia" w:hAnsi="Georgia"/>
        </w:rPr>
        <w:t>.</w:t>
      </w:r>
      <w:r w:rsidRPr="00B10E57">
        <w:rPr>
          <w:rFonts w:ascii="Georgia" w:hAnsi="Georgia"/>
        </w:rPr>
        <w:t xml:space="preserve"> The GDPR does not prescribe how this requirement is to be met. </w:t>
      </w:r>
      <w:r w:rsidR="00066643" w:rsidRPr="00281677">
        <w:rPr>
          <w:rFonts w:ascii="Georgia" w:hAnsi="Georgia"/>
        </w:rPr>
        <w:t xml:space="preserve">Pursuant to the French Data Protection Authority ("CNIL"), </w:t>
      </w:r>
      <w:r w:rsidR="00A27CB0" w:rsidRPr="00281677">
        <w:rPr>
          <w:rFonts w:ascii="Georgia" w:hAnsi="Georgia"/>
        </w:rPr>
        <w:t xml:space="preserve">consent </w:t>
      </w:r>
      <w:r w:rsidR="00066643" w:rsidRPr="00281677">
        <w:rPr>
          <w:rFonts w:ascii="Georgia" w:hAnsi="Georgia"/>
        </w:rPr>
        <w:t xml:space="preserve">must </w:t>
      </w:r>
      <w:r w:rsidR="00A27CB0" w:rsidRPr="00281677">
        <w:rPr>
          <w:rFonts w:ascii="Georgia" w:hAnsi="Georgia"/>
        </w:rPr>
        <w:t xml:space="preserve">be </w:t>
      </w:r>
      <w:r w:rsidR="00066643" w:rsidRPr="00281677">
        <w:rPr>
          <w:rFonts w:ascii="Georgia" w:hAnsi="Georgia"/>
        </w:rPr>
        <w:t>document</w:t>
      </w:r>
      <w:r w:rsidR="00A27CB0" w:rsidRPr="00281677">
        <w:rPr>
          <w:rFonts w:ascii="Georgia" w:hAnsi="Georgia"/>
        </w:rPr>
        <w:t xml:space="preserve">ed in a way that allows the controller to </w:t>
      </w:r>
      <w:r w:rsidR="00066643" w:rsidRPr="00281677">
        <w:rPr>
          <w:rFonts w:ascii="Georgia" w:hAnsi="Georgia"/>
        </w:rPr>
        <w:t xml:space="preserve">demonstrate </w:t>
      </w:r>
      <w:r w:rsidR="001866BA" w:rsidRPr="00281677">
        <w:rPr>
          <w:rFonts w:ascii="Georgia" w:hAnsi="Georgia"/>
        </w:rPr>
        <w:t xml:space="preserve">the free and unambiguous character of consent, </w:t>
      </w:r>
      <w:r w:rsidR="00A27CB0" w:rsidRPr="00281677">
        <w:rPr>
          <w:rFonts w:ascii="Georgia" w:hAnsi="Georgia"/>
        </w:rPr>
        <w:t xml:space="preserve">as well as </w:t>
      </w:r>
      <w:r w:rsidR="001866BA" w:rsidRPr="00281677">
        <w:rPr>
          <w:rFonts w:ascii="Georgia" w:hAnsi="Georgia"/>
        </w:rPr>
        <w:t xml:space="preserve">that </w:t>
      </w:r>
      <w:r w:rsidR="00066643" w:rsidRPr="00281677">
        <w:rPr>
          <w:rFonts w:ascii="Georgia" w:hAnsi="Georgia"/>
        </w:rPr>
        <w:t xml:space="preserve">the different purposes for which consent was granted were clearly </w:t>
      </w:r>
      <w:r w:rsidR="001866BA" w:rsidRPr="00281677">
        <w:rPr>
          <w:rFonts w:ascii="Georgia" w:hAnsi="Georgia"/>
        </w:rPr>
        <w:t>distinguished and that individuals were appropriately informed</w:t>
      </w:r>
      <w:r w:rsidR="00DE5510" w:rsidRPr="00281677">
        <w:rPr>
          <w:rStyle w:val="FootnoteReference"/>
          <w:rFonts w:ascii="Georgia" w:hAnsi="Georgia"/>
        </w:rPr>
        <w:footnoteReference w:id="5"/>
      </w:r>
      <w:r w:rsidR="001866BA" w:rsidRPr="00281677">
        <w:rPr>
          <w:rFonts w:ascii="Georgia" w:hAnsi="Georgia"/>
        </w:rPr>
        <w:t>.</w:t>
      </w:r>
      <w:r w:rsidR="0062508D" w:rsidRPr="00B10E57">
        <w:rPr>
          <w:rFonts w:ascii="Georgia" w:hAnsi="Georgia"/>
        </w:rPr>
        <w:t xml:space="preserve"> Other supervisory authorities have also provided guidance on this topic</w:t>
      </w:r>
      <w:r w:rsidR="0062508D">
        <w:rPr>
          <w:rStyle w:val="FootnoteReference"/>
          <w:rFonts w:ascii="Georgia" w:hAnsi="Georgia"/>
        </w:rPr>
        <w:footnoteReference w:id="6"/>
      </w:r>
      <w:r w:rsidR="0062508D" w:rsidRPr="00B10E57">
        <w:rPr>
          <w:rFonts w:ascii="Georgia" w:hAnsi="Georgia"/>
        </w:rPr>
        <w:t xml:space="preserve">. </w:t>
      </w:r>
    </w:p>
    <w:p w:rsidR="00B10E57" w:rsidRDefault="00B10E57" w:rsidP="00B10E57">
      <w:pPr>
        <w:pStyle w:val="ListParagraph"/>
        <w:shd w:val="clear" w:color="auto" w:fill="FFFFFF"/>
        <w:spacing w:before="100" w:beforeAutospacing="1" w:after="100" w:afterAutospacing="1" w:line="240" w:lineRule="auto"/>
        <w:ind w:left="774"/>
        <w:jc w:val="both"/>
        <w:rPr>
          <w:rFonts w:ascii="Georgia" w:hAnsi="Georgia"/>
          <w:u w:val="single"/>
        </w:rPr>
      </w:pPr>
    </w:p>
    <w:p w:rsidR="00F83C4D" w:rsidRPr="00B10E57" w:rsidRDefault="00F83C4D" w:rsidP="00B10E57">
      <w:pPr>
        <w:pStyle w:val="ListParagraph"/>
        <w:shd w:val="clear" w:color="auto" w:fill="FFFFFF"/>
        <w:spacing w:before="100" w:beforeAutospacing="1" w:after="100" w:afterAutospacing="1" w:line="240" w:lineRule="auto"/>
        <w:ind w:left="774"/>
        <w:jc w:val="both"/>
        <w:rPr>
          <w:rFonts w:ascii="Georgia" w:eastAsia="Times New Roman" w:hAnsi="Georgia" w:cs="Times New Roman"/>
          <w:bCs/>
          <w:color w:val="000000"/>
          <w:lang w:eastAsia="en-GB"/>
        </w:rPr>
      </w:pPr>
      <w:r w:rsidRPr="00B10E57">
        <w:rPr>
          <w:rFonts w:ascii="Georgia" w:eastAsia="Times New Roman" w:hAnsi="Georgia" w:cs="Times New Roman"/>
          <w:bCs/>
          <w:color w:val="000000"/>
          <w:lang w:eastAsia="en-GB"/>
        </w:rPr>
        <w:t xml:space="preserve">From a practical perspective, if a complaint is raised with a supervisory authority, the latter would most likely request the controller to provide a record of consent. </w:t>
      </w:r>
    </w:p>
    <w:p w:rsidR="00B10E57" w:rsidRPr="00B10E57" w:rsidRDefault="00B10E57" w:rsidP="00B10E57">
      <w:pPr>
        <w:pStyle w:val="ListParagraph"/>
        <w:jc w:val="both"/>
        <w:rPr>
          <w:rFonts w:ascii="Georgia" w:hAnsi="Georgia"/>
        </w:rPr>
      </w:pPr>
    </w:p>
    <w:p w:rsidR="00266782" w:rsidRDefault="00266782" w:rsidP="008E1B63">
      <w:pPr>
        <w:pStyle w:val="ListParagraph"/>
        <w:numPr>
          <w:ilvl w:val="0"/>
          <w:numId w:val="1"/>
        </w:numPr>
        <w:jc w:val="both"/>
        <w:rPr>
          <w:rFonts w:ascii="Georgia" w:hAnsi="Georgia"/>
        </w:rPr>
      </w:pPr>
      <w:r w:rsidRPr="00266782">
        <w:rPr>
          <w:rFonts w:ascii="Georgia" w:hAnsi="Georgia"/>
          <w:u w:val="single"/>
        </w:rPr>
        <w:t>Withdrawal of consent</w:t>
      </w:r>
      <w:r>
        <w:rPr>
          <w:rFonts w:ascii="Georgia" w:hAnsi="Georgia"/>
        </w:rPr>
        <w:t>: Individuals have the right to withdraw their consent and it should be as easy to do so as it was to provide consent in the</w:t>
      </w:r>
      <w:r w:rsidR="006801FF">
        <w:rPr>
          <w:rFonts w:ascii="Georgia" w:hAnsi="Georgia"/>
        </w:rPr>
        <w:t xml:space="preserve"> first place (Article 7(3) GDPR).</w:t>
      </w:r>
      <w:r w:rsidR="00A2668C">
        <w:rPr>
          <w:rFonts w:ascii="Georgia" w:hAnsi="Georgia"/>
        </w:rPr>
        <w:t xml:space="preserve"> This is an unconditional right which individuals can exercise at any time. Hence, controllers should have in place a procedure to (a) </w:t>
      </w:r>
      <w:r w:rsidR="00BC6B3B">
        <w:rPr>
          <w:rFonts w:ascii="Georgia" w:hAnsi="Georgia"/>
        </w:rPr>
        <w:t xml:space="preserve">allow </w:t>
      </w:r>
      <w:r w:rsidR="00A2668C">
        <w:rPr>
          <w:rFonts w:ascii="Georgia" w:hAnsi="Georgia"/>
        </w:rPr>
        <w:t xml:space="preserve">individuals </w:t>
      </w:r>
      <w:r w:rsidR="00BC6B3B">
        <w:rPr>
          <w:rFonts w:ascii="Georgia" w:hAnsi="Georgia"/>
        </w:rPr>
        <w:t xml:space="preserve">to </w:t>
      </w:r>
      <w:r w:rsidR="00A2668C">
        <w:rPr>
          <w:rFonts w:ascii="Georgia" w:hAnsi="Georgia"/>
        </w:rPr>
        <w:t xml:space="preserve">exercise this right (for example, provide for a relevant contact), and (b) </w:t>
      </w:r>
      <w:r w:rsidR="007869C4">
        <w:rPr>
          <w:rFonts w:ascii="Georgia" w:hAnsi="Georgia"/>
        </w:rPr>
        <w:t xml:space="preserve">to ensure that </w:t>
      </w:r>
      <w:r w:rsidR="00A2668C">
        <w:rPr>
          <w:rFonts w:ascii="Georgia" w:hAnsi="Georgia"/>
        </w:rPr>
        <w:t xml:space="preserve">the contact details of individuals who withdraw consent are removed from the </w:t>
      </w:r>
      <w:r w:rsidR="00825B21">
        <w:rPr>
          <w:rFonts w:ascii="Georgia" w:hAnsi="Georgia"/>
        </w:rPr>
        <w:t>RDS</w:t>
      </w:r>
      <w:r w:rsidR="00A2668C">
        <w:rPr>
          <w:rFonts w:ascii="Georgia" w:hAnsi="Georgia"/>
        </w:rPr>
        <w:t>.</w:t>
      </w:r>
      <w:r w:rsidR="007869C4">
        <w:rPr>
          <w:rFonts w:ascii="Georgia" w:hAnsi="Georgia"/>
        </w:rPr>
        <w:t xml:space="preserve"> </w:t>
      </w:r>
    </w:p>
    <w:p w:rsidR="00164056" w:rsidRDefault="00164056" w:rsidP="00164056">
      <w:pPr>
        <w:pStyle w:val="ListParagraph"/>
        <w:jc w:val="both"/>
        <w:rPr>
          <w:rFonts w:ascii="Georgia" w:hAnsi="Georgia"/>
        </w:rPr>
      </w:pPr>
    </w:p>
    <w:p w:rsidR="00164056" w:rsidRPr="00404D45" w:rsidRDefault="00164056" w:rsidP="00404D45">
      <w:pPr>
        <w:pStyle w:val="ListParagraph"/>
        <w:numPr>
          <w:ilvl w:val="0"/>
          <w:numId w:val="1"/>
        </w:numPr>
        <w:jc w:val="both"/>
        <w:rPr>
          <w:rFonts w:ascii="Georgia" w:hAnsi="Georgia"/>
        </w:rPr>
      </w:pPr>
      <w:r w:rsidRPr="00B87035">
        <w:rPr>
          <w:rFonts w:ascii="Georgia" w:hAnsi="Georgia"/>
          <w:u w:val="single"/>
        </w:rPr>
        <w:t>Consent renewal</w:t>
      </w:r>
      <w:r w:rsidRPr="00404D45">
        <w:rPr>
          <w:rFonts w:ascii="Georgia" w:hAnsi="Georgia"/>
        </w:rPr>
        <w:t xml:space="preserve">: </w:t>
      </w:r>
      <w:r w:rsidR="00ED08D7" w:rsidRPr="00404D45">
        <w:rPr>
          <w:rFonts w:ascii="Georgia" w:hAnsi="Georgia"/>
        </w:rPr>
        <w:t xml:space="preserve">Although the GDPR does not specifically impose the obligation to renew consent, EDPB consent guidelines recommend – as a best practice – to refresh </w:t>
      </w:r>
      <w:r w:rsidR="00ED08D7" w:rsidRPr="00404D45">
        <w:rPr>
          <w:rFonts w:ascii="Georgia" w:hAnsi="Georgia"/>
        </w:rPr>
        <w:lastRenderedPageBreak/>
        <w:t xml:space="preserve">consent at appropriate intervals. </w:t>
      </w:r>
      <w:r w:rsidR="00DF7E22" w:rsidRPr="00404D45">
        <w:rPr>
          <w:rFonts w:ascii="Georgia" w:hAnsi="Georgia"/>
        </w:rPr>
        <w:t>If processing of operations change or evolve considerably, then</w:t>
      </w:r>
      <w:r w:rsidR="00404D45" w:rsidRPr="00404D45">
        <w:rPr>
          <w:rFonts w:ascii="Georgia" w:hAnsi="Georgia"/>
        </w:rPr>
        <w:t xml:space="preserve"> the original consent will no longer </w:t>
      </w:r>
      <w:r w:rsidR="00404D45">
        <w:rPr>
          <w:rFonts w:ascii="Georgia" w:hAnsi="Georgia"/>
        </w:rPr>
        <w:t xml:space="preserve">be </w:t>
      </w:r>
      <w:r w:rsidR="00404D45" w:rsidRPr="00404D45">
        <w:rPr>
          <w:rFonts w:ascii="Georgia" w:hAnsi="Georgia"/>
        </w:rPr>
        <w:t>valid</w:t>
      </w:r>
      <w:r w:rsidR="00404D45">
        <w:rPr>
          <w:rFonts w:ascii="Georgia" w:hAnsi="Georgia"/>
        </w:rPr>
        <w:t xml:space="preserve">; in such case, </w:t>
      </w:r>
      <w:r w:rsidR="00404D45" w:rsidRPr="00404D45">
        <w:rPr>
          <w:rFonts w:ascii="Georgia" w:hAnsi="Georgia"/>
        </w:rPr>
        <w:t xml:space="preserve">new consent </w:t>
      </w:r>
      <w:r w:rsidR="00404D45">
        <w:rPr>
          <w:rFonts w:ascii="Georgia" w:hAnsi="Georgia"/>
        </w:rPr>
        <w:t>will need</w:t>
      </w:r>
      <w:r w:rsidR="00404D45" w:rsidRPr="00404D45">
        <w:rPr>
          <w:rFonts w:ascii="Georgia" w:hAnsi="Georgia"/>
        </w:rPr>
        <w:t xml:space="preserve"> to be obtained.</w:t>
      </w:r>
      <w:r w:rsidR="00B87035">
        <w:rPr>
          <w:rFonts w:ascii="Georgia" w:hAnsi="Georgia"/>
        </w:rPr>
        <w:t xml:space="preserve"> This is a point that EPDP might want to explore further, in particular in conjunction with </w:t>
      </w:r>
      <w:r w:rsidR="004962B9">
        <w:rPr>
          <w:rFonts w:ascii="Georgia" w:hAnsi="Georgia"/>
        </w:rPr>
        <w:t xml:space="preserve">any </w:t>
      </w:r>
      <w:r w:rsidR="00B87035">
        <w:rPr>
          <w:rFonts w:ascii="Georgia" w:hAnsi="Georgia"/>
        </w:rPr>
        <w:t>measures to ensure the accuracy</w:t>
      </w:r>
      <w:r w:rsidR="004962B9">
        <w:rPr>
          <w:rFonts w:ascii="Georgia" w:hAnsi="Georgia"/>
        </w:rPr>
        <w:t xml:space="preserve"> of </w:t>
      </w:r>
      <w:r w:rsidR="0089637E">
        <w:rPr>
          <w:rFonts w:ascii="Georgia" w:hAnsi="Georgia"/>
        </w:rPr>
        <w:t xml:space="preserve">the </w:t>
      </w:r>
      <w:r w:rsidR="004962B9">
        <w:rPr>
          <w:rFonts w:ascii="Georgia" w:hAnsi="Georgia"/>
        </w:rPr>
        <w:t>data.</w:t>
      </w:r>
    </w:p>
    <w:p w:rsidR="00266782" w:rsidRPr="00266782" w:rsidRDefault="00266782" w:rsidP="00266782">
      <w:pPr>
        <w:pStyle w:val="ListParagraph"/>
        <w:jc w:val="both"/>
        <w:rPr>
          <w:rFonts w:ascii="Georgia" w:hAnsi="Georgia"/>
        </w:rPr>
      </w:pPr>
    </w:p>
    <w:p w:rsidR="00D94D83" w:rsidRDefault="00A777E9" w:rsidP="008E1B63">
      <w:pPr>
        <w:pStyle w:val="ListParagraph"/>
        <w:numPr>
          <w:ilvl w:val="0"/>
          <w:numId w:val="1"/>
        </w:numPr>
        <w:jc w:val="both"/>
        <w:rPr>
          <w:rFonts w:ascii="Georgia" w:hAnsi="Georgia"/>
        </w:rPr>
      </w:pPr>
      <w:r w:rsidRPr="00A777E9">
        <w:rPr>
          <w:rFonts w:ascii="Georgia" w:hAnsi="Georgia"/>
          <w:u w:val="single"/>
        </w:rPr>
        <w:t>Consent via a third party</w:t>
      </w:r>
      <w:r>
        <w:rPr>
          <w:rFonts w:ascii="Georgia" w:hAnsi="Georgia"/>
        </w:rPr>
        <w:t>:</w:t>
      </w:r>
      <w:r w:rsidR="00A2668C">
        <w:rPr>
          <w:rFonts w:ascii="Georgia" w:hAnsi="Georgia"/>
        </w:rPr>
        <w:t xml:space="preserve"> GDPR does not prescribe that consent needs to be sought </w:t>
      </w:r>
      <w:r w:rsidR="00077701">
        <w:rPr>
          <w:rFonts w:ascii="Georgia" w:hAnsi="Georgia"/>
        </w:rPr>
        <w:t xml:space="preserve">from individuals </w:t>
      </w:r>
      <w:r w:rsidR="00A2668C">
        <w:rPr>
          <w:rFonts w:ascii="Georgia" w:hAnsi="Georgia"/>
        </w:rPr>
        <w:t xml:space="preserve">directly </w:t>
      </w:r>
      <w:r w:rsidR="00077701">
        <w:rPr>
          <w:rFonts w:ascii="Georgia" w:hAnsi="Georgia"/>
        </w:rPr>
        <w:t xml:space="preserve">by </w:t>
      </w:r>
      <w:r w:rsidR="00A2668C">
        <w:rPr>
          <w:rFonts w:ascii="Georgia" w:hAnsi="Georgia"/>
        </w:rPr>
        <w:t xml:space="preserve">the controller. </w:t>
      </w:r>
      <w:r w:rsidR="006F0BD1">
        <w:rPr>
          <w:rFonts w:ascii="Georgia" w:hAnsi="Georgia"/>
        </w:rPr>
        <w:t xml:space="preserve">As long as controllers can ensure that the above requirements are met, </w:t>
      </w:r>
      <w:r w:rsidR="00077701">
        <w:rPr>
          <w:rFonts w:ascii="Georgia" w:hAnsi="Georgia"/>
        </w:rPr>
        <w:t>they could</w:t>
      </w:r>
      <w:r w:rsidR="006F0BD1">
        <w:rPr>
          <w:rFonts w:ascii="Georgia" w:hAnsi="Georgia"/>
        </w:rPr>
        <w:t xml:space="preserve"> task </w:t>
      </w:r>
      <w:r w:rsidR="00077701">
        <w:rPr>
          <w:rFonts w:ascii="Georgia" w:hAnsi="Georgia"/>
        </w:rPr>
        <w:t xml:space="preserve">the registrant </w:t>
      </w:r>
      <w:r w:rsidR="006F0BD1">
        <w:rPr>
          <w:rFonts w:ascii="Georgia" w:hAnsi="Georgia"/>
        </w:rPr>
        <w:t xml:space="preserve">to obtain consent for their purposes. </w:t>
      </w:r>
      <w:r w:rsidR="00ED78FC">
        <w:rPr>
          <w:rFonts w:ascii="Georgia" w:hAnsi="Georgia"/>
        </w:rPr>
        <w:t xml:space="preserve">We appreciate this might be </w:t>
      </w:r>
      <w:r w:rsidR="005B07D1">
        <w:rPr>
          <w:rFonts w:ascii="Georgia" w:hAnsi="Georgia"/>
        </w:rPr>
        <w:t>a more practical</w:t>
      </w:r>
      <w:r w:rsidR="00ED78FC">
        <w:rPr>
          <w:rFonts w:ascii="Georgia" w:hAnsi="Georgia"/>
        </w:rPr>
        <w:t xml:space="preserve"> option given the relationship that registrants are expected to have with </w:t>
      </w:r>
      <w:r w:rsidR="00077701">
        <w:rPr>
          <w:rFonts w:ascii="Georgia" w:hAnsi="Georgia"/>
        </w:rPr>
        <w:t xml:space="preserve">their </w:t>
      </w:r>
      <w:r w:rsidR="00ED78FC">
        <w:rPr>
          <w:rFonts w:ascii="Georgia" w:hAnsi="Georgia"/>
        </w:rPr>
        <w:t>admin/tech contacts</w:t>
      </w:r>
      <w:r w:rsidR="005B07D1">
        <w:rPr>
          <w:rFonts w:ascii="Georgia" w:hAnsi="Georgia"/>
        </w:rPr>
        <w:t xml:space="preserve"> (employment or other contractual relationship)</w:t>
      </w:r>
      <w:r w:rsidR="00ED78FC">
        <w:rPr>
          <w:rFonts w:ascii="Georgia" w:hAnsi="Georgia"/>
        </w:rPr>
        <w:t xml:space="preserve">. </w:t>
      </w:r>
      <w:r w:rsidR="002616C7">
        <w:rPr>
          <w:rFonts w:ascii="Georgia" w:hAnsi="Georgia"/>
        </w:rPr>
        <w:t xml:space="preserve">As explained above, instructing a third party to obtain consent on the controllers' behalf will not relieve the latter </w:t>
      </w:r>
      <w:r w:rsidR="005B07D1">
        <w:rPr>
          <w:rFonts w:ascii="Georgia" w:hAnsi="Georgia"/>
        </w:rPr>
        <w:t>from</w:t>
      </w:r>
      <w:r w:rsidR="002616C7">
        <w:rPr>
          <w:rFonts w:ascii="Georgia" w:hAnsi="Georgia"/>
        </w:rPr>
        <w:t xml:space="preserve"> their obligations under the GDPR. </w:t>
      </w:r>
      <w:r w:rsidR="00A61294">
        <w:rPr>
          <w:rFonts w:ascii="Georgia" w:hAnsi="Georgia"/>
        </w:rPr>
        <w:t>If the registrant fails to obtain valid consent, the controller will also not have valid consent; rather it will have a claim for breach of contract against the registrant. T</w:t>
      </w:r>
      <w:r w:rsidR="00823FF5">
        <w:rPr>
          <w:rFonts w:ascii="Georgia" w:hAnsi="Georgia"/>
        </w:rPr>
        <w:t xml:space="preserve">his is further examined below. </w:t>
      </w:r>
    </w:p>
    <w:p w:rsidR="00D94D83" w:rsidRDefault="00D94D83" w:rsidP="00D94D83">
      <w:pPr>
        <w:pStyle w:val="ListParagraph"/>
        <w:jc w:val="both"/>
        <w:rPr>
          <w:rFonts w:ascii="Georgia" w:hAnsi="Georgia"/>
        </w:rPr>
      </w:pPr>
    </w:p>
    <w:p w:rsidR="00384FA4" w:rsidRDefault="00823FF5" w:rsidP="00823FF5">
      <w:pPr>
        <w:pStyle w:val="ListParagraph"/>
        <w:numPr>
          <w:ilvl w:val="0"/>
          <w:numId w:val="1"/>
        </w:numPr>
        <w:jc w:val="both"/>
        <w:rPr>
          <w:rFonts w:ascii="Georgia" w:hAnsi="Georgia"/>
        </w:rPr>
      </w:pPr>
      <w:r w:rsidRPr="00823FF5">
        <w:rPr>
          <w:rFonts w:ascii="Georgia" w:hAnsi="Georgia"/>
          <w:u w:val="single"/>
        </w:rPr>
        <w:t>Consent options</w:t>
      </w:r>
      <w:r>
        <w:rPr>
          <w:rFonts w:ascii="Georgia" w:hAnsi="Georgia"/>
        </w:rPr>
        <w:t xml:space="preserve">: </w:t>
      </w:r>
      <w:r w:rsidR="00384FA4">
        <w:rPr>
          <w:rFonts w:ascii="Georgia" w:hAnsi="Georgia"/>
        </w:rPr>
        <w:t xml:space="preserve">In light of the above considerations, </w:t>
      </w:r>
      <w:r w:rsidR="009455E5">
        <w:rPr>
          <w:rFonts w:ascii="Georgia" w:hAnsi="Georgia"/>
        </w:rPr>
        <w:t>we examine</w:t>
      </w:r>
      <w:r>
        <w:rPr>
          <w:rFonts w:ascii="Georgia" w:hAnsi="Georgia"/>
        </w:rPr>
        <w:t xml:space="preserve"> below</w:t>
      </w:r>
      <w:r w:rsidR="009455E5">
        <w:rPr>
          <w:rFonts w:ascii="Georgia" w:hAnsi="Georgia"/>
        </w:rPr>
        <w:t xml:space="preserve"> a series of options, </w:t>
      </w:r>
      <w:r w:rsidR="00384FA4">
        <w:rPr>
          <w:rFonts w:ascii="Georgia" w:hAnsi="Georgia"/>
        </w:rPr>
        <w:t xml:space="preserve">each </w:t>
      </w:r>
      <w:r w:rsidR="009A544E">
        <w:rPr>
          <w:rFonts w:ascii="Georgia" w:hAnsi="Georgia"/>
        </w:rPr>
        <w:t>at a different level on the compliance scale</w:t>
      </w:r>
      <w:r w:rsidR="00384FA4">
        <w:rPr>
          <w:rFonts w:ascii="Georgia" w:hAnsi="Georgia"/>
        </w:rPr>
        <w:t xml:space="preserve">. </w:t>
      </w:r>
    </w:p>
    <w:p w:rsidR="002E1131" w:rsidRDefault="002E1131" w:rsidP="002E1131">
      <w:pPr>
        <w:pStyle w:val="ListParagraph"/>
        <w:jc w:val="both"/>
        <w:rPr>
          <w:rFonts w:ascii="Georgia" w:hAnsi="Georgia"/>
          <w:u w:val="single"/>
        </w:rPr>
      </w:pPr>
    </w:p>
    <w:tbl>
      <w:tblPr>
        <w:tblStyle w:val="TableGrid"/>
        <w:tblW w:w="9560" w:type="dxa"/>
        <w:tblInd w:w="-318" w:type="dxa"/>
        <w:tblLook w:val="04A0" w:firstRow="1" w:lastRow="0" w:firstColumn="1" w:lastColumn="0" w:noHBand="0" w:noVBand="1"/>
      </w:tblPr>
      <w:tblGrid>
        <w:gridCol w:w="577"/>
        <w:gridCol w:w="4248"/>
        <w:gridCol w:w="4735"/>
      </w:tblGrid>
      <w:tr w:rsidR="00463DB0" w:rsidRPr="00CD0BB3" w:rsidTr="00066441">
        <w:trPr>
          <w:trHeight w:val="397"/>
        </w:trPr>
        <w:tc>
          <w:tcPr>
            <w:tcW w:w="577" w:type="dxa"/>
            <w:shd w:val="clear" w:color="auto" w:fill="D9D9D9" w:themeFill="background1" w:themeFillShade="D9"/>
            <w:vAlign w:val="center"/>
          </w:tcPr>
          <w:p w:rsidR="00463DB0" w:rsidRPr="00CD0BB3" w:rsidRDefault="00BB3D25" w:rsidP="00066441">
            <w:pPr>
              <w:pStyle w:val="ListParagraph"/>
              <w:ind w:left="0"/>
              <w:jc w:val="center"/>
              <w:rPr>
                <w:rFonts w:ascii="Georgia" w:hAnsi="Georgia"/>
                <w:b/>
              </w:rPr>
            </w:pPr>
            <w:r>
              <w:rPr>
                <w:rFonts w:ascii="Georgia" w:hAnsi="Georgia"/>
                <w:b/>
              </w:rPr>
              <w:t>No.</w:t>
            </w:r>
          </w:p>
        </w:tc>
        <w:tc>
          <w:tcPr>
            <w:tcW w:w="4248" w:type="dxa"/>
            <w:shd w:val="clear" w:color="auto" w:fill="D9D9D9" w:themeFill="background1" w:themeFillShade="D9"/>
            <w:vAlign w:val="center"/>
          </w:tcPr>
          <w:p w:rsidR="00463DB0" w:rsidRPr="00CD0BB3" w:rsidRDefault="00463DB0" w:rsidP="00066441">
            <w:pPr>
              <w:pStyle w:val="ListParagraph"/>
              <w:ind w:left="0"/>
              <w:jc w:val="center"/>
              <w:rPr>
                <w:rFonts w:ascii="Georgia" w:hAnsi="Georgia"/>
                <w:b/>
              </w:rPr>
            </w:pPr>
            <w:r w:rsidRPr="00CD0BB3">
              <w:rPr>
                <w:rFonts w:ascii="Georgia" w:hAnsi="Georgia"/>
                <w:b/>
              </w:rPr>
              <w:t>Option</w:t>
            </w:r>
          </w:p>
        </w:tc>
        <w:tc>
          <w:tcPr>
            <w:tcW w:w="4735" w:type="dxa"/>
            <w:shd w:val="clear" w:color="auto" w:fill="D9D9D9" w:themeFill="background1" w:themeFillShade="D9"/>
            <w:vAlign w:val="center"/>
          </w:tcPr>
          <w:p w:rsidR="00463DB0" w:rsidRPr="00CD0BB3" w:rsidRDefault="00463DB0" w:rsidP="00066441">
            <w:pPr>
              <w:pStyle w:val="ListParagraph"/>
              <w:ind w:left="0"/>
              <w:jc w:val="center"/>
              <w:rPr>
                <w:rFonts w:ascii="Georgia" w:hAnsi="Georgia"/>
                <w:b/>
              </w:rPr>
            </w:pPr>
            <w:r>
              <w:rPr>
                <w:rFonts w:ascii="Georgia" w:hAnsi="Georgia"/>
                <w:b/>
              </w:rPr>
              <w:t>Compliance considerations</w:t>
            </w:r>
          </w:p>
        </w:tc>
      </w:tr>
      <w:tr w:rsidR="00463DB0" w:rsidRPr="00CD0BB3" w:rsidTr="00880DDC">
        <w:tc>
          <w:tcPr>
            <w:tcW w:w="577" w:type="dxa"/>
            <w:vAlign w:val="center"/>
          </w:tcPr>
          <w:p w:rsidR="00463DB0" w:rsidRPr="00263589" w:rsidRDefault="00463DB0" w:rsidP="00880DDC">
            <w:pPr>
              <w:pStyle w:val="ListParagraph"/>
              <w:numPr>
                <w:ilvl w:val="0"/>
                <w:numId w:val="12"/>
              </w:numPr>
              <w:tabs>
                <w:tab w:val="left" w:pos="176"/>
              </w:tabs>
              <w:spacing w:before="240"/>
              <w:ind w:left="318"/>
              <w:rPr>
                <w:rFonts w:ascii="Georgia" w:hAnsi="Georgia"/>
              </w:rPr>
            </w:pPr>
          </w:p>
        </w:tc>
        <w:tc>
          <w:tcPr>
            <w:tcW w:w="4248" w:type="dxa"/>
            <w:vAlign w:val="center"/>
          </w:tcPr>
          <w:p w:rsidR="00E50D2D" w:rsidRPr="00E50D2D" w:rsidRDefault="00066441" w:rsidP="00880DDC">
            <w:pPr>
              <w:spacing w:before="240"/>
              <w:jc w:val="both"/>
              <w:rPr>
                <w:rFonts w:ascii="Georgia" w:hAnsi="Georgia"/>
                <w:u w:val="single"/>
              </w:rPr>
            </w:pPr>
            <w:r>
              <w:rPr>
                <w:rFonts w:ascii="Georgia" w:hAnsi="Georgia"/>
                <w:u w:val="single"/>
              </w:rPr>
              <w:t>Controllers s</w:t>
            </w:r>
            <w:r w:rsidR="00E50D2D">
              <w:rPr>
                <w:rFonts w:ascii="Georgia" w:hAnsi="Georgia"/>
                <w:u w:val="single"/>
              </w:rPr>
              <w:t>eek</w:t>
            </w:r>
            <w:r w:rsidR="00E50D2D" w:rsidRPr="00E50D2D">
              <w:rPr>
                <w:rFonts w:ascii="Georgia" w:hAnsi="Georgia"/>
                <w:u w:val="single"/>
              </w:rPr>
              <w:t xml:space="preserve"> </w:t>
            </w:r>
            <w:r w:rsidR="00E50D2D">
              <w:rPr>
                <w:rFonts w:ascii="Georgia" w:hAnsi="Georgia"/>
                <w:u w:val="single"/>
              </w:rPr>
              <w:t xml:space="preserve">valid </w:t>
            </w:r>
            <w:r w:rsidR="00E50D2D" w:rsidRPr="00E50D2D">
              <w:rPr>
                <w:rFonts w:ascii="Georgia" w:hAnsi="Georgia"/>
                <w:u w:val="single"/>
              </w:rPr>
              <w:t>consent directly from individuals</w:t>
            </w:r>
          </w:p>
          <w:p w:rsidR="00463DB0" w:rsidRDefault="00EE6A7D" w:rsidP="00880DDC">
            <w:pPr>
              <w:pStyle w:val="ListParagraph"/>
              <w:numPr>
                <w:ilvl w:val="0"/>
                <w:numId w:val="9"/>
              </w:numPr>
              <w:spacing w:before="240"/>
              <w:ind w:left="176" w:hanging="142"/>
              <w:jc w:val="both"/>
              <w:rPr>
                <w:rFonts w:ascii="Georgia" w:hAnsi="Georgia"/>
              </w:rPr>
            </w:pPr>
            <w:r>
              <w:rPr>
                <w:rFonts w:ascii="Georgia" w:hAnsi="Georgia"/>
              </w:rPr>
              <w:t xml:space="preserve">Making </w:t>
            </w:r>
            <w:r w:rsidR="00B32286">
              <w:rPr>
                <w:rFonts w:ascii="Georgia" w:hAnsi="Georgia"/>
              </w:rPr>
              <w:t xml:space="preserve">personal data </w:t>
            </w:r>
            <w:r>
              <w:rPr>
                <w:rFonts w:ascii="Georgia" w:hAnsi="Georgia"/>
              </w:rPr>
              <w:t xml:space="preserve">public in </w:t>
            </w:r>
            <w:r w:rsidR="00825B21">
              <w:rPr>
                <w:rFonts w:ascii="Georgia" w:hAnsi="Georgia"/>
              </w:rPr>
              <w:t>RDS</w:t>
            </w:r>
            <w:r>
              <w:rPr>
                <w:rFonts w:ascii="Georgia" w:hAnsi="Georgia"/>
              </w:rPr>
              <w:t xml:space="preserve"> </w:t>
            </w:r>
            <w:r w:rsidR="00B32286">
              <w:rPr>
                <w:rFonts w:ascii="Georgia" w:hAnsi="Georgia"/>
              </w:rPr>
              <w:t xml:space="preserve">is optional. </w:t>
            </w:r>
          </w:p>
          <w:p w:rsidR="00B04B3A" w:rsidRPr="003875FA" w:rsidRDefault="00EE6A7D" w:rsidP="00880DDC">
            <w:pPr>
              <w:pStyle w:val="ListParagraph"/>
              <w:numPr>
                <w:ilvl w:val="0"/>
                <w:numId w:val="9"/>
              </w:numPr>
              <w:spacing w:before="240"/>
              <w:ind w:left="176" w:hanging="142"/>
              <w:jc w:val="both"/>
              <w:rPr>
                <w:rFonts w:ascii="Georgia" w:hAnsi="Georgia"/>
              </w:rPr>
            </w:pPr>
            <w:r w:rsidRPr="003875FA">
              <w:rPr>
                <w:rFonts w:ascii="Georgia" w:hAnsi="Georgia"/>
              </w:rPr>
              <w:t xml:space="preserve">Prior to making </w:t>
            </w:r>
            <w:r w:rsidR="008938AB" w:rsidRPr="003875FA">
              <w:rPr>
                <w:rFonts w:ascii="Georgia" w:hAnsi="Georgia"/>
              </w:rPr>
              <w:t xml:space="preserve">personal </w:t>
            </w:r>
            <w:r w:rsidRPr="003875FA">
              <w:rPr>
                <w:rFonts w:ascii="Georgia" w:hAnsi="Georgia"/>
              </w:rPr>
              <w:t xml:space="preserve">data public, </w:t>
            </w:r>
            <w:r w:rsidR="003965B4">
              <w:rPr>
                <w:rFonts w:ascii="Georgia" w:hAnsi="Georgia"/>
              </w:rPr>
              <w:t xml:space="preserve">the </w:t>
            </w:r>
            <w:r w:rsidRPr="003875FA">
              <w:rPr>
                <w:rFonts w:ascii="Georgia" w:hAnsi="Georgia"/>
              </w:rPr>
              <w:t>c</w:t>
            </w:r>
            <w:r w:rsidR="00B32286" w:rsidRPr="003875FA">
              <w:rPr>
                <w:rFonts w:ascii="Georgia" w:hAnsi="Georgia"/>
              </w:rPr>
              <w:t>ontroller contacts individuals directly to seek consent</w:t>
            </w:r>
            <w:r w:rsidR="003875FA" w:rsidRPr="003875FA">
              <w:rPr>
                <w:rFonts w:ascii="Georgia" w:hAnsi="Georgia"/>
              </w:rPr>
              <w:t xml:space="preserve"> in line with the GDPR requirements examined above </w:t>
            </w:r>
            <w:r w:rsidR="003875FA">
              <w:rPr>
                <w:rFonts w:ascii="Georgia" w:hAnsi="Georgia"/>
              </w:rPr>
              <w:t>(c</w:t>
            </w:r>
            <w:r w:rsidR="00B32286" w:rsidRPr="003875FA">
              <w:rPr>
                <w:rFonts w:ascii="Georgia" w:hAnsi="Georgia"/>
              </w:rPr>
              <w:t>onsent wording provides adequate</w:t>
            </w:r>
            <w:r w:rsidR="003875FA" w:rsidRPr="003875FA">
              <w:rPr>
                <w:rFonts w:ascii="Georgia" w:hAnsi="Georgia"/>
              </w:rPr>
              <w:t xml:space="preserve"> information in line with para 1</w:t>
            </w:r>
            <w:r w:rsidR="001849F6">
              <w:rPr>
                <w:rFonts w:ascii="Georgia" w:hAnsi="Georgia"/>
              </w:rPr>
              <w:t>7</w:t>
            </w:r>
            <w:r w:rsidR="003875FA" w:rsidRPr="003875FA">
              <w:rPr>
                <w:rFonts w:ascii="Georgia" w:hAnsi="Georgia"/>
              </w:rPr>
              <w:t xml:space="preserve"> </w:t>
            </w:r>
            <w:r w:rsidR="00B32286" w:rsidRPr="003875FA">
              <w:rPr>
                <w:rFonts w:ascii="Georgia" w:hAnsi="Georgia"/>
              </w:rPr>
              <w:t>above</w:t>
            </w:r>
            <w:r w:rsidRPr="003875FA">
              <w:rPr>
                <w:rFonts w:ascii="Georgia" w:hAnsi="Georgia"/>
              </w:rPr>
              <w:t xml:space="preserve">, is specific to the processing operation of making the data public in </w:t>
            </w:r>
            <w:r w:rsidR="00825B21" w:rsidRPr="003875FA">
              <w:rPr>
                <w:rFonts w:ascii="Georgia" w:hAnsi="Georgia"/>
              </w:rPr>
              <w:t>RDS</w:t>
            </w:r>
            <w:r w:rsidRPr="003875FA">
              <w:rPr>
                <w:rFonts w:ascii="Georgia" w:hAnsi="Georgia"/>
              </w:rPr>
              <w:t xml:space="preserve">, explains clearly that individuals are free to say no and doing so will have no impact on them </w:t>
            </w:r>
            <w:r w:rsidR="003875FA" w:rsidRPr="003875FA">
              <w:rPr>
                <w:rFonts w:ascii="Georgia" w:hAnsi="Georgia"/>
              </w:rPr>
              <w:t>(</w:t>
            </w:r>
            <w:r w:rsidRPr="003875FA">
              <w:rPr>
                <w:rFonts w:ascii="Georgia" w:hAnsi="Georgia"/>
              </w:rPr>
              <w:t>or the registration process</w:t>
            </w:r>
            <w:r w:rsidR="003875FA" w:rsidRPr="003875FA">
              <w:rPr>
                <w:rFonts w:ascii="Georgia" w:hAnsi="Georgia"/>
              </w:rPr>
              <w:t>)</w:t>
            </w:r>
            <w:r w:rsidRPr="003875FA">
              <w:rPr>
                <w:rFonts w:ascii="Georgia" w:hAnsi="Georgia"/>
              </w:rPr>
              <w:t>, and informs individuals on how they can withdraw consent if they wish to</w:t>
            </w:r>
            <w:r w:rsidR="003875FA">
              <w:rPr>
                <w:rFonts w:ascii="Georgia" w:hAnsi="Georgia"/>
              </w:rPr>
              <w:t>)</w:t>
            </w:r>
            <w:r w:rsidRPr="003875FA">
              <w:rPr>
                <w:rFonts w:ascii="Georgia" w:hAnsi="Georgia"/>
              </w:rPr>
              <w:t>.</w:t>
            </w:r>
            <w:r w:rsidR="00B04B3A" w:rsidRPr="003875FA">
              <w:rPr>
                <w:rFonts w:ascii="Georgia" w:hAnsi="Georgia"/>
              </w:rPr>
              <w:t xml:space="preserve"> </w:t>
            </w:r>
          </w:p>
          <w:p w:rsidR="00B32286" w:rsidRDefault="00B04B3A" w:rsidP="00880DDC">
            <w:pPr>
              <w:pStyle w:val="ListParagraph"/>
              <w:numPr>
                <w:ilvl w:val="0"/>
                <w:numId w:val="9"/>
              </w:numPr>
              <w:spacing w:before="240"/>
              <w:ind w:left="176" w:hanging="142"/>
              <w:jc w:val="both"/>
              <w:rPr>
                <w:rFonts w:ascii="Georgia" w:hAnsi="Georgia"/>
              </w:rPr>
            </w:pPr>
            <w:r>
              <w:rPr>
                <w:rFonts w:ascii="Georgia" w:hAnsi="Georgia"/>
              </w:rPr>
              <w:t xml:space="preserve">The communication makes available to individuals the controller's privacy notice (for example, via a hyperlink). </w:t>
            </w:r>
          </w:p>
          <w:p w:rsidR="00B00E37" w:rsidRDefault="00B00E37" w:rsidP="00880DDC">
            <w:pPr>
              <w:pStyle w:val="ListParagraph"/>
              <w:numPr>
                <w:ilvl w:val="0"/>
                <w:numId w:val="9"/>
              </w:numPr>
              <w:spacing w:before="240"/>
              <w:ind w:left="176" w:hanging="142"/>
              <w:jc w:val="both"/>
              <w:rPr>
                <w:rFonts w:ascii="Georgia" w:hAnsi="Georgia"/>
              </w:rPr>
            </w:pPr>
            <w:r>
              <w:rPr>
                <w:rFonts w:ascii="Georgia" w:hAnsi="Georgia"/>
              </w:rPr>
              <w:t xml:space="preserve">Granting consent is recorded for evidential purposes. </w:t>
            </w:r>
          </w:p>
          <w:p w:rsidR="00EE6A7D" w:rsidRDefault="00EE6A7D" w:rsidP="00880DDC">
            <w:pPr>
              <w:pStyle w:val="ListParagraph"/>
              <w:numPr>
                <w:ilvl w:val="0"/>
                <w:numId w:val="9"/>
              </w:numPr>
              <w:spacing w:before="240"/>
              <w:ind w:left="176" w:hanging="142"/>
              <w:jc w:val="both"/>
              <w:rPr>
                <w:rFonts w:ascii="Georgia" w:hAnsi="Georgia"/>
              </w:rPr>
            </w:pPr>
            <w:r>
              <w:rPr>
                <w:rFonts w:ascii="Georgia" w:hAnsi="Georgia"/>
              </w:rPr>
              <w:t xml:space="preserve">In the event of refusal </w:t>
            </w:r>
            <w:r w:rsidR="00DA0F46">
              <w:rPr>
                <w:rFonts w:ascii="Georgia" w:hAnsi="Georgia"/>
              </w:rPr>
              <w:t>to</w:t>
            </w:r>
            <w:r>
              <w:rPr>
                <w:rFonts w:ascii="Georgia" w:hAnsi="Georgia"/>
              </w:rPr>
              <w:t xml:space="preserve"> consent</w:t>
            </w:r>
            <w:r w:rsidR="003875FA">
              <w:rPr>
                <w:rFonts w:ascii="Georgia" w:hAnsi="Georgia"/>
              </w:rPr>
              <w:t xml:space="preserve"> or failure to respond</w:t>
            </w:r>
            <w:r>
              <w:rPr>
                <w:rFonts w:ascii="Georgia" w:hAnsi="Georgia"/>
              </w:rPr>
              <w:t xml:space="preserve">, the personal data </w:t>
            </w:r>
            <w:r w:rsidR="003875FA">
              <w:rPr>
                <w:rFonts w:ascii="Georgia" w:hAnsi="Georgia"/>
              </w:rPr>
              <w:t>will</w:t>
            </w:r>
            <w:r>
              <w:rPr>
                <w:rFonts w:ascii="Georgia" w:hAnsi="Georgia"/>
              </w:rPr>
              <w:t xml:space="preserve"> not be made public</w:t>
            </w:r>
            <w:r w:rsidR="00B00E37">
              <w:rPr>
                <w:rFonts w:ascii="Georgia" w:hAnsi="Georgia"/>
              </w:rPr>
              <w:t>.</w:t>
            </w:r>
          </w:p>
        </w:tc>
        <w:tc>
          <w:tcPr>
            <w:tcW w:w="4735" w:type="dxa"/>
          </w:tcPr>
          <w:p w:rsidR="00880DDC" w:rsidRDefault="00880DDC" w:rsidP="00880DDC">
            <w:pPr>
              <w:pStyle w:val="ListParagraph"/>
              <w:spacing w:before="240"/>
              <w:ind w:left="0"/>
              <w:jc w:val="both"/>
              <w:rPr>
                <w:rFonts w:ascii="Georgia" w:hAnsi="Georgia"/>
              </w:rPr>
            </w:pPr>
          </w:p>
          <w:p w:rsidR="00EB1C7B" w:rsidRDefault="00B00E37" w:rsidP="00880DDC">
            <w:pPr>
              <w:pStyle w:val="ListParagraph"/>
              <w:spacing w:before="240"/>
              <w:ind w:left="0"/>
              <w:jc w:val="both"/>
              <w:rPr>
                <w:rFonts w:ascii="Georgia" w:hAnsi="Georgia"/>
              </w:rPr>
            </w:pPr>
            <w:r>
              <w:rPr>
                <w:rFonts w:ascii="Georgia" w:hAnsi="Georgia"/>
              </w:rPr>
              <w:t>Seeking consent directly from individuals is the safest option as controllers will have control o</w:t>
            </w:r>
            <w:r w:rsidR="00B04B3A">
              <w:rPr>
                <w:rFonts w:ascii="Georgia" w:hAnsi="Georgia"/>
              </w:rPr>
              <w:t>ver</w:t>
            </w:r>
            <w:r>
              <w:rPr>
                <w:rFonts w:ascii="Georgia" w:hAnsi="Georgia"/>
              </w:rPr>
              <w:t xml:space="preserve"> the consent process, </w:t>
            </w:r>
            <w:r w:rsidR="00B04B3A">
              <w:rPr>
                <w:rFonts w:ascii="Georgia" w:hAnsi="Georgia"/>
              </w:rPr>
              <w:t xml:space="preserve">will be in a position to ensure that </w:t>
            </w:r>
            <w:r w:rsidR="00EB1C7B">
              <w:rPr>
                <w:rFonts w:ascii="Georgia" w:hAnsi="Georgia"/>
              </w:rPr>
              <w:t>consent is obtained in accordance with GDPR standard</w:t>
            </w:r>
            <w:r w:rsidR="00C17B26">
              <w:rPr>
                <w:rFonts w:ascii="Georgia" w:hAnsi="Georgia"/>
              </w:rPr>
              <w:t>s</w:t>
            </w:r>
            <w:r w:rsidR="00EB1C7B">
              <w:rPr>
                <w:rFonts w:ascii="Georgia" w:hAnsi="Georgia"/>
              </w:rPr>
              <w:t xml:space="preserve"> and that they </w:t>
            </w:r>
            <w:r w:rsidR="00B04B3A">
              <w:rPr>
                <w:rFonts w:ascii="Georgia" w:hAnsi="Georgia"/>
              </w:rPr>
              <w:t>meet</w:t>
            </w:r>
            <w:r w:rsidR="00EB1C7B">
              <w:rPr>
                <w:rFonts w:ascii="Georgia" w:hAnsi="Georgia"/>
              </w:rPr>
              <w:t xml:space="preserve"> their transparency obligation</w:t>
            </w:r>
            <w:r w:rsidR="00C17B26">
              <w:rPr>
                <w:rFonts w:ascii="Georgia" w:hAnsi="Georgia"/>
              </w:rPr>
              <w:t>s</w:t>
            </w:r>
            <w:r w:rsidR="00EB1C7B">
              <w:rPr>
                <w:rFonts w:ascii="Georgia" w:hAnsi="Georgia"/>
              </w:rPr>
              <w:t xml:space="preserve">. </w:t>
            </w:r>
          </w:p>
          <w:p w:rsidR="00EB1C7B" w:rsidRDefault="00EB1C7B" w:rsidP="00880DDC">
            <w:pPr>
              <w:pStyle w:val="ListParagraph"/>
              <w:spacing w:before="240"/>
              <w:ind w:left="0"/>
              <w:jc w:val="both"/>
              <w:rPr>
                <w:rFonts w:ascii="Georgia" w:hAnsi="Georgia"/>
              </w:rPr>
            </w:pPr>
          </w:p>
          <w:p w:rsidR="00303903" w:rsidRDefault="00EB1C7B" w:rsidP="00880DDC">
            <w:pPr>
              <w:pStyle w:val="ListParagraph"/>
              <w:spacing w:before="240"/>
              <w:ind w:left="0"/>
              <w:jc w:val="both"/>
              <w:rPr>
                <w:rFonts w:ascii="Georgia" w:hAnsi="Georgia"/>
              </w:rPr>
            </w:pPr>
            <w:r>
              <w:rPr>
                <w:rFonts w:ascii="Georgia" w:hAnsi="Georgia"/>
              </w:rPr>
              <w:t xml:space="preserve">Also, it allows them to manage withdrawals of consent and promptly act upon </w:t>
            </w:r>
            <w:r w:rsidR="00303903">
              <w:rPr>
                <w:rFonts w:ascii="Georgia" w:hAnsi="Georgia"/>
              </w:rPr>
              <w:t xml:space="preserve">these. </w:t>
            </w:r>
          </w:p>
          <w:p w:rsidR="00303903" w:rsidRDefault="00303903" w:rsidP="00880DDC">
            <w:pPr>
              <w:pStyle w:val="ListParagraph"/>
              <w:spacing w:before="240"/>
              <w:ind w:left="0"/>
              <w:jc w:val="both"/>
              <w:rPr>
                <w:rFonts w:ascii="Georgia" w:hAnsi="Georgia"/>
              </w:rPr>
            </w:pPr>
          </w:p>
          <w:p w:rsidR="00463DB0" w:rsidRDefault="00303903" w:rsidP="00880DDC">
            <w:pPr>
              <w:pStyle w:val="ListParagraph"/>
              <w:spacing w:before="240"/>
              <w:ind w:left="0"/>
              <w:jc w:val="both"/>
              <w:rPr>
                <w:rFonts w:ascii="Georgia" w:hAnsi="Georgia"/>
              </w:rPr>
            </w:pPr>
            <w:r>
              <w:rPr>
                <w:rFonts w:ascii="Georgia" w:hAnsi="Georgia"/>
              </w:rPr>
              <w:t xml:space="preserve">Finally, in line with their accountability obligations, </w:t>
            </w:r>
            <w:r w:rsidR="00C17B26">
              <w:rPr>
                <w:rFonts w:ascii="Georgia" w:hAnsi="Georgia"/>
              </w:rPr>
              <w:t xml:space="preserve">controllers will be </w:t>
            </w:r>
            <w:r>
              <w:rPr>
                <w:rFonts w:ascii="Georgia" w:hAnsi="Georgia"/>
              </w:rPr>
              <w:t xml:space="preserve">able to demonstrate that valid consent has been obtained by keeping records of consent. </w:t>
            </w:r>
            <w:r w:rsidR="00B04B3A">
              <w:rPr>
                <w:rFonts w:ascii="Georgia" w:hAnsi="Georgia"/>
              </w:rPr>
              <w:t xml:space="preserve"> </w:t>
            </w:r>
          </w:p>
        </w:tc>
      </w:tr>
      <w:tr w:rsidR="00463DB0" w:rsidRPr="00CD0BB3" w:rsidTr="00880DDC">
        <w:tc>
          <w:tcPr>
            <w:tcW w:w="577" w:type="dxa"/>
            <w:vAlign w:val="center"/>
          </w:tcPr>
          <w:p w:rsidR="00463DB0" w:rsidRDefault="00463DB0" w:rsidP="00066441">
            <w:pPr>
              <w:pStyle w:val="ListParagraph"/>
              <w:numPr>
                <w:ilvl w:val="0"/>
                <w:numId w:val="12"/>
              </w:numPr>
              <w:tabs>
                <w:tab w:val="left" w:pos="176"/>
              </w:tabs>
              <w:spacing w:before="240"/>
              <w:ind w:left="318"/>
              <w:rPr>
                <w:rFonts w:ascii="Georgia" w:hAnsi="Georgia"/>
              </w:rPr>
            </w:pPr>
          </w:p>
        </w:tc>
        <w:tc>
          <w:tcPr>
            <w:tcW w:w="4248" w:type="dxa"/>
            <w:vAlign w:val="center"/>
          </w:tcPr>
          <w:p w:rsidR="00E50D2D" w:rsidRPr="00E50D2D" w:rsidRDefault="00E50D2D" w:rsidP="00DA0F46">
            <w:pPr>
              <w:spacing w:before="240"/>
              <w:jc w:val="both"/>
              <w:rPr>
                <w:rFonts w:ascii="Georgia" w:hAnsi="Georgia"/>
                <w:u w:val="single"/>
              </w:rPr>
            </w:pPr>
            <w:r w:rsidRPr="00E50D2D">
              <w:rPr>
                <w:rFonts w:ascii="Georgia" w:hAnsi="Georgia"/>
                <w:u w:val="single"/>
              </w:rPr>
              <w:t>Registrant obtain</w:t>
            </w:r>
            <w:r w:rsidR="00C17B26">
              <w:rPr>
                <w:rFonts w:ascii="Georgia" w:hAnsi="Georgia"/>
                <w:u w:val="single"/>
              </w:rPr>
              <w:t>s</w:t>
            </w:r>
            <w:r w:rsidRPr="00E50D2D">
              <w:rPr>
                <w:rFonts w:ascii="Georgia" w:hAnsi="Georgia"/>
                <w:u w:val="single"/>
              </w:rPr>
              <w:t xml:space="preserve"> </w:t>
            </w:r>
            <w:r>
              <w:rPr>
                <w:rFonts w:ascii="Georgia" w:hAnsi="Georgia"/>
                <w:u w:val="single"/>
              </w:rPr>
              <w:t xml:space="preserve">valid </w:t>
            </w:r>
            <w:r w:rsidR="00C17B26">
              <w:rPr>
                <w:rFonts w:ascii="Georgia" w:hAnsi="Georgia"/>
                <w:u w:val="single"/>
              </w:rPr>
              <w:t>consent and provides</w:t>
            </w:r>
            <w:r w:rsidRPr="00E50D2D">
              <w:rPr>
                <w:rFonts w:ascii="Georgia" w:hAnsi="Georgia"/>
                <w:u w:val="single"/>
              </w:rPr>
              <w:t xml:space="preserve"> evidence to controller</w:t>
            </w:r>
          </w:p>
          <w:p w:rsidR="00303903" w:rsidRDefault="00303903" w:rsidP="00DA0F46">
            <w:pPr>
              <w:pStyle w:val="ListParagraph"/>
              <w:numPr>
                <w:ilvl w:val="0"/>
                <w:numId w:val="9"/>
              </w:numPr>
              <w:spacing w:before="240"/>
              <w:ind w:left="176" w:hanging="142"/>
              <w:jc w:val="both"/>
              <w:rPr>
                <w:rFonts w:ascii="Georgia" w:hAnsi="Georgia"/>
              </w:rPr>
            </w:pPr>
            <w:r>
              <w:rPr>
                <w:rFonts w:ascii="Georgia" w:hAnsi="Georgia"/>
              </w:rPr>
              <w:t xml:space="preserve">Making personal data public in </w:t>
            </w:r>
            <w:r w:rsidR="00825B21">
              <w:rPr>
                <w:rFonts w:ascii="Georgia" w:hAnsi="Georgia"/>
              </w:rPr>
              <w:t>RDS</w:t>
            </w:r>
            <w:r>
              <w:rPr>
                <w:rFonts w:ascii="Georgia" w:hAnsi="Georgia"/>
              </w:rPr>
              <w:t xml:space="preserve"> is optional. </w:t>
            </w:r>
          </w:p>
          <w:p w:rsidR="00C23271" w:rsidRDefault="00303903" w:rsidP="00DA0F46">
            <w:pPr>
              <w:pStyle w:val="ListParagraph"/>
              <w:numPr>
                <w:ilvl w:val="0"/>
                <w:numId w:val="9"/>
              </w:numPr>
              <w:spacing w:before="240"/>
              <w:ind w:left="176" w:hanging="142"/>
              <w:jc w:val="both"/>
              <w:rPr>
                <w:rFonts w:ascii="Georgia" w:hAnsi="Georgia"/>
              </w:rPr>
            </w:pPr>
            <w:r>
              <w:rPr>
                <w:rFonts w:ascii="Georgia" w:hAnsi="Georgia"/>
              </w:rPr>
              <w:lastRenderedPageBreak/>
              <w:t xml:space="preserve">Prior to making </w:t>
            </w:r>
            <w:r w:rsidR="008938AB">
              <w:rPr>
                <w:rFonts w:ascii="Georgia" w:hAnsi="Georgia"/>
              </w:rPr>
              <w:t xml:space="preserve">personal </w:t>
            </w:r>
            <w:r>
              <w:rPr>
                <w:rFonts w:ascii="Georgia" w:hAnsi="Georgia"/>
              </w:rPr>
              <w:t>data public,</w:t>
            </w:r>
            <w:r w:rsidR="00880DDC">
              <w:rPr>
                <w:rFonts w:ascii="Georgia" w:hAnsi="Georgia"/>
              </w:rPr>
              <w:t xml:space="preserve"> </w:t>
            </w:r>
            <w:r w:rsidR="00430942">
              <w:rPr>
                <w:rFonts w:ascii="Georgia" w:hAnsi="Georgia"/>
              </w:rPr>
              <w:t xml:space="preserve">the </w:t>
            </w:r>
            <w:r w:rsidR="00880DDC">
              <w:rPr>
                <w:rFonts w:ascii="Georgia" w:hAnsi="Georgia"/>
              </w:rPr>
              <w:t xml:space="preserve">controller requires </w:t>
            </w:r>
            <w:r w:rsidR="00430942">
              <w:rPr>
                <w:rFonts w:ascii="Georgia" w:hAnsi="Georgia"/>
              </w:rPr>
              <w:t xml:space="preserve">the </w:t>
            </w:r>
            <w:r w:rsidR="00880DDC">
              <w:rPr>
                <w:rFonts w:ascii="Georgia" w:hAnsi="Georgia"/>
              </w:rPr>
              <w:t>registrant</w:t>
            </w:r>
            <w:r>
              <w:rPr>
                <w:rFonts w:ascii="Georgia" w:hAnsi="Georgia"/>
              </w:rPr>
              <w:t xml:space="preserve"> to</w:t>
            </w:r>
            <w:r w:rsidR="00C23271">
              <w:rPr>
                <w:rFonts w:ascii="Georgia" w:hAnsi="Georgia"/>
              </w:rPr>
              <w:t>:</w:t>
            </w:r>
          </w:p>
          <w:p w:rsidR="00C23271" w:rsidRDefault="00C23271" w:rsidP="00C23271">
            <w:pPr>
              <w:pStyle w:val="ListParagraph"/>
              <w:spacing w:before="240"/>
              <w:ind w:left="176"/>
              <w:jc w:val="both"/>
              <w:rPr>
                <w:rFonts w:ascii="Georgia" w:hAnsi="Georgia"/>
              </w:rPr>
            </w:pPr>
            <w:r>
              <w:rPr>
                <w:rFonts w:ascii="Georgia" w:hAnsi="Georgia"/>
              </w:rPr>
              <w:t>(a)</w:t>
            </w:r>
            <w:r w:rsidR="00303903">
              <w:rPr>
                <w:rFonts w:ascii="Georgia" w:hAnsi="Georgia"/>
              </w:rPr>
              <w:t xml:space="preserve"> obtain individuals' consent using a consent method defined by the controller (for example, </w:t>
            </w:r>
            <w:r w:rsidR="00944668">
              <w:rPr>
                <w:rFonts w:ascii="Georgia" w:hAnsi="Georgia"/>
              </w:rPr>
              <w:t xml:space="preserve">consent </w:t>
            </w:r>
            <w:r w:rsidR="008938AB">
              <w:rPr>
                <w:rFonts w:ascii="Georgia" w:hAnsi="Georgia"/>
              </w:rPr>
              <w:t>form with specific wording</w:t>
            </w:r>
            <w:r w:rsidR="00303903">
              <w:rPr>
                <w:rFonts w:ascii="Georgia" w:hAnsi="Georgia"/>
              </w:rPr>
              <w:t xml:space="preserve"> </w:t>
            </w:r>
            <w:r w:rsidR="008938AB">
              <w:rPr>
                <w:rFonts w:ascii="Georgia" w:hAnsi="Georgia"/>
              </w:rPr>
              <w:t xml:space="preserve">and format </w:t>
            </w:r>
            <w:r w:rsidR="00303903">
              <w:rPr>
                <w:rFonts w:ascii="Georgia" w:hAnsi="Georgia"/>
              </w:rPr>
              <w:t>which meets GDPR requirements)</w:t>
            </w:r>
            <w:r>
              <w:rPr>
                <w:rFonts w:ascii="Georgia" w:hAnsi="Georgia"/>
              </w:rPr>
              <w:t>;</w:t>
            </w:r>
            <w:r w:rsidR="00303903">
              <w:rPr>
                <w:rFonts w:ascii="Georgia" w:hAnsi="Georgia"/>
              </w:rPr>
              <w:t xml:space="preserve"> and </w:t>
            </w:r>
          </w:p>
          <w:p w:rsidR="00303903" w:rsidRDefault="00C23271" w:rsidP="00C23271">
            <w:pPr>
              <w:pStyle w:val="ListParagraph"/>
              <w:spacing w:before="240"/>
              <w:ind w:left="176"/>
              <w:jc w:val="both"/>
              <w:rPr>
                <w:rFonts w:ascii="Georgia" w:hAnsi="Georgia"/>
              </w:rPr>
            </w:pPr>
            <w:r>
              <w:rPr>
                <w:rFonts w:ascii="Georgia" w:hAnsi="Georgia"/>
              </w:rPr>
              <w:t xml:space="preserve">(b) </w:t>
            </w:r>
            <w:r w:rsidR="00303903">
              <w:rPr>
                <w:rFonts w:ascii="Georgia" w:hAnsi="Georgia"/>
              </w:rPr>
              <w:t xml:space="preserve">provide to </w:t>
            </w:r>
            <w:r w:rsidR="00430942">
              <w:rPr>
                <w:rFonts w:ascii="Georgia" w:hAnsi="Georgia"/>
              </w:rPr>
              <w:t xml:space="preserve">the </w:t>
            </w:r>
            <w:r w:rsidR="00303903">
              <w:rPr>
                <w:rFonts w:ascii="Georgia" w:hAnsi="Georgia"/>
              </w:rPr>
              <w:t>controller evidence that consent has been obtained (for example by</w:t>
            </w:r>
            <w:r w:rsidR="00DA0F46">
              <w:rPr>
                <w:rFonts w:ascii="Georgia" w:hAnsi="Georgia"/>
              </w:rPr>
              <w:t xml:space="preserve"> means of the</w:t>
            </w:r>
            <w:r w:rsidR="00303903">
              <w:rPr>
                <w:rFonts w:ascii="Georgia" w:hAnsi="Georgia"/>
              </w:rPr>
              <w:t xml:space="preserve"> registrant providing a signed copy of the </w:t>
            </w:r>
            <w:r w:rsidR="00DA0F46">
              <w:rPr>
                <w:rFonts w:ascii="Georgia" w:hAnsi="Georgia"/>
              </w:rPr>
              <w:t>consent form</w:t>
            </w:r>
            <w:r w:rsidR="00303903">
              <w:rPr>
                <w:rFonts w:ascii="Georgia" w:hAnsi="Georgia"/>
              </w:rPr>
              <w:t xml:space="preserve"> or the individual directly forwarding this to controller). </w:t>
            </w:r>
          </w:p>
          <w:p w:rsidR="00DA0F46" w:rsidRDefault="00DA0F46" w:rsidP="00DA0F46">
            <w:pPr>
              <w:pStyle w:val="ListParagraph"/>
              <w:spacing w:before="240"/>
              <w:ind w:left="176"/>
              <w:jc w:val="both"/>
              <w:rPr>
                <w:rFonts w:ascii="Georgia" w:hAnsi="Georgia"/>
              </w:rPr>
            </w:pPr>
          </w:p>
          <w:p w:rsidR="00DA0F46" w:rsidRDefault="00DA0F46" w:rsidP="00DA0F46">
            <w:pPr>
              <w:pStyle w:val="ListParagraph"/>
              <w:numPr>
                <w:ilvl w:val="0"/>
                <w:numId w:val="9"/>
              </w:numPr>
              <w:spacing w:before="240"/>
              <w:ind w:left="176" w:hanging="142"/>
              <w:jc w:val="both"/>
              <w:rPr>
                <w:rFonts w:ascii="Georgia" w:hAnsi="Georgia"/>
              </w:rPr>
            </w:pPr>
            <w:r>
              <w:rPr>
                <w:rFonts w:ascii="Georgia" w:hAnsi="Georgia"/>
              </w:rPr>
              <w:t>In the event of refusal to consent or failure to receive evidence, the personal data will not be made public.</w:t>
            </w:r>
          </w:p>
          <w:p w:rsidR="00463DB0" w:rsidRDefault="00463DB0" w:rsidP="00DA0F46">
            <w:pPr>
              <w:spacing w:before="240"/>
              <w:jc w:val="both"/>
              <w:rPr>
                <w:rFonts w:ascii="Georgia" w:hAnsi="Georgia"/>
              </w:rPr>
            </w:pPr>
          </w:p>
        </w:tc>
        <w:tc>
          <w:tcPr>
            <w:tcW w:w="4735" w:type="dxa"/>
          </w:tcPr>
          <w:p w:rsidR="00DA0F46" w:rsidRDefault="00410746" w:rsidP="00880DDC">
            <w:pPr>
              <w:pStyle w:val="ListParagraph"/>
              <w:spacing w:before="240"/>
              <w:ind w:left="0"/>
              <w:jc w:val="both"/>
              <w:rPr>
                <w:rFonts w:ascii="Georgia" w:hAnsi="Georgia"/>
              </w:rPr>
            </w:pPr>
            <w:r>
              <w:rPr>
                <w:rFonts w:ascii="Georgia" w:hAnsi="Georgia"/>
              </w:rPr>
              <w:lastRenderedPageBreak/>
              <w:t xml:space="preserve">As an alternative to the above option, </w:t>
            </w:r>
            <w:r w:rsidR="00AC3F3B">
              <w:rPr>
                <w:rFonts w:ascii="Georgia" w:hAnsi="Georgia"/>
              </w:rPr>
              <w:t>controllers can require the registrant to</w:t>
            </w:r>
            <w:r w:rsidR="00DA0F46">
              <w:rPr>
                <w:rFonts w:ascii="Georgia" w:hAnsi="Georgia"/>
              </w:rPr>
              <w:t>:</w:t>
            </w:r>
          </w:p>
          <w:p w:rsidR="00DA0F46" w:rsidRDefault="00DA0F46" w:rsidP="00880DDC">
            <w:pPr>
              <w:pStyle w:val="ListParagraph"/>
              <w:spacing w:before="240"/>
              <w:ind w:left="0"/>
              <w:jc w:val="both"/>
              <w:rPr>
                <w:rFonts w:ascii="Georgia" w:hAnsi="Georgia"/>
              </w:rPr>
            </w:pPr>
            <w:r>
              <w:rPr>
                <w:rFonts w:ascii="Georgia" w:hAnsi="Georgia"/>
              </w:rPr>
              <w:t xml:space="preserve">(a) </w:t>
            </w:r>
            <w:r w:rsidR="00AC3F3B">
              <w:rPr>
                <w:rFonts w:ascii="Georgia" w:hAnsi="Georgia"/>
              </w:rPr>
              <w:t xml:space="preserve">obtain valid consent on their behalf </w:t>
            </w:r>
            <w:r w:rsidR="008938AB">
              <w:rPr>
                <w:rFonts w:ascii="Georgia" w:hAnsi="Georgia"/>
              </w:rPr>
              <w:t xml:space="preserve">–using an approved consent method and wording- </w:t>
            </w:r>
            <w:r w:rsidR="00AC3F3B">
              <w:rPr>
                <w:rFonts w:ascii="Georgia" w:hAnsi="Georgia"/>
              </w:rPr>
              <w:t>and</w:t>
            </w:r>
          </w:p>
          <w:p w:rsidR="00463DB0" w:rsidRDefault="00DA0F46" w:rsidP="00880DDC">
            <w:pPr>
              <w:pStyle w:val="ListParagraph"/>
              <w:spacing w:before="240"/>
              <w:ind w:left="0"/>
              <w:jc w:val="both"/>
              <w:rPr>
                <w:rFonts w:ascii="Georgia" w:hAnsi="Georgia"/>
              </w:rPr>
            </w:pPr>
            <w:r>
              <w:rPr>
                <w:rFonts w:ascii="Georgia" w:hAnsi="Georgia"/>
              </w:rPr>
              <w:t>(b)</w:t>
            </w:r>
            <w:r w:rsidR="00AC3F3B">
              <w:rPr>
                <w:rFonts w:ascii="Georgia" w:hAnsi="Georgia"/>
              </w:rPr>
              <w:t xml:space="preserve"> </w:t>
            </w:r>
            <w:r w:rsidR="008938AB">
              <w:rPr>
                <w:rFonts w:ascii="Georgia" w:hAnsi="Georgia"/>
              </w:rPr>
              <w:t>provide</w:t>
            </w:r>
            <w:r w:rsidR="00AC3F3B">
              <w:rPr>
                <w:rFonts w:ascii="Georgia" w:hAnsi="Georgia"/>
              </w:rPr>
              <w:t xml:space="preserve"> proof of such consent.</w:t>
            </w:r>
          </w:p>
          <w:p w:rsidR="008938AB" w:rsidRDefault="008938AB" w:rsidP="00880DDC">
            <w:pPr>
              <w:pStyle w:val="ListParagraph"/>
              <w:spacing w:before="240"/>
              <w:ind w:left="0"/>
              <w:jc w:val="both"/>
              <w:rPr>
                <w:rFonts w:ascii="Georgia" w:hAnsi="Georgia"/>
              </w:rPr>
            </w:pPr>
          </w:p>
          <w:p w:rsidR="008938AB" w:rsidRDefault="008938AB" w:rsidP="00880DDC">
            <w:pPr>
              <w:pStyle w:val="ListParagraph"/>
              <w:spacing w:before="240"/>
              <w:ind w:left="0"/>
              <w:jc w:val="both"/>
              <w:rPr>
                <w:rFonts w:ascii="Georgia" w:hAnsi="Georgia"/>
              </w:rPr>
            </w:pPr>
            <w:r>
              <w:rPr>
                <w:rFonts w:ascii="Georgia" w:hAnsi="Georgia"/>
              </w:rPr>
              <w:t>This way, controllers still maintain control over the consent process and are in a position to verify whether consent has been validly obtained.</w:t>
            </w:r>
          </w:p>
          <w:p w:rsidR="008938AB" w:rsidRDefault="008938AB" w:rsidP="00880DDC">
            <w:pPr>
              <w:pStyle w:val="ListParagraph"/>
              <w:spacing w:before="240"/>
              <w:ind w:left="0"/>
              <w:jc w:val="both"/>
              <w:rPr>
                <w:rFonts w:ascii="Georgia" w:hAnsi="Georgia"/>
              </w:rPr>
            </w:pPr>
          </w:p>
          <w:p w:rsidR="008938AB" w:rsidRDefault="00430942" w:rsidP="00880DDC">
            <w:pPr>
              <w:pStyle w:val="ListParagraph"/>
              <w:spacing w:before="240"/>
              <w:ind w:left="0"/>
              <w:jc w:val="both"/>
              <w:rPr>
                <w:rFonts w:ascii="Georgia" w:hAnsi="Georgia"/>
              </w:rPr>
            </w:pPr>
            <w:r>
              <w:rPr>
                <w:rFonts w:ascii="Georgia" w:hAnsi="Georgia"/>
              </w:rPr>
              <w:t xml:space="preserve">The method is somewhat less robust than option 1, as the controller does not receive direct confirmation from </w:t>
            </w:r>
            <w:r w:rsidRPr="000F5DFF">
              <w:rPr>
                <w:rFonts w:ascii="Georgia" w:hAnsi="Georgia"/>
              </w:rPr>
              <w:t>the data subject that he or she has given consent. In the (possibly rare) situation that the registrant does not obtain consent from the admin/ tech contact, then the consent would not be valid.</w:t>
            </w:r>
          </w:p>
        </w:tc>
      </w:tr>
      <w:tr w:rsidR="00264E01" w:rsidRPr="00CD0BB3" w:rsidTr="00066441">
        <w:tc>
          <w:tcPr>
            <w:tcW w:w="577" w:type="dxa"/>
            <w:vAlign w:val="center"/>
          </w:tcPr>
          <w:p w:rsidR="00264E01" w:rsidRDefault="00264E01" w:rsidP="00066441">
            <w:pPr>
              <w:pStyle w:val="ListParagraph"/>
              <w:numPr>
                <w:ilvl w:val="0"/>
                <w:numId w:val="12"/>
              </w:numPr>
              <w:tabs>
                <w:tab w:val="left" w:pos="176"/>
              </w:tabs>
              <w:spacing w:before="240"/>
              <w:ind w:left="318"/>
              <w:rPr>
                <w:rFonts w:ascii="Georgia" w:hAnsi="Georgia"/>
              </w:rPr>
            </w:pPr>
          </w:p>
        </w:tc>
        <w:tc>
          <w:tcPr>
            <w:tcW w:w="4248" w:type="dxa"/>
            <w:vAlign w:val="center"/>
          </w:tcPr>
          <w:p w:rsidR="00264E01" w:rsidRDefault="00880DDC" w:rsidP="00880DDC">
            <w:pPr>
              <w:spacing w:before="240"/>
              <w:jc w:val="both"/>
              <w:rPr>
                <w:rFonts w:ascii="Georgia" w:hAnsi="Georgia"/>
                <w:u w:val="single"/>
              </w:rPr>
            </w:pPr>
            <w:r>
              <w:rPr>
                <w:rFonts w:ascii="Georgia" w:hAnsi="Georgia"/>
                <w:u w:val="single"/>
              </w:rPr>
              <w:t>Registrant obtains</w:t>
            </w:r>
            <w:r w:rsidR="00264E01">
              <w:rPr>
                <w:rFonts w:ascii="Georgia" w:hAnsi="Georgia"/>
                <w:u w:val="single"/>
              </w:rPr>
              <w:t xml:space="preserve"> valid</w:t>
            </w:r>
            <w:r>
              <w:rPr>
                <w:rFonts w:ascii="Georgia" w:hAnsi="Georgia"/>
                <w:u w:val="single"/>
              </w:rPr>
              <w:t xml:space="preserve"> consent and controller confirms</w:t>
            </w:r>
            <w:r w:rsidR="00264E01">
              <w:rPr>
                <w:rFonts w:ascii="Georgia" w:hAnsi="Georgia"/>
                <w:u w:val="single"/>
              </w:rPr>
              <w:t xml:space="preserve"> this with the individual</w:t>
            </w:r>
          </w:p>
          <w:p w:rsidR="008938AB" w:rsidRDefault="008938AB" w:rsidP="00880DDC">
            <w:pPr>
              <w:pStyle w:val="ListParagraph"/>
              <w:numPr>
                <w:ilvl w:val="0"/>
                <w:numId w:val="9"/>
              </w:numPr>
              <w:spacing w:before="240"/>
              <w:ind w:left="176" w:hanging="142"/>
              <w:jc w:val="both"/>
              <w:rPr>
                <w:rFonts w:ascii="Georgia" w:hAnsi="Georgia"/>
              </w:rPr>
            </w:pPr>
            <w:r>
              <w:rPr>
                <w:rFonts w:ascii="Georgia" w:hAnsi="Georgia"/>
              </w:rPr>
              <w:t xml:space="preserve">Making personal data public in </w:t>
            </w:r>
            <w:r w:rsidR="00825B21">
              <w:rPr>
                <w:rFonts w:ascii="Georgia" w:hAnsi="Georgia"/>
              </w:rPr>
              <w:t>RDS</w:t>
            </w:r>
            <w:r>
              <w:rPr>
                <w:rFonts w:ascii="Georgia" w:hAnsi="Georgia"/>
              </w:rPr>
              <w:t xml:space="preserve"> is optional. </w:t>
            </w:r>
          </w:p>
          <w:p w:rsidR="00C23271" w:rsidRDefault="008938AB" w:rsidP="00880DDC">
            <w:pPr>
              <w:pStyle w:val="ListParagraph"/>
              <w:numPr>
                <w:ilvl w:val="0"/>
                <w:numId w:val="9"/>
              </w:numPr>
              <w:spacing w:before="240"/>
              <w:ind w:left="176" w:hanging="142"/>
              <w:jc w:val="both"/>
              <w:rPr>
                <w:rFonts w:ascii="Georgia" w:hAnsi="Georgia"/>
              </w:rPr>
            </w:pPr>
            <w:r>
              <w:rPr>
                <w:rFonts w:ascii="Georgia" w:hAnsi="Georgia"/>
              </w:rPr>
              <w:t>Prior to making personal data public,</w:t>
            </w:r>
            <w:r w:rsidR="00880DDC">
              <w:rPr>
                <w:rFonts w:ascii="Georgia" w:hAnsi="Georgia"/>
              </w:rPr>
              <w:t xml:space="preserve"> </w:t>
            </w:r>
            <w:r w:rsidR="00EE6F7B">
              <w:rPr>
                <w:rFonts w:ascii="Georgia" w:hAnsi="Georgia"/>
              </w:rPr>
              <w:t xml:space="preserve">the </w:t>
            </w:r>
            <w:r w:rsidR="00880DDC">
              <w:rPr>
                <w:rFonts w:ascii="Georgia" w:hAnsi="Georgia"/>
              </w:rPr>
              <w:t xml:space="preserve">controller requires </w:t>
            </w:r>
            <w:r w:rsidR="00EE6F7B">
              <w:rPr>
                <w:rFonts w:ascii="Georgia" w:hAnsi="Georgia"/>
              </w:rPr>
              <w:t xml:space="preserve">the </w:t>
            </w:r>
            <w:r w:rsidR="00880DDC">
              <w:rPr>
                <w:rFonts w:ascii="Georgia" w:hAnsi="Georgia"/>
              </w:rPr>
              <w:t>registrant</w:t>
            </w:r>
            <w:r>
              <w:rPr>
                <w:rFonts w:ascii="Georgia" w:hAnsi="Georgia"/>
              </w:rPr>
              <w:t xml:space="preserve"> to</w:t>
            </w:r>
            <w:r w:rsidR="00C23271">
              <w:rPr>
                <w:rFonts w:ascii="Georgia" w:hAnsi="Georgia"/>
              </w:rPr>
              <w:t>:</w:t>
            </w:r>
          </w:p>
          <w:p w:rsidR="00836272" w:rsidRDefault="00C23271" w:rsidP="00C23271">
            <w:pPr>
              <w:pStyle w:val="ListParagraph"/>
              <w:spacing w:before="240"/>
              <w:ind w:left="176"/>
              <w:jc w:val="both"/>
              <w:rPr>
                <w:rFonts w:ascii="Georgia" w:hAnsi="Georgia"/>
              </w:rPr>
            </w:pPr>
            <w:r>
              <w:rPr>
                <w:rFonts w:ascii="Georgia" w:hAnsi="Georgia"/>
              </w:rPr>
              <w:t xml:space="preserve">(a) </w:t>
            </w:r>
            <w:r w:rsidR="008938AB">
              <w:rPr>
                <w:rFonts w:ascii="Georgia" w:hAnsi="Georgia"/>
              </w:rPr>
              <w:t xml:space="preserve">obtain individuals' consent using a consent method defined by the controller (for example, </w:t>
            </w:r>
            <w:r w:rsidR="00944668">
              <w:rPr>
                <w:rFonts w:ascii="Georgia" w:hAnsi="Georgia"/>
              </w:rPr>
              <w:t xml:space="preserve">consent </w:t>
            </w:r>
            <w:r w:rsidR="008938AB">
              <w:rPr>
                <w:rFonts w:ascii="Georgia" w:hAnsi="Georgia"/>
              </w:rPr>
              <w:t>form with specific wording and format which meets GDPR requirements)</w:t>
            </w:r>
            <w:r>
              <w:rPr>
                <w:rFonts w:ascii="Georgia" w:hAnsi="Georgia"/>
              </w:rPr>
              <w:t>;</w:t>
            </w:r>
          </w:p>
          <w:p w:rsidR="00C23271" w:rsidRDefault="00063B5E" w:rsidP="00C23271">
            <w:pPr>
              <w:pStyle w:val="ListParagraph"/>
              <w:spacing w:before="240"/>
              <w:ind w:left="176"/>
              <w:jc w:val="both"/>
              <w:rPr>
                <w:rFonts w:ascii="Georgia" w:hAnsi="Georgia"/>
              </w:rPr>
            </w:pPr>
            <w:r>
              <w:rPr>
                <w:rFonts w:ascii="Georgia" w:hAnsi="Georgia"/>
              </w:rPr>
              <w:t xml:space="preserve"> and </w:t>
            </w:r>
          </w:p>
          <w:p w:rsidR="008938AB" w:rsidRDefault="00C23271" w:rsidP="00C23271">
            <w:pPr>
              <w:pStyle w:val="ListParagraph"/>
              <w:spacing w:before="240"/>
              <w:ind w:left="176"/>
              <w:jc w:val="both"/>
              <w:rPr>
                <w:rFonts w:ascii="Georgia" w:hAnsi="Georgia"/>
              </w:rPr>
            </w:pPr>
            <w:r>
              <w:rPr>
                <w:rFonts w:ascii="Georgia" w:hAnsi="Georgia"/>
              </w:rPr>
              <w:t xml:space="preserve">(b) </w:t>
            </w:r>
            <w:r w:rsidR="00836272">
              <w:rPr>
                <w:rFonts w:ascii="Georgia" w:hAnsi="Georgia"/>
              </w:rPr>
              <w:t>provide to the controller evidence that consent has been obtained (for example by means of the registrant providing a signed copy of the consent form or the individual directly forwarding this to controller)</w:t>
            </w:r>
            <w:r w:rsidR="00F05FE7">
              <w:rPr>
                <w:rFonts w:ascii="Georgia" w:hAnsi="Georgia"/>
              </w:rPr>
              <w:t xml:space="preserve">. </w:t>
            </w:r>
          </w:p>
          <w:p w:rsidR="00C23271" w:rsidRDefault="00C23271" w:rsidP="00C23271">
            <w:pPr>
              <w:pStyle w:val="ListParagraph"/>
              <w:spacing w:before="240"/>
              <w:ind w:left="176"/>
              <w:jc w:val="both"/>
              <w:rPr>
                <w:rFonts w:ascii="Georgia" w:hAnsi="Georgia"/>
              </w:rPr>
            </w:pPr>
          </w:p>
          <w:p w:rsidR="00F05FE7" w:rsidRDefault="00F05FE7" w:rsidP="00880DDC">
            <w:pPr>
              <w:pStyle w:val="ListParagraph"/>
              <w:numPr>
                <w:ilvl w:val="0"/>
                <w:numId w:val="9"/>
              </w:numPr>
              <w:spacing w:before="240"/>
              <w:ind w:left="176" w:hanging="142"/>
              <w:jc w:val="both"/>
              <w:rPr>
                <w:rFonts w:ascii="Georgia" w:hAnsi="Georgia"/>
              </w:rPr>
            </w:pPr>
            <w:r>
              <w:rPr>
                <w:rFonts w:ascii="Georgia" w:hAnsi="Georgia"/>
              </w:rPr>
              <w:t xml:space="preserve">Controller follows up with the individual directly: it informs them that the </w:t>
            </w:r>
            <w:r w:rsidR="00B82091">
              <w:rPr>
                <w:rFonts w:ascii="Georgia" w:hAnsi="Georgia"/>
              </w:rPr>
              <w:t>registrant</w:t>
            </w:r>
            <w:r>
              <w:rPr>
                <w:rFonts w:ascii="Georgia" w:hAnsi="Georgia"/>
              </w:rPr>
              <w:t xml:space="preserve"> has confirmed they have </w:t>
            </w:r>
            <w:r w:rsidR="00B82091">
              <w:rPr>
                <w:rFonts w:ascii="Georgia" w:hAnsi="Georgia"/>
              </w:rPr>
              <w:t xml:space="preserve">granted </w:t>
            </w:r>
            <w:r>
              <w:rPr>
                <w:rFonts w:ascii="Georgia" w:hAnsi="Georgia"/>
              </w:rPr>
              <w:t>consent. The controller advises the individual to let them know if this confirmation has been provided erroneously and that in absence of a response from their side, the personal data will be made public within [x time].</w:t>
            </w:r>
            <w:r w:rsidR="002A12FE">
              <w:rPr>
                <w:rFonts w:ascii="Georgia" w:hAnsi="Georgia"/>
              </w:rPr>
              <w:t xml:space="preserve"> </w:t>
            </w:r>
            <w:r w:rsidR="00B82091">
              <w:rPr>
                <w:rFonts w:ascii="Georgia" w:hAnsi="Georgia"/>
              </w:rPr>
              <w:t>The controller</w:t>
            </w:r>
            <w:r w:rsidR="004E43D4">
              <w:rPr>
                <w:rFonts w:ascii="Georgia" w:hAnsi="Georgia"/>
              </w:rPr>
              <w:t xml:space="preserve"> can also </w:t>
            </w:r>
            <w:r w:rsidR="00B82091">
              <w:rPr>
                <w:rFonts w:ascii="Georgia" w:hAnsi="Georgia"/>
              </w:rPr>
              <w:t xml:space="preserve">use this opportunity to </w:t>
            </w:r>
            <w:r w:rsidR="004E43D4">
              <w:rPr>
                <w:rFonts w:ascii="Georgia" w:hAnsi="Georgia"/>
              </w:rPr>
              <w:t xml:space="preserve">provide all information </w:t>
            </w:r>
            <w:r w:rsidR="00B82091">
              <w:rPr>
                <w:rFonts w:ascii="Georgia" w:hAnsi="Georgia"/>
              </w:rPr>
              <w:t>to</w:t>
            </w:r>
            <w:r w:rsidR="004E43D4">
              <w:rPr>
                <w:rFonts w:ascii="Georgia" w:hAnsi="Georgia"/>
              </w:rPr>
              <w:t xml:space="preserve"> be made available to the individual, incl. </w:t>
            </w:r>
            <w:r w:rsidR="00B82091">
              <w:rPr>
                <w:rFonts w:ascii="Georgia" w:hAnsi="Georgia"/>
              </w:rPr>
              <w:t xml:space="preserve">in relation to </w:t>
            </w:r>
            <w:r w:rsidR="004E43D4">
              <w:rPr>
                <w:rFonts w:ascii="Georgia" w:hAnsi="Georgia"/>
              </w:rPr>
              <w:t xml:space="preserve">their right to withdraw consent. </w:t>
            </w:r>
          </w:p>
          <w:p w:rsidR="00264E01" w:rsidRDefault="00264E01" w:rsidP="00880DDC">
            <w:pPr>
              <w:spacing w:before="240"/>
              <w:jc w:val="both"/>
              <w:rPr>
                <w:rFonts w:ascii="Georgia" w:hAnsi="Georgia"/>
                <w:u w:val="single"/>
              </w:rPr>
            </w:pPr>
          </w:p>
          <w:p w:rsidR="00264E01" w:rsidRPr="00E50D2D" w:rsidRDefault="00264E01" w:rsidP="00880DDC">
            <w:pPr>
              <w:spacing w:before="240"/>
              <w:jc w:val="both"/>
              <w:rPr>
                <w:rFonts w:ascii="Georgia" w:hAnsi="Georgia"/>
                <w:u w:val="single"/>
              </w:rPr>
            </w:pPr>
          </w:p>
        </w:tc>
        <w:tc>
          <w:tcPr>
            <w:tcW w:w="4735" w:type="dxa"/>
            <w:vAlign w:val="center"/>
          </w:tcPr>
          <w:p w:rsidR="00264E01" w:rsidRDefault="004E43D4" w:rsidP="00880DDC">
            <w:pPr>
              <w:pStyle w:val="ListParagraph"/>
              <w:spacing w:before="240"/>
              <w:ind w:left="0"/>
              <w:jc w:val="both"/>
              <w:rPr>
                <w:rFonts w:ascii="Georgia" w:hAnsi="Georgia"/>
              </w:rPr>
            </w:pPr>
            <w:r>
              <w:rPr>
                <w:rFonts w:ascii="Georgia" w:hAnsi="Georgia"/>
              </w:rPr>
              <w:t>This option is a variant o</w:t>
            </w:r>
            <w:r w:rsidR="00B82091">
              <w:rPr>
                <w:rFonts w:ascii="Georgia" w:hAnsi="Georgia"/>
              </w:rPr>
              <w:t>f</w:t>
            </w:r>
            <w:r>
              <w:rPr>
                <w:rFonts w:ascii="Georgia" w:hAnsi="Georgia"/>
              </w:rPr>
              <w:t xml:space="preserve"> option number 2 – </w:t>
            </w:r>
            <w:r w:rsidR="00836272">
              <w:rPr>
                <w:rFonts w:ascii="Georgia" w:hAnsi="Georgia"/>
              </w:rPr>
              <w:t xml:space="preserve">in addition to receiving evidence of consent, </w:t>
            </w:r>
            <w:r>
              <w:rPr>
                <w:rFonts w:ascii="Georgia" w:hAnsi="Georgia"/>
              </w:rPr>
              <w:t>the controller contacts individuals directly</w:t>
            </w:r>
            <w:r w:rsidR="00836272">
              <w:rPr>
                <w:rFonts w:ascii="Georgia" w:hAnsi="Georgia"/>
              </w:rPr>
              <w:t xml:space="preserve"> to confirm consent</w:t>
            </w:r>
            <w:r>
              <w:rPr>
                <w:rFonts w:ascii="Georgia" w:hAnsi="Georgia"/>
              </w:rPr>
              <w:t xml:space="preserve">. </w:t>
            </w:r>
          </w:p>
          <w:p w:rsidR="004E43D4" w:rsidRDefault="004E43D4" w:rsidP="00880DDC">
            <w:pPr>
              <w:pStyle w:val="ListParagraph"/>
              <w:spacing w:before="240"/>
              <w:ind w:left="0"/>
              <w:jc w:val="both"/>
              <w:rPr>
                <w:rFonts w:ascii="Georgia" w:hAnsi="Georgia"/>
              </w:rPr>
            </w:pPr>
          </w:p>
          <w:p w:rsidR="00EB433B" w:rsidRDefault="00921AD7" w:rsidP="00880DDC">
            <w:pPr>
              <w:spacing w:before="240"/>
              <w:jc w:val="both"/>
              <w:rPr>
                <w:rFonts w:ascii="Georgia" w:hAnsi="Georgia"/>
              </w:rPr>
            </w:pPr>
            <w:r>
              <w:rPr>
                <w:rFonts w:ascii="Georgia" w:hAnsi="Georgia"/>
              </w:rPr>
              <w:t xml:space="preserve">This places a higher administrative burden on the controller, but would </w:t>
            </w:r>
            <w:r w:rsidR="00D50AB7">
              <w:rPr>
                <w:rFonts w:ascii="Georgia" w:hAnsi="Georgia"/>
              </w:rPr>
              <w:t xml:space="preserve">mitigate </w:t>
            </w:r>
            <w:r w:rsidR="00063B5E">
              <w:rPr>
                <w:rFonts w:ascii="Georgia" w:hAnsi="Georgia"/>
              </w:rPr>
              <w:t>the risk</w:t>
            </w:r>
            <w:r w:rsidR="00D50AB7">
              <w:rPr>
                <w:rFonts w:ascii="Georgia" w:hAnsi="Georgia"/>
              </w:rPr>
              <w:t xml:space="preserve"> </w:t>
            </w:r>
            <w:r>
              <w:rPr>
                <w:rFonts w:ascii="Georgia" w:hAnsi="Georgia"/>
              </w:rPr>
              <w:t>that the registrant has not actually secured consent from the relevant person</w:t>
            </w:r>
            <w:r w:rsidR="00063B5E">
              <w:rPr>
                <w:rFonts w:ascii="Georgia" w:hAnsi="Georgia"/>
              </w:rPr>
              <w:t xml:space="preserve">. </w:t>
            </w:r>
          </w:p>
          <w:p w:rsidR="00EB433B" w:rsidRDefault="00EB433B" w:rsidP="00880DDC">
            <w:pPr>
              <w:spacing w:before="240"/>
              <w:jc w:val="both"/>
              <w:rPr>
                <w:rFonts w:ascii="Georgia" w:hAnsi="Georgia"/>
              </w:rPr>
            </w:pPr>
          </w:p>
          <w:p w:rsidR="004E43D4" w:rsidRPr="00063B5E" w:rsidRDefault="004E43D4" w:rsidP="00880DDC">
            <w:pPr>
              <w:spacing w:before="240"/>
              <w:jc w:val="both"/>
              <w:rPr>
                <w:rFonts w:ascii="Georgia" w:hAnsi="Georgia"/>
              </w:rPr>
            </w:pPr>
          </w:p>
        </w:tc>
      </w:tr>
      <w:tr w:rsidR="00463DB0" w:rsidRPr="00CD0BB3" w:rsidTr="00066441">
        <w:tc>
          <w:tcPr>
            <w:tcW w:w="577" w:type="dxa"/>
            <w:vAlign w:val="center"/>
          </w:tcPr>
          <w:p w:rsidR="00463DB0" w:rsidRDefault="00463DB0" w:rsidP="00066441">
            <w:pPr>
              <w:pStyle w:val="ListParagraph"/>
              <w:numPr>
                <w:ilvl w:val="0"/>
                <w:numId w:val="12"/>
              </w:numPr>
              <w:tabs>
                <w:tab w:val="left" w:pos="176"/>
              </w:tabs>
              <w:spacing w:before="240"/>
              <w:ind w:left="318"/>
              <w:rPr>
                <w:rFonts w:ascii="Georgia" w:hAnsi="Georgia"/>
              </w:rPr>
            </w:pPr>
          </w:p>
        </w:tc>
        <w:tc>
          <w:tcPr>
            <w:tcW w:w="4248" w:type="dxa"/>
            <w:vAlign w:val="center"/>
          </w:tcPr>
          <w:p w:rsidR="00E50D2D" w:rsidRPr="00E50D2D" w:rsidRDefault="000F1315" w:rsidP="00F45783">
            <w:pPr>
              <w:spacing w:before="240"/>
              <w:jc w:val="both"/>
              <w:rPr>
                <w:rFonts w:ascii="Georgia" w:hAnsi="Georgia"/>
                <w:u w:val="single"/>
              </w:rPr>
            </w:pPr>
            <w:r>
              <w:rPr>
                <w:rFonts w:ascii="Georgia" w:hAnsi="Georgia"/>
                <w:u w:val="single"/>
              </w:rPr>
              <w:t>Registrant confirms</w:t>
            </w:r>
            <w:r w:rsidR="00E50D2D" w:rsidRPr="00E50D2D">
              <w:rPr>
                <w:rFonts w:ascii="Georgia" w:hAnsi="Georgia"/>
                <w:u w:val="single"/>
              </w:rPr>
              <w:t xml:space="preserve"> they have obtained valid consent</w:t>
            </w:r>
            <w:r w:rsidR="00F05FE7">
              <w:rPr>
                <w:rFonts w:ascii="Georgia" w:hAnsi="Georgia"/>
                <w:u w:val="single"/>
              </w:rPr>
              <w:t xml:space="preserve"> </w:t>
            </w:r>
            <w:r>
              <w:rPr>
                <w:rFonts w:ascii="Georgia" w:hAnsi="Georgia"/>
                <w:u w:val="single"/>
              </w:rPr>
              <w:t xml:space="preserve">and undertakes the </w:t>
            </w:r>
            <w:r w:rsidR="00F05FE7">
              <w:rPr>
                <w:rFonts w:ascii="Georgia" w:hAnsi="Georgia"/>
                <w:u w:val="single"/>
              </w:rPr>
              <w:t xml:space="preserve">obligation to provide </w:t>
            </w:r>
            <w:r>
              <w:rPr>
                <w:rFonts w:ascii="Georgia" w:hAnsi="Georgia"/>
                <w:u w:val="single"/>
              </w:rPr>
              <w:t xml:space="preserve">a </w:t>
            </w:r>
            <w:r w:rsidR="00F05FE7">
              <w:rPr>
                <w:rFonts w:ascii="Georgia" w:hAnsi="Georgia"/>
                <w:u w:val="single"/>
              </w:rPr>
              <w:t>copy if requested</w:t>
            </w:r>
          </w:p>
          <w:p w:rsidR="00EB2641" w:rsidRDefault="00E50D2D" w:rsidP="00F45783">
            <w:pPr>
              <w:pStyle w:val="ListParagraph"/>
              <w:numPr>
                <w:ilvl w:val="0"/>
                <w:numId w:val="9"/>
              </w:numPr>
              <w:spacing w:before="240"/>
              <w:ind w:left="176" w:hanging="142"/>
              <w:jc w:val="both"/>
              <w:rPr>
                <w:rFonts w:ascii="Georgia" w:hAnsi="Georgia"/>
              </w:rPr>
            </w:pPr>
            <w:r>
              <w:rPr>
                <w:rFonts w:ascii="Georgia" w:hAnsi="Georgia"/>
              </w:rPr>
              <w:t xml:space="preserve"> </w:t>
            </w:r>
            <w:r w:rsidR="00EB2641">
              <w:rPr>
                <w:rFonts w:ascii="Georgia" w:hAnsi="Georgia"/>
              </w:rPr>
              <w:t xml:space="preserve">Making personal data public in </w:t>
            </w:r>
            <w:r w:rsidR="00825B21">
              <w:rPr>
                <w:rFonts w:ascii="Georgia" w:hAnsi="Georgia"/>
              </w:rPr>
              <w:t>RDS</w:t>
            </w:r>
            <w:r w:rsidR="00EB2641">
              <w:rPr>
                <w:rFonts w:ascii="Georgia" w:hAnsi="Georgia"/>
              </w:rPr>
              <w:t xml:space="preserve"> is </w:t>
            </w:r>
            <w:r w:rsidR="00EB2641">
              <w:rPr>
                <w:rFonts w:ascii="Georgia" w:hAnsi="Georgia"/>
              </w:rPr>
              <w:lastRenderedPageBreak/>
              <w:t xml:space="preserve">optional. </w:t>
            </w:r>
          </w:p>
          <w:p w:rsidR="000F1315" w:rsidRDefault="00EB2641" w:rsidP="00F45783">
            <w:pPr>
              <w:pStyle w:val="ListParagraph"/>
              <w:numPr>
                <w:ilvl w:val="0"/>
                <w:numId w:val="9"/>
              </w:numPr>
              <w:spacing w:before="240"/>
              <w:ind w:left="176" w:hanging="142"/>
              <w:jc w:val="both"/>
              <w:rPr>
                <w:rFonts w:ascii="Georgia" w:hAnsi="Georgia"/>
              </w:rPr>
            </w:pPr>
            <w:r>
              <w:rPr>
                <w:rFonts w:ascii="Georgia" w:hAnsi="Georgia"/>
              </w:rPr>
              <w:t xml:space="preserve">Prior to making personal data public, </w:t>
            </w:r>
            <w:r w:rsidR="00EE6F7B">
              <w:rPr>
                <w:rFonts w:ascii="Georgia" w:hAnsi="Georgia"/>
              </w:rPr>
              <w:t xml:space="preserve">the </w:t>
            </w:r>
            <w:r>
              <w:rPr>
                <w:rFonts w:ascii="Georgia" w:hAnsi="Georgia"/>
              </w:rPr>
              <w:t xml:space="preserve">controller requires </w:t>
            </w:r>
            <w:r w:rsidR="00EE6F7B">
              <w:rPr>
                <w:rFonts w:ascii="Georgia" w:hAnsi="Georgia"/>
              </w:rPr>
              <w:t xml:space="preserve">the </w:t>
            </w:r>
            <w:r w:rsidR="003965B4">
              <w:rPr>
                <w:rFonts w:ascii="Georgia" w:hAnsi="Georgia"/>
              </w:rPr>
              <w:t>registrant</w:t>
            </w:r>
            <w:r>
              <w:rPr>
                <w:rFonts w:ascii="Georgia" w:hAnsi="Georgia"/>
              </w:rPr>
              <w:t xml:space="preserve"> to</w:t>
            </w:r>
            <w:r w:rsidR="000F1315">
              <w:rPr>
                <w:rFonts w:ascii="Georgia" w:hAnsi="Georgia"/>
              </w:rPr>
              <w:t>:</w:t>
            </w:r>
          </w:p>
          <w:p w:rsidR="000F1315" w:rsidRDefault="000F1315" w:rsidP="00F45783">
            <w:pPr>
              <w:pStyle w:val="ListParagraph"/>
              <w:spacing w:before="240"/>
              <w:ind w:left="176"/>
              <w:jc w:val="both"/>
              <w:rPr>
                <w:rFonts w:ascii="Georgia" w:hAnsi="Georgia"/>
              </w:rPr>
            </w:pPr>
            <w:r>
              <w:rPr>
                <w:rFonts w:ascii="Georgia" w:hAnsi="Georgia"/>
              </w:rPr>
              <w:t>(a)</w:t>
            </w:r>
            <w:r w:rsidR="00EB2641">
              <w:rPr>
                <w:rFonts w:ascii="Georgia" w:hAnsi="Georgia"/>
              </w:rPr>
              <w:t xml:space="preserve"> obtain individual's consent using a consent method defined by the controller (for example, </w:t>
            </w:r>
            <w:r>
              <w:rPr>
                <w:rFonts w:ascii="Georgia" w:hAnsi="Georgia"/>
              </w:rPr>
              <w:t xml:space="preserve">consent </w:t>
            </w:r>
            <w:r w:rsidR="00EB2641">
              <w:rPr>
                <w:rFonts w:ascii="Georgia" w:hAnsi="Georgia"/>
              </w:rPr>
              <w:t>form with specific wording and format which meets GDPR requirements)</w:t>
            </w:r>
            <w:r>
              <w:rPr>
                <w:rFonts w:ascii="Georgia" w:hAnsi="Georgia"/>
              </w:rPr>
              <w:t>;</w:t>
            </w:r>
            <w:r w:rsidR="00EB2641">
              <w:rPr>
                <w:rFonts w:ascii="Georgia" w:hAnsi="Georgia"/>
              </w:rPr>
              <w:t xml:space="preserve"> and </w:t>
            </w:r>
          </w:p>
          <w:p w:rsidR="000F1315" w:rsidRDefault="000F1315" w:rsidP="00F45783">
            <w:pPr>
              <w:pStyle w:val="ListParagraph"/>
              <w:spacing w:before="240"/>
              <w:ind w:left="176"/>
              <w:jc w:val="both"/>
              <w:rPr>
                <w:rFonts w:ascii="Georgia" w:hAnsi="Georgia"/>
              </w:rPr>
            </w:pPr>
            <w:r>
              <w:rPr>
                <w:rFonts w:ascii="Georgia" w:hAnsi="Georgia"/>
              </w:rPr>
              <w:t xml:space="preserve">(b) </w:t>
            </w:r>
            <w:r w:rsidR="00EB2641">
              <w:rPr>
                <w:rFonts w:ascii="Georgia" w:hAnsi="Georgia"/>
              </w:rPr>
              <w:t xml:space="preserve">confirm that </w:t>
            </w:r>
            <w:r>
              <w:rPr>
                <w:rFonts w:ascii="Georgia" w:hAnsi="Georgia"/>
              </w:rPr>
              <w:t>they have</w:t>
            </w:r>
            <w:r w:rsidR="00EB2641">
              <w:rPr>
                <w:rFonts w:ascii="Georgia" w:hAnsi="Georgia"/>
              </w:rPr>
              <w:t xml:space="preserve"> done so.</w:t>
            </w:r>
          </w:p>
          <w:p w:rsidR="00EB2641" w:rsidRDefault="00EB2641" w:rsidP="00F45783">
            <w:pPr>
              <w:pStyle w:val="ListParagraph"/>
              <w:spacing w:before="240"/>
              <w:ind w:left="176"/>
              <w:jc w:val="both"/>
              <w:rPr>
                <w:rFonts w:ascii="Georgia" w:hAnsi="Georgia"/>
              </w:rPr>
            </w:pPr>
            <w:r>
              <w:rPr>
                <w:rFonts w:ascii="Georgia" w:hAnsi="Georgia"/>
              </w:rPr>
              <w:t xml:space="preserve"> </w:t>
            </w:r>
          </w:p>
          <w:p w:rsidR="00EB2641" w:rsidRDefault="000F1315" w:rsidP="00F45783">
            <w:pPr>
              <w:pStyle w:val="ListParagraph"/>
              <w:numPr>
                <w:ilvl w:val="0"/>
                <w:numId w:val="9"/>
              </w:numPr>
              <w:spacing w:before="240"/>
              <w:ind w:left="176" w:hanging="142"/>
              <w:jc w:val="both"/>
              <w:rPr>
                <w:rFonts w:ascii="Georgia" w:hAnsi="Georgia"/>
              </w:rPr>
            </w:pPr>
            <w:r>
              <w:rPr>
                <w:rFonts w:ascii="Georgia" w:hAnsi="Georgia"/>
              </w:rPr>
              <w:t>In addition, c</w:t>
            </w:r>
            <w:r w:rsidR="00EB2641">
              <w:rPr>
                <w:rFonts w:ascii="Georgia" w:hAnsi="Georgia"/>
              </w:rPr>
              <w:t xml:space="preserve">ontroller undertakes </w:t>
            </w:r>
            <w:r w:rsidR="00F45783">
              <w:rPr>
                <w:rFonts w:ascii="Georgia" w:hAnsi="Georgia"/>
              </w:rPr>
              <w:t xml:space="preserve">the </w:t>
            </w:r>
            <w:r w:rsidR="00EB2641">
              <w:rPr>
                <w:rFonts w:ascii="Georgia" w:hAnsi="Georgia"/>
              </w:rPr>
              <w:t xml:space="preserve">obligation to </w:t>
            </w:r>
            <w:r w:rsidR="00402EF0">
              <w:rPr>
                <w:rFonts w:ascii="Georgia" w:hAnsi="Georgia"/>
              </w:rPr>
              <w:t xml:space="preserve">keep copies of consent and </w:t>
            </w:r>
            <w:r w:rsidR="00EB2641">
              <w:rPr>
                <w:rFonts w:ascii="Georgia" w:hAnsi="Georgia"/>
              </w:rPr>
              <w:t xml:space="preserve">provide </w:t>
            </w:r>
            <w:r w:rsidR="00402EF0">
              <w:rPr>
                <w:rFonts w:ascii="Georgia" w:hAnsi="Georgia"/>
              </w:rPr>
              <w:t xml:space="preserve">to controller </w:t>
            </w:r>
            <w:r w:rsidR="00EB2641">
              <w:rPr>
                <w:rFonts w:ascii="Georgia" w:hAnsi="Georgia"/>
              </w:rPr>
              <w:t xml:space="preserve">if requested. </w:t>
            </w:r>
          </w:p>
          <w:p w:rsidR="00E50D2D" w:rsidRDefault="00E50D2D" w:rsidP="00F45783">
            <w:pPr>
              <w:spacing w:before="240"/>
              <w:jc w:val="both"/>
              <w:rPr>
                <w:rFonts w:ascii="Georgia" w:hAnsi="Georgia"/>
              </w:rPr>
            </w:pPr>
          </w:p>
        </w:tc>
        <w:tc>
          <w:tcPr>
            <w:tcW w:w="4735" w:type="dxa"/>
            <w:vAlign w:val="center"/>
          </w:tcPr>
          <w:p w:rsidR="00463DB0" w:rsidRDefault="00F45783" w:rsidP="00F45783">
            <w:pPr>
              <w:pStyle w:val="ListParagraph"/>
              <w:spacing w:before="240"/>
              <w:ind w:left="0"/>
              <w:jc w:val="both"/>
              <w:rPr>
                <w:rFonts w:ascii="Georgia" w:hAnsi="Georgia"/>
              </w:rPr>
            </w:pPr>
            <w:r>
              <w:rPr>
                <w:rFonts w:ascii="Georgia" w:hAnsi="Georgia"/>
              </w:rPr>
              <w:lastRenderedPageBreak/>
              <w:t>U</w:t>
            </w:r>
            <w:r w:rsidR="00402EF0">
              <w:rPr>
                <w:rFonts w:ascii="Georgia" w:hAnsi="Georgia"/>
              </w:rPr>
              <w:t>n</w:t>
            </w:r>
            <w:r>
              <w:rPr>
                <w:rFonts w:ascii="Georgia" w:hAnsi="Georgia"/>
              </w:rPr>
              <w:t>der</w:t>
            </w:r>
            <w:r w:rsidR="00402EF0">
              <w:rPr>
                <w:rFonts w:ascii="Georgia" w:hAnsi="Georgia"/>
              </w:rPr>
              <w:t xml:space="preserve"> this option, there is less control over the consent process compared to the above options and more reliance on the registrant</w:t>
            </w:r>
            <w:r w:rsidR="00C06B66">
              <w:rPr>
                <w:rFonts w:ascii="Georgia" w:hAnsi="Georgia"/>
              </w:rPr>
              <w:t xml:space="preserve"> to comply with their –contractual-</w:t>
            </w:r>
            <w:r w:rsidR="00402EF0">
              <w:rPr>
                <w:rFonts w:ascii="Georgia" w:hAnsi="Georgia"/>
              </w:rPr>
              <w:t xml:space="preserve"> obligations. </w:t>
            </w:r>
          </w:p>
          <w:p w:rsidR="003C132B" w:rsidRDefault="003C132B" w:rsidP="00F45783">
            <w:pPr>
              <w:pStyle w:val="ListParagraph"/>
              <w:spacing w:before="240"/>
              <w:ind w:left="0"/>
              <w:jc w:val="both"/>
              <w:rPr>
                <w:rFonts w:ascii="Georgia" w:hAnsi="Georgia"/>
              </w:rPr>
            </w:pPr>
          </w:p>
          <w:p w:rsidR="003C132B" w:rsidRDefault="003C132B" w:rsidP="00F45783">
            <w:pPr>
              <w:pStyle w:val="ListParagraph"/>
              <w:spacing w:before="240"/>
              <w:ind w:left="0"/>
              <w:jc w:val="both"/>
              <w:rPr>
                <w:rFonts w:ascii="Georgia" w:hAnsi="Georgia"/>
              </w:rPr>
            </w:pPr>
            <w:r>
              <w:rPr>
                <w:rFonts w:ascii="Georgia" w:hAnsi="Georgia"/>
              </w:rPr>
              <w:lastRenderedPageBreak/>
              <w:t xml:space="preserve">The obligations undertaken by the </w:t>
            </w:r>
            <w:r w:rsidR="0042529C">
              <w:rPr>
                <w:rFonts w:ascii="Georgia" w:hAnsi="Georgia"/>
              </w:rPr>
              <w:t>registrant</w:t>
            </w:r>
            <w:r>
              <w:rPr>
                <w:rFonts w:ascii="Georgia" w:hAnsi="Georgia"/>
              </w:rPr>
              <w:t xml:space="preserve"> may provide the controller with a contractual recourse </w:t>
            </w:r>
            <w:r w:rsidR="004D45A3">
              <w:rPr>
                <w:rFonts w:ascii="Georgia" w:hAnsi="Georgia"/>
              </w:rPr>
              <w:t>against the registrant. However, the cont</w:t>
            </w:r>
            <w:r w:rsidR="0042529C">
              <w:rPr>
                <w:rFonts w:ascii="Georgia" w:hAnsi="Georgia"/>
              </w:rPr>
              <w:t>roller will not be discharged from</w:t>
            </w:r>
            <w:r w:rsidR="004D45A3">
              <w:rPr>
                <w:rFonts w:ascii="Georgia" w:hAnsi="Georgia"/>
              </w:rPr>
              <w:t xml:space="preserve"> its </w:t>
            </w:r>
            <w:r w:rsidR="006C2121">
              <w:rPr>
                <w:rFonts w:ascii="Georgia" w:hAnsi="Georgia"/>
              </w:rPr>
              <w:t xml:space="preserve">obligations under the GDPR and </w:t>
            </w:r>
            <w:r w:rsidR="00836272">
              <w:rPr>
                <w:rFonts w:ascii="Georgia" w:hAnsi="Georgia"/>
              </w:rPr>
              <w:t xml:space="preserve">– </w:t>
            </w:r>
            <w:r w:rsidR="002C40C9">
              <w:rPr>
                <w:rFonts w:ascii="Georgia" w:hAnsi="Georgia"/>
              </w:rPr>
              <w:t>if</w:t>
            </w:r>
            <w:r w:rsidR="00836272">
              <w:rPr>
                <w:rFonts w:ascii="Georgia" w:hAnsi="Georgia"/>
              </w:rPr>
              <w:t xml:space="preserve"> the registrant has not met its obligations and/or does not provide a copy of the consent on request – then the controller will</w:t>
            </w:r>
            <w:r w:rsidR="002C40C9">
              <w:rPr>
                <w:rFonts w:ascii="Georgia" w:hAnsi="Georgia"/>
              </w:rPr>
              <w:t xml:space="preserve"> not</w:t>
            </w:r>
            <w:r w:rsidR="00836272">
              <w:rPr>
                <w:rFonts w:ascii="Georgia" w:hAnsi="Georgia"/>
              </w:rPr>
              <w:t xml:space="preserve"> be</w:t>
            </w:r>
            <w:r w:rsidR="002C40C9">
              <w:rPr>
                <w:rFonts w:ascii="Georgia" w:hAnsi="Georgia"/>
              </w:rPr>
              <w:t xml:space="preserve"> able </w:t>
            </w:r>
            <w:r w:rsidR="006C2121">
              <w:rPr>
                <w:rFonts w:ascii="Georgia" w:hAnsi="Georgia"/>
              </w:rPr>
              <w:t xml:space="preserve">to demonstrate </w:t>
            </w:r>
            <w:r w:rsidR="00172486">
              <w:rPr>
                <w:rFonts w:ascii="Georgia" w:hAnsi="Georgia"/>
              </w:rPr>
              <w:t>that consent requirements are met</w:t>
            </w:r>
            <w:r w:rsidR="002C40C9">
              <w:rPr>
                <w:rFonts w:ascii="Georgia" w:hAnsi="Georgia"/>
              </w:rPr>
              <w:t xml:space="preserve">, </w:t>
            </w:r>
            <w:r w:rsidR="00836272">
              <w:rPr>
                <w:rFonts w:ascii="Georgia" w:hAnsi="Georgia"/>
              </w:rPr>
              <w:t xml:space="preserve">so </w:t>
            </w:r>
            <w:r w:rsidR="002C40C9">
              <w:rPr>
                <w:rFonts w:ascii="Georgia" w:hAnsi="Georgia"/>
              </w:rPr>
              <w:t>this</w:t>
            </w:r>
            <w:r w:rsidR="00172486">
              <w:rPr>
                <w:rFonts w:ascii="Georgia" w:hAnsi="Georgia"/>
              </w:rPr>
              <w:t xml:space="preserve"> will impact on controller's </w:t>
            </w:r>
            <w:r w:rsidR="006C2121">
              <w:rPr>
                <w:rFonts w:ascii="Georgia" w:hAnsi="Georgia"/>
              </w:rPr>
              <w:t xml:space="preserve">compliance with </w:t>
            </w:r>
            <w:r w:rsidR="00172486">
              <w:rPr>
                <w:rFonts w:ascii="Georgia" w:hAnsi="Georgia"/>
              </w:rPr>
              <w:t xml:space="preserve">GDPR. </w:t>
            </w:r>
          </w:p>
          <w:p w:rsidR="004D45A3" w:rsidRDefault="004D45A3" w:rsidP="00F45783">
            <w:pPr>
              <w:pStyle w:val="ListParagraph"/>
              <w:spacing w:before="240"/>
              <w:ind w:left="0"/>
              <w:jc w:val="both"/>
              <w:rPr>
                <w:rFonts w:ascii="Georgia" w:hAnsi="Georgia"/>
              </w:rPr>
            </w:pPr>
          </w:p>
          <w:p w:rsidR="00402EF0" w:rsidRDefault="00402EF0" w:rsidP="00F45783">
            <w:pPr>
              <w:pStyle w:val="ListParagraph"/>
              <w:spacing w:before="240"/>
              <w:ind w:left="0"/>
              <w:jc w:val="both"/>
              <w:rPr>
                <w:rFonts w:ascii="Georgia" w:hAnsi="Georgia"/>
              </w:rPr>
            </w:pPr>
          </w:p>
          <w:p w:rsidR="00402EF0" w:rsidRDefault="00402EF0" w:rsidP="00F45783">
            <w:pPr>
              <w:pStyle w:val="ListParagraph"/>
              <w:spacing w:before="240"/>
              <w:ind w:left="0"/>
              <w:jc w:val="both"/>
              <w:rPr>
                <w:rFonts w:ascii="Georgia" w:hAnsi="Georgia"/>
              </w:rPr>
            </w:pPr>
          </w:p>
        </w:tc>
      </w:tr>
      <w:tr w:rsidR="00463DB0" w:rsidRPr="00CD0BB3" w:rsidTr="007C677E">
        <w:tc>
          <w:tcPr>
            <w:tcW w:w="577" w:type="dxa"/>
            <w:vAlign w:val="center"/>
          </w:tcPr>
          <w:p w:rsidR="00463DB0" w:rsidRDefault="00463DB0" w:rsidP="00066441">
            <w:pPr>
              <w:pStyle w:val="ListParagraph"/>
              <w:numPr>
                <w:ilvl w:val="0"/>
                <w:numId w:val="12"/>
              </w:numPr>
              <w:tabs>
                <w:tab w:val="left" w:pos="176"/>
              </w:tabs>
              <w:spacing w:before="240"/>
              <w:ind w:left="318"/>
              <w:rPr>
                <w:rFonts w:ascii="Georgia" w:hAnsi="Georgia"/>
              </w:rPr>
            </w:pPr>
            <w:r>
              <w:rPr>
                <w:rFonts w:ascii="Georgia" w:hAnsi="Georgia"/>
              </w:rPr>
              <w:lastRenderedPageBreak/>
              <w:t xml:space="preserve"> </w:t>
            </w:r>
          </w:p>
        </w:tc>
        <w:tc>
          <w:tcPr>
            <w:tcW w:w="4248" w:type="dxa"/>
          </w:tcPr>
          <w:p w:rsidR="00463DB0" w:rsidRPr="00E50D2D" w:rsidRDefault="00E50D2D" w:rsidP="007C677E">
            <w:pPr>
              <w:spacing w:before="240"/>
              <w:jc w:val="both"/>
              <w:rPr>
                <w:rFonts w:ascii="Georgia" w:hAnsi="Georgia"/>
                <w:u w:val="single"/>
              </w:rPr>
            </w:pPr>
            <w:r w:rsidRPr="00E50D2D">
              <w:rPr>
                <w:rFonts w:ascii="Georgia" w:hAnsi="Georgia"/>
                <w:u w:val="single"/>
              </w:rPr>
              <w:t>Regi</w:t>
            </w:r>
            <w:r w:rsidR="007C677E">
              <w:rPr>
                <w:rFonts w:ascii="Georgia" w:hAnsi="Georgia"/>
                <w:u w:val="single"/>
              </w:rPr>
              <w:t>strant undertakes</w:t>
            </w:r>
            <w:r w:rsidRPr="00E50D2D">
              <w:rPr>
                <w:rFonts w:ascii="Georgia" w:hAnsi="Georgia"/>
                <w:u w:val="single"/>
              </w:rPr>
              <w:t xml:space="preserve"> the obligation to obtain consent</w:t>
            </w:r>
          </w:p>
          <w:p w:rsidR="00463DB0" w:rsidRDefault="001F427F" w:rsidP="007C677E">
            <w:pPr>
              <w:pStyle w:val="ListParagraph"/>
              <w:numPr>
                <w:ilvl w:val="0"/>
                <w:numId w:val="9"/>
              </w:numPr>
              <w:spacing w:before="240"/>
              <w:ind w:left="318" w:hanging="218"/>
              <w:jc w:val="both"/>
              <w:rPr>
                <w:rFonts w:ascii="Georgia" w:hAnsi="Georgia"/>
              </w:rPr>
            </w:pPr>
            <w:r>
              <w:rPr>
                <w:rFonts w:ascii="Georgia" w:hAnsi="Georgia"/>
              </w:rPr>
              <w:t xml:space="preserve">Registrants are allowed to </w:t>
            </w:r>
            <w:r w:rsidR="00463DB0">
              <w:rPr>
                <w:rFonts w:ascii="Georgia" w:hAnsi="Georgia"/>
              </w:rPr>
              <w:t>provide non-personal contact details</w:t>
            </w:r>
            <w:r>
              <w:rPr>
                <w:rFonts w:ascii="Georgia" w:hAnsi="Georgia"/>
              </w:rPr>
              <w:t>; however, registration data is made public by default (irrespective of whether or not personal data is included).</w:t>
            </w:r>
          </w:p>
          <w:p w:rsidR="00463DB0" w:rsidRPr="001F427F" w:rsidRDefault="001F427F" w:rsidP="001F427F">
            <w:pPr>
              <w:pStyle w:val="ListParagraph"/>
              <w:numPr>
                <w:ilvl w:val="0"/>
                <w:numId w:val="9"/>
              </w:numPr>
              <w:spacing w:before="240"/>
              <w:ind w:left="318" w:hanging="218"/>
              <w:jc w:val="both"/>
              <w:rPr>
                <w:rFonts w:ascii="Georgia" w:hAnsi="Georgia"/>
              </w:rPr>
            </w:pPr>
            <w:r>
              <w:rPr>
                <w:rFonts w:ascii="Georgia" w:hAnsi="Georgia"/>
              </w:rPr>
              <w:t>By means of a s</w:t>
            </w:r>
            <w:r w:rsidR="00463DB0">
              <w:rPr>
                <w:rFonts w:ascii="Georgia" w:hAnsi="Georgia"/>
              </w:rPr>
              <w:t>tatement</w:t>
            </w:r>
            <w:r>
              <w:rPr>
                <w:rFonts w:ascii="Georgia" w:hAnsi="Georgia"/>
              </w:rPr>
              <w:t>, registrants undertake to ensure they have obtained individuals' consent</w:t>
            </w:r>
            <w:r w:rsidR="00463DB0">
              <w:rPr>
                <w:rFonts w:ascii="Georgia" w:hAnsi="Georgia"/>
              </w:rPr>
              <w:t xml:space="preserve"> if </w:t>
            </w:r>
            <w:r>
              <w:rPr>
                <w:rFonts w:ascii="Georgia" w:hAnsi="Georgia"/>
              </w:rPr>
              <w:t>they choose to provide personal data.</w:t>
            </w:r>
          </w:p>
        </w:tc>
        <w:tc>
          <w:tcPr>
            <w:tcW w:w="4735" w:type="dxa"/>
          </w:tcPr>
          <w:p w:rsidR="00354AD7" w:rsidRDefault="00354AD7" w:rsidP="007C677E">
            <w:pPr>
              <w:pStyle w:val="ListParagraph"/>
              <w:spacing w:before="240"/>
              <w:ind w:left="0"/>
              <w:jc w:val="both"/>
              <w:rPr>
                <w:rFonts w:ascii="Georgia" w:hAnsi="Georgia"/>
              </w:rPr>
            </w:pPr>
          </w:p>
          <w:p w:rsidR="00463DB0" w:rsidRDefault="00463DB0" w:rsidP="007C677E">
            <w:pPr>
              <w:pStyle w:val="ListParagraph"/>
              <w:spacing w:before="240"/>
              <w:ind w:left="0"/>
              <w:jc w:val="both"/>
              <w:rPr>
                <w:rFonts w:ascii="Georgia" w:hAnsi="Georgia"/>
              </w:rPr>
            </w:pPr>
            <w:r>
              <w:rPr>
                <w:rFonts w:ascii="Georgia" w:hAnsi="Georgia"/>
              </w:rPr>
              <w:t>This option is unlikely to be GDPR-compliant for a number of reasons:</w:t>
            </w:r>
          </w:p>
          <w:p w:rsidR="00463DB0" w:rsidRDefault="00463DB0" w:rsidP="007C677E">
            <w:pPr>
              <w:pStyle w:val="ListParagraph"/>
              <w:numPr>
                <w:ilvl w:val="0"/>
                <w:numId w:val="10"/>
              </w:numPr>
              <w:spacing w:before="240"/>
              <w:ind w:left="459"/>
              <w:jc w:val="both"/>
              <w:rPr>
                <w:rFonts w:ascii="Georgia" w:hAnsi="Georgia"/>
              </w:rPr>
            </w:pPr>
            <w:r>
              <w:rPr>
                <w:rFonts w:ascii="Georgia" w:hAnsi="Georgia"/>
              </w:rPr>
              <w:t xml:space="preserve">The controller has taken no action to ensure that consent has been obtained, although </w:t>
            </w:r>
            <w:r w:rsidR="00275887">
              <w:rPr>
                <w:rFonts w:ascii="Georgia" w:hAnsi="Georgia"/>
              </w:rPr>
              <w:t xml:space="preserve">the </w:t>
            </w:r>
            <w:r>
              <w:rPr>
                <w:rFonts w:ascii="Georgia" w:hAnsi="Georgia"/>
              </w:rPr>
              <w:t xml:space="preserve">obligation to obtain consent </w:t>
            </w:r>
            <w:r w:rsidR="00275887">
              <w:rPr>
                <w:rFonts w:ascii="Georgia" w:hAnsi="Georgia"/>
              </w:rPr>
              <w:t xml:space="preserve">continues to </w:t>
            </w:r>
            <w:r>
              <w:rPr>
                <w:rFonts w:ascii="Georgia" w:hAnsi="Georgia"/>
              </w:rPr>
              <w:t xml:space="preserve">rests with the controller; </w:t>
            </w:r>
          </w:p>
          <w:p w:rsidR="00463DB0" w:rsidRDefault="00463DB0" w:rsidP="007C677E">
            <w:pPr>
              <w:pStyle w:val="ListParagraph"/>
              <w:numPr>
                <w:ilvl w:val="0"/>
                <w:numId w:val="10"/>
              </w:numPr>
              <w:spacing w:before="240"/>
              <w:ind w:left="459"/>
              <w:jc w:val="both"/>
              <w:rPr>
                <w:rFonts w:ascii="Georgia" w:hAnsi="Georgia"/>
              </w:rPr>
            </w:pPr>
            <w:r>
              <w:rPr>
                <w:rFonts w:ascii="Georgia" w:hAnsi="Georgia"/>
              </w:rPr>
              <w:t xml:space="preserve">Also, the controller is not in a position to demonstrate compliance with Article 4(11) and Article 7 GDPR requirements or with </w:t>
            </w:r>
            <w:r w:rsidR="00850382">
              <w:rPr>
                <w:rFonts w:ascii="Georgia" w:hAnsi="Georgia"/>
              </w:rPr>
              <w:t>its</w:t>
            </w:r>
            <w:r>
              <w:rPr>
                <w:rFonts w:ascii="Georgia" w:hAnsi="Georgia"/>
              </w:rPr>
              <w:t xml:space="preserve"> transparency obligation. </w:t>
            </w:r>
          </w:p>
          <w:p w:rsidR="00463DB0" w:rsidRDefault="00463DB0" w:rsidP="007C677E">
            <w:pPr>
              <w:pStyle w:val="ListParagraph"/>
              <w:numPr>
                <w:ilvl w:val="0"/>
                <w:numId w:val="10"/>
              </w:numPr>
              <w:spacing w:before="240"/>
              <w:ind w:left="459"/>
              <w:jc w:val="both"/>
              <w:rPr>
                <w:rFonts w:ascii="Georgia" w:hAnsi="Georgia"/>
              </w:rPr>
            </w:pPr>
            <w:r>
              <w:rPr>
                <w:rFonts w:ascii="Georgia" w:hAnsi="Georgia"/>
              </w:rPr>
              <w:t xml:space="preserve">The controller does not hold any record of consent. </w:t>
            </w:r>
          </w:p>
          <w:p w:rsidR="00463DB0" w:rsidRDefault="0073470B" w:rsidP="0073470B">
            <w:pPr>
              <w:pStyle w:val="ListParagraph"/>
              <w:numPr>
                <w:ilvl w:val="0"/>
                <w:numId w:val="10"/>
              </w:numPr>
              <w:spacing w:before="240"/>
              <w:ind w:left="459"/>
              <w:jc w:val="both"/>
              <w:rPr>
                <w:rFonts w:ascii="Georgia" w:hAnsi="Georgia"/>
              </w:rPr>
            </w:pPr>
            <w:r>
              <w:rPr>
                <w:rFonts w:ascii="Georgia" w:hAnsi="Georgia"/>
              </w:rPr>
              <w:t>Consent will not be freely given as i</w:t>
            </w:r>
            <w:r w:rsidR="00463DB0">
              <w:rPr>
                <w:rFonts w:ascii="Georgia" w:hAnsi="Georgia"/>
              </w:rPr>
              <w:t xml:space="preserve">ndividuals are not in a position to effectively exercise their </w:t>
            </w:r>
            <w:r w:rsidR="00BE48C9">
              <w:rPr>
                <w:rFonts w:ascii="Georgia" w:hAnsi="Georgia"/>
              </w:rPr>
              <w:t xml:space="preserve">–unconditional- </w:t>
            </w:r>
            <w:r w:rsidR="00463DB0">
              <w:rPr>
                <w:rFonts w:ascii="Georgia" w:hAnsi="Georgia"/>
              </w:rPr>
              <w:t>right to withdraw consent: s</w:t>
            </w:r>
            <w:r>
              <w:rPr>
                <w:rFonts w:ascii="Georgia" w:hAnsi="Georgia"/>
              </w:rPr>
              <w:t>ince</w:t>
            </w:r>
            <w:r w:rsidR="00463DB0">
              <w:rPr>
                <w:rFonts w:ascii="Georgia" w:hAnsi="Georgia"/>
              </w:rPr>
              <w:t xml:space="preserve"> the publication of contact details is mandatory, withdrawing consent will be subject to the registrant providing alternative contact details. </w:t>
            </w:r>
          </w:p>
          <w:p w:rsidR="00354AD7" w:rsidRPr="00CD0BB3" w:rsidRDefault="00354AD7" w:rsidP="00354AD7">
            <w:pPr>
              <w:pStyle w:val="ListParagraph"/>
              <w:spacing w:before="240"/>
              <w:ind w:left="459"/>
              <w:jc w:val="both"/>
              <w:rPr>
                <w:rFonts w:ascii="Georgia" w:hAnsi="Georgia"/>
              </w:rPr>
            </w:pPr>
          </w:p>
        </w:tc>
      </w:tr>
    </w:tbl>
    <w:p w:rsidR="00111D8C" w:rsidRPr="009C1932" w:rsidRDefault="00111D8C" w:rsidP="002622F7">
      <w:pPr>
        <w:jc w:val="both"/>
        <w:rPr>
          <w:rFonts w:ascii="Georgia" w:hAnsi="Georgia"/>
        </w:rPr>
      </w:pPr>
    </w:p>
    <w:sectPr w:rsidR="00111D8C" w:rsidRPr="009C1932" w:rsidSect="00AD0D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A44" w:rsidRDefault="00C05A44" w:rsidP="00D32140">
      <w:pPr>
        <w:spacing w:after="0" w:line="240" w:lineRule="auto"/>
      </w:pPr>
      <w:r>
        <w:separator/>
      </w:r>
    </w:p>
  </w:endnote>
  <w:endnote w:type="continuationSeparator" w:id="0">
    <w:p w:rsidR="00C05A44" w:rsidRDefault="00C05A44" w:rsidP="00D3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79" w:rsidRDefault="00571179">
    <w:pPr>
      <w:pStyle w:val="Footer"/>
    </w:pPr>
  </w:p>
  <w:p w:rsidR="00571179" w:rsidRDefault="00571179" w:rsidP="00571179">
    <w:pPr>
      <w:pStyle w:val="Footer"/>
      <w:spacing w:before="120"/>
      <w:jc w:val="right"/>
    </w:pPr>
    <w:r w:rsidRPr="00571179">
      <w:rPr>
        <w:sz w:val="16"/>
      </w:rPr>
      <w:fldChar w:fldCharType="begin"/>
    </w:r>
    <w:r w:rsidRPr="00571179">
      <w:rPr>
        <w:sz w:val="16"/>
      </w:rPr>
      <w:instrText xml:space="preserve"> DOCPROPERTY BBDocRef \* MERGEFORMAT </w:instrText>
    </w:r>
    <w:r w:rsidRPr="00571179">
      <w:rPr>
        <w:sz w:val="16"/>
      </w:rPr>
      <w:fldChar w:fldCharType="separate"/>
    </w:r>
    <w:r w:rsidR="00C03A08">
      <w:rPr>
        <w:sz w:val="16"/>
      </w:rPr>
      <w:t>Admin\44348867.2</w:t>
    </w:r>
    <w:r w:rsidRPr="00571179">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100896"/>
      <w:docPartObj>
        <w:docPartGallery w:val="Page Numbers (Bottom of Page)"/>
        <w:docPartUnique/>
      </w:docPartObj>
    </w:sdtPr>
    <w:sdtEndPr>
      <w:rPr>
        <w:noProof/>
      </w:rPr>
    </w:sdtEndPr>
    <w:sdtContent>
      <w:p w:rsidR="00F852C4" w:rsidRDefault="00F852C4">
        <w:pPr>
          <w:pStyle w:val="Footer"/>
          <w:jc w:val="center"/>
        </w:pPr>
        <w:r>
          <w:fldChar w:fldCharType="begin"/>
        </w:r>
        <w:r>
          <w:instrText xml:space="preserve"> PAGE   \* MERGEFORMAT </w:instrText>
        </w:r>
        <w:r>
          <w:fldChar w:fldCharType="separate"/>
        </w:r>
        <w:r w:rsidR="00C03A08">
          <w:rPr>
            <w:noProof/>
          </w:rPr>
          <w:t>2</w:t>
        </w:r>
        <w:r>
          <w:rPr>
            <w:noProof/>
          </w:rPr>
          <w:fldChar w:fldCharType="end"/>
        </w:r>
      </w:p>
    </w:sdtContent>
  </w:sdt>
  <w:p w:rsidR="00571179" w:rsidRDefault="00571179" w:rsidP="00571179">
    <w:pPr>
      <w:pStyle w:val="Footer"/>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74D" w:rsidRDefault="0065674D">
    <w:pPr>
      <w:pStyle w:val="Footer"/>
      <w:jc w:val="center"/>
    </w:pPr>
    <w:bookmarkStart w:id="11" w:name="bmkFooterLogo"/>
    <w:r>
      <w:rPr>
        <w:noProof/>
        <w:lang w:eastAsia="en-GB"/>
      </w:rPr>
      <w:drawing>
        <wp:inline distT="0" distB="0" distL="0" distR="0" wp14:anchorId="1E5D2F4B" wp14:editId="77EC1B40">
          <wp:extent cx="5731510" cy="708660"/>
          <wp:effectExtent l="0" t="0" r="254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708660"/>
                  </a:xfrm>
                  <a:prstGeom prst="rect">
                    <a:avLst/>
                  </a:prstGeom>
                </pic:spPr>
              </pic:pic>
            </a:graphicData>
          </a:graphic>
        </wp:inline>
      </w:drawing>
    </w:r>
    <w:bookmarkEnd w:id="11"/>
    <w:sdt>
      <w:sdtPr>
        <w:id w:val="-6713361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3A08">
          <w:rPr>
            <w:noProof/>
          </w:rPr>
          <w:t>1</w:t>
        </w:r>
        <w:r>
          <w:rPr>
            <w:noProof/>
          </w:rPr>
          <w:fldChar w:fldCharType="end"/>
        </w:r>
      </w:sdtContent>
    </w:sdt>
  </w:p>
  <w:p w:rsidR="000C2181" w:rsidRDefault="000C2181">
    <w:pPr>
      <w:pStyle w:val="Footer"/>
    </w:pPr>
  </w:p>
  <w:p w:rsidR="00571179" w:rsidRDefault="00571179" w:rsidP="00571179">
    <w:pPr>
      <w:pStyle w:val="Footer"/>
      <w:spacing w:before="120"/>
      <w:jc w:val="right"/>
    </w:pPr>
    <w:r w:rsidRPr="00571179">
      <w:rPr>
        <w:sz w:val="16"/>
      </w:rPr>
      <w:fldChar w:fldCharType="begin"/>
    </w:r>
    <w:r w:rsidRPr="00571179">
      <w:rPr>
        <w:sz w:val="16"/>
      </w:rPr>
      <w:instrText xml:space="preserve"> DOCPROPERTY BBDocRef \* MERGEFORMAT </w:instrText>
    </w:r>
    <w:r w:rsidRPr="00571179">
      <w:rPr>
        <w:sz w:val="16"/>
      </w:rPr>
      <w:fldChar w:fldCharType="separate"/>
    </w:r>
    <w:r w:rsidR="00C03A08">
      <w:rPr>
        <w:sz w:val="16"/>
      </w:rPr>
      <w:t>Admin\44348867.2</w:t>
    </w:r>
    <w:r w:rsidRPr="0057117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A44" w:rsidRDefault="00C05A44" w:rsidP="00D32140">
      <w:pPr>
        <w:spacing w:after="0" w:line="240" w:lineRule="auto"/>
      </w:pPr>
      <w:r>
        <w:separator/>
      </w:r>
    </w:p>
  </w:footnote>
  <w:footnote w:type="continuationSeparator" w:id="0">
    <w:p w:rsidR="00C05A44" w:rsidRDefault="00C05A44" w:rsidP="00D32140">
      <w:pPr>
        <w:spacing w:after="0" w:line="240" w:lineRule="auto"/>
      </w:pPr>
      <w:r>
        <w:continuationSeparator/>
      </w:r>
    </w:p>
  </w:footnote>
  <w:footnote w:id="1">
    <w:p w:rsidR="00D60F2D" w:rsidRDefault="00D60F2D">
      <w:pPr>
        <w:pStyle w:val="FootnoteText"/>
      </w:pPr>
      <w:r>
        <w:rPr>
          <w:rStyle w:val="FootnoteReference"/>
        </w:rPr>
        <w:footnoteRef/>
      </w:r>
      <w:r>
        <w:t xml:space="preserve"> </w:t>
      </w:r>
      <w:r w:rsidRPr="00D60F2D">
        <w:rPr>
          <w:rFonts w:ascii="Georgia" w:hAnsi="Georgia"/>
          <w:sz w:val="18"/>
          <w:szCs w:val="18"/>
        </w:rPr>
        <w:t>Available here:</w:t>
      </w:r>
      <w:r>
        <w:t xml:space="preserve"> </w:t>
      </w:r>
      <w:hyperlink r:id="rId1" w:history="1">
        <w:r w:rsidRPr="00D60F2D">
          <w:rPr>
            <w:rStyle w:val="Hyperlink"/>
            <w:rFonts w:ascii="Georgia" w:hAnsi="Georgia"/>
            <w:sz w:val="18"/>
            <w:szCs w:val="18"/>
          </w:rPr>
          <w:t>https://teamarin.net/2018/03/20/personal-data-privacy-considerations-at-arin/</w:t>
        </w:r>
      </w:hyperlink>
      <w:r>
        <w:t xml:space="preserve"> </w:t>
      </w:r>
    </w:p>
  </w:footnote>
  <w:footnote w:id="2">
    <w:p w:rsidR="000C2181" w:rsidRDefault="000C2181" w:rsidP="000C2181">
      <w:pPr>
        <w:pStyle w:val="FootnoteText"/>
        <w:jc w:val="both"/>
      </w:pPr>
      <w:r>
        <w:rPr>
          <w:rStyle w:val="FootnoteReference"/>
        </w:rPr>
        <w:footnoteRef/>
      </w:r>
      <w:r>
        <w:t xml:space="preserve"> </w:t>
      </w:r>
      <w:r w:rsidR="00281677" w:rsidRPr="00FF1BB0">
        <w:rPr>
          <w:rFonts w:ascii="Georgia" w:hAnsi="Georgia"/>
          <w:sz w:val="18"/>
          <w:szCs w:val="18"/>
        </w:rPr>
        <w:t xml:space="preserve">Letter from Andrea Jelinek to Goran Marby in reply to his 10 May 2018 letter, available here: </w:t>
      </w:r>
      <w:hyperlink r:id="rId2" w:history="1">
        <w:r w:rsidR="00281677" w:rsidRPr="00FF1BB0">
          <w:rPr>
            <w:rStyle w:val="Hyperlink"/>
            <w:rFonts w:ascii="Georgia" w:hAnsi="Georgia"/>
            <w:sz w:val="18"/>
            <w:szCs w:val="18"/>
          </w:rPr>
          <w:t>https://www.icann.org/en/system/files/correspondence/jelinek-to-marby-05jul18-en.pdf</w:t>
        </w:r>
      </w:hyperlink>
      <w:r w:rsidR="00A716FE" w:rsidRPr="00A716FE">
        <w:rPr>
          <w:rFonts w:ascii="Georgia" w:hAnsi="Georgia"/>
          <w:sz w:val="18"/>
          <w:szCs w:val="18"/>
        </w:rPr>
        <w:t>.</w:t>
      </w:r>
    </w:p>
  </w:footnote>
  <w:footnote w:id="3">
    <w:p w:rsidR="00FF1BB0" w:rsidRDefault="00FF1BB0">
      <w:pPr>
        <w:pStyle w:val="FootnoteText"/>
      </w:pPr>
      <w:r>
        <w:rPr>
          <w:rStyle w:val="FootnoteReference"/>
        </w:rPr>
        <w:footnoteRef/>
      </w:r>
      <w:r>
        <w:t xml:space="preserve"> </w:t>
      </w:r>
      <w:r w:rsidRPr="00341620">
        <w:rPr>
          <w:rFonts w:ascii="Georgia" w:hAnsi="Georgia"/>
          <w:sz w:val="18"/>
          <w:szCs w:val="18"/>
        </w:rPr>
        <w:t>Recital 42 GDPR and Article 29 Working Party Guidelines on consent under Regulation 2016/679 as last revised and adopted on 10 April 2018</w:t>
      </w:r>
      <w:r w:rsidR="00703DB0">
        <w:rPr>
          <w:rFonts w:ascii="Georgia" w:hAnsi="Georgia"/>
          <w:sz w:val="18"/>
          <w:szCs w:val="18"/>
        </w:rPr>
        <w:t xml:space="preserve"> and endorsed by EDPB on 25 May 2018 ("</w:t>
      </w:r>
      <w:r w:rsidR="00703DB0" w:rsidRPr="00703DB0">
        <w:rPr>
          <w:rFonts w:ascii="Georgia" w:hAnsi="Georgia"/>
          <w:b/>
          <w:sz w:val="18"/>
          <w:szCs w:val="18"/>
        </w:rPr>
        <w:t>EDPB consent guidelines</w:t>
      </w:r>
      <w:r w:rsidR="00703DB0">
        <w:rPr>
          <w:rFonts w:ascii="Georgia" w:hAnsi="Georgia"/>
          <w:sz w:val="18"/>
          <w:szCs w:val="18"/>
        </w:rPr>
        <w:t>")</w:t>
      </w:r>
      <w:r w:rsidRPr="00341620">
        <w:rPr>
          <w:rFonts w:ascii="Georgia" w:hAnsi="Georgia"/>
          <w:sz w:val="18"/>
          <w:szCs w:val="18"/>
        </w:rPr>
        <w:t>.</w:t>
      </w:r>
    </w:p>
  </w:footnote>
  <w:footnote w:id="4">
    <w:p w:rsidR="0064422E" w:rsidRDefault="00FF1BB0">
      <w:pPr>
        <w:pStyle w:val="FootnoteText"/>
        <w:rPr>
          <w:rFonts w:ascii="Georgia" w:hAnsi="Georgia"/>
          <w:sz w:val="18"/>
          <w:szCs w:val="18"/>
        </w:rPr>
      </w:pPr>
      <w:r>
        <w:rPr>
          <w:rStyle w:val="FootnoteReference"/>
        </w:rPr>
        <w:footnoteRef/>
      </w:r>
      <w:r>
        <w:t xml:space="preserve"> </w:t>
      </w:r>
      <w:r w:rsidR="003A2BC3" w:rsidRPr="0064422E">
        <w:rPr>
          <w:rFonts w:ascii="Georgia" w:hAnsi="Georgia"/>
          <w:sz w:val="18"/>
          <w:szCs w:val="18"/>
        </w:rPr>
        <w:t xml:space="preserve">EDPB consent guidelines (page 7) and </w:t>
      </w:r>
      <w:r w:rsidR="0064422E" w:rsidRPr="0064422E">
        <w:rPr>
          <w:rFonts w:ascii="Georgia" w:hAnsi="Georgia"/>
          <w:sz w:val="18"/>
          <w:szCs w:val="18"/>
        </w:rPr>
        <w:t xml:space="preserve">ICO's guidance on consent (available here: </w:t>
      </w:r>
    </w:p>
    <w:p w:rsidR="00FF1BB0" w:rsidRDefault="00C05A44">
      <w:pPr>
        <w:pStyle w:val="FootnoteText"/>
      </w:pPr>
      <w:hyperlink r:id="rId3" w:history="1">
        <w:r w:rsidR="0064422E" w:rsidRPr="0064422E">
          <w:rPr>
            <w:rStyle w:val="Hyperlink"/>
            <w:rFonts w:ascii="Georgia" w:hAnsi="Georgia"/>
            <w:sz w:val="18"/>
            <w:szCs w:val="18"/>
          </w:rPr>
          <w:t>https://ico.org.uk/for-organisations/guide-to-data-protection/guide-to-the-general-data-protection-regulation-gdpr/consent/</w:t>
        </w:r>
      </w:hyperlink>
      <w:r w:rsidR="0064422E" w:rsidRPr="0064422E">
        <w:rPr>
          <w:rFonts w:ascii="Georgia" w:hAnsi="Georgia"/>
          <w:sz w:val="18"/>
          <w:szCs w:val="18"/>
        </w:rPr>
        <w:t>)</w:t>
      </w:r>
      <w:r w:rsidR="0064422E">
        <w:t xml:space="preserve"> </w:t>
      </w:r>
    </w:p>
  </w:footnote>
  <w:footnote w:id="5">
    <w:p w:rsidR="00DE5510" w:rsidRPr="00DE5510" w:rsidRDefault="00DE5510">
      <w:pPr>
        <w:pStyle w:val="FootnoteText"/>
        <w:rPr>
          <w:rFonts w:ascii="Georgia" w:hAnsi="Georgia"/>
          <w:sz w:val="18"/>
          <w:szCs w:val="18"/>
        </w:rPr>
      </w:pPr>
      <w:r w:rsidRPr="00DE5510">
        <w:rPr>
          <w:rStyle w:val="FootnoteReference"/>
          <w:rFonts w:ascii="Georgia" w:hAnsi="Georgia"/>
          <w:sz w:val="18"/>
          <w:szCs w:val="18"/>
        </w:rPr>
        <w:footnoteRef/>
      </w:r>
      <w:r w:rsidRPr="00DE5510">
        <w:rPr>
          <w:rFonts w:ascii="Georgia" w:hAnsi="Georgia"/>
          <w:sz w:val="18"/>
          <w:szCs w:val="18"/>
        </w:rPr>
        <w:t xml:space="preserve"> </w:t>
      </w:r>
      <w:hyperlink r:id="rId4" w:history="1">
        <w:r w:rsidRPr="00DE5510">
          <w:rPr>
            <w:rStyle w:val="Hyperlink"/>
            <w:rFonts w:ascii="Georgia" w:hAnsi="Georgia"/>
            <w:sz w:val="18"/>
            <w:szCs w:val="18"/>
          </w:rPr>
          <w:t>https://www.cnil.fr/fr/conformite-rgpd-comment-recueillir-le-consentement-des-personnes</w:t>
        </w:r>
      </w:hyperlink>
      <w:r w:rsidRPr="00DE5510">
        <w:rPr>
          <w:rFonts w:ascii="Georgia" w:hAnsi="Georgia"/>
          <w:sz w:val="18"/>
          <w:szCs w:val="18"/>
        </w:rPr>
        <w:t xml:space="preserve"> </w:t>
      </w:r>
    </w:p>
  </w:footnote>
  <w:footnote w:id="6">
    <w:p w:rsidR="0062508D" w:rsidRPr="00B10E57" w:rsidRDefault="0062508D" w:rsidP="00B10E57">
      <w:pPr>
        <w:pStyle w:val="FootnoteText"/>
        <w:jc w:val="both"/>
        <w:rPr>
          <w:rFonts w:ascii="Georgia" w:hAnsi="Georgia"/>
          <w:sz w:val="18"/>
          <w:szCs w:val="18"/>
        </w:rPr>
      </w:pPr>
      <w:r w:rsidRPr="00B10E57">
        <w:rPr>
          <w:rStyle w:val="FootnoteReference"/>
          <w:rFonts w:ascii="Georgia" w:hAnsi="Georgia"/>
          <w:sz w:val="18"/>
          <w:szCs w:val="18"/>
        </w:rPr>
        <w:footnoteRef/>
      </w:r>
      <w:r w:rsidRPr="00B10E57">
        <w:rPr>
          <w:rFonts w:ascii="Georgia" w:hAnsi="Georgia"/>
          <w:sz w:val="18"/>
          <w:szCs w:val="18"/>
        </w:rPr>
        <w:t xml:space="preserve"> For example, the </w:t>
      </w:r>
      <w:hyperlink r:id="rId5" w:history="1">
        <w:r w:rsidRPr="00B10E57">
          <w:rPr>
            <w:rStyle w:val="Hyperlink"/>
            <w:rFonts w:ascii="Georgia" w:hAnsi="Georgia"/>
            <w:sz w:val="18"/>
            <w:szCs w:val="18"/>
          </w:rPr>
          <w:t>Belgian Data Protection Authority</w:t>
        </w:r>
      </w:hyperlink>
      <w:r w:rsidRPr="00B10E57">
        <w:rPr>
          <w:rFonts w:ascii="Georgia" w:hAnsi="Georgia"/>
          <w:sz w:val="18"/>
          <w:szCs w:val="18"/>
        </w:rPr>
        <w:t xml:space="preserve"> confirms that for consent to be valid the controller </w:t>
      </w:r>
      <w:r w:rsidR="00D76152">
        <w:rPr>
          <w:rFonts w:ascii="Georgia" w:hAnsi="Georgia"/>
          <w:sz w:val="18"/>
          <w:szCs w:val="18"/>
        </w:rPr>
        <w:t xml:space="preserve">itself </w:t>
      </w:r>
      <w:r w:rsidRPr="00B10E57">
        <w:rPr>
          <w:rFonts w:ascii="Georgia" w:hAnsi="Georgia"/>
          <w:sz w:val="18"/>
          <w:szCs w:val="18"/>
        </w:rPr>
        <w:t xml:space="preserve">must record consent, including the information </w:t>
      </w:r>
      <w:r w:rsidR="00B10E57" w:rsidRPr="00B10E57">
        <w:rPr>
          <w:rFonts w:ascii="Georgia" w:hAnsi="Georgia"/>
          <w:sz w:val="18"/>
          <w:szCs w:val="18"/>
        </w:rPr>
        <w:t>on which such consent was based. The ICO's consent guidance also examines this point and mentions that controllers must have an effective audit trail of how and when consent is given and should be able to provide evidence if challenged. Pursuant to the ICO, records of consent must demonstrate the following: who consented, when they consented, what they were told at the time, how they consented and whether they have withdrawn consent.</w:t>
      </w:r>
      <w:r w:rsidRPr="00B10E57">
        <w:rPr>
          <w:rFonts w:ascii="Georgia" w:hAnsi="Georgi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179" w:rsidRDefault="00571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8CF" w:rsidRDefault="007868CF">
    <w:pPr>
      <w:pStyle w:val="Header"/>
    </w:pPr>
  </w:p>
  <w:p w:rsidR="007868CF" w:rsidRDefault="007868CF">
    <w:pPr>
      <w:pStyle w:val="Header"/>
    </w:pPr>
    <w:r>
      <w:rPr>
        <w:noProof/>
        <w:lang w:eastAsia="en-GB"/>
      </w:rPr>
      <w:drawing>
        <wp:inline distT="0" distB="0" distL="0" distR="0" wp14:anchorId="38E5DA7A" wp14:editId="64FB5D4C">
          <wp:extent cx="1242204" cy="224287"/>
          <wp:effectExtent l="0" t="0" r="0" b="4445"/>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8988" cy="2237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5" w:type="dxa"/>
      <w:tblInd w:w="-851" w:type="dxa"/>
      <w:tblLook w:val="04A0" w:firstRow="1" w:lastRow="0" w:firstColumn="1" w:lastColumn="0" w:noHBand="0" w:noVBand="1"/>
    </w:tblPr>
    <w:tblGrid>
      <w:gridCol w:w="8472"/>
      <w:gridCol w:w="2693"/>
    </w:tblGrid>
    <w:tr w:rsidR="007868CF" w:rsidTr="007868CF">
      <w:tc>
        <w:tcPr>
          <w:tcW w:w="8472" w:type="dxa"/>
        </w:tcPr>
        <w:p w:rsidR="007868CF" w:rsidRPr="008F63DB" w:rsidRDefault="007868CF" w:rsidP="007868CF">
          <w:pPr>
            <w:pStyle w:val="Header"/>
            <w:tabs>
              <w:tab w:val="clear" w:pos="4513"/>
              <w:tab w:val="clear" w:pos="9026"/>
              <w:tab w:val="left" w:pos="2552"/>
            </w:tabs>
            <w:ind w:right="-3335"/>
          </w:pPr>
        </w:p>
      </w:tc>
      <w:tc>
        <w:tcPr>
          <w:tcW w:w="2693" w:type="dxa"/>
        </w:tcPr>
        <w:p w:rsidR="007868CF" w:rsidRDefault="007868CF" w:rsidP="007868CF">
          <w:pPr>
            <w:pStyle w:val="Header"/>
            <w:tabs>
              <w:tab w:val="clear" w:pos="4513"/>
              <w:tab w:val="clear" w:pos="9026"/>
            </w:tabs>
            <w:ind w:right="-1136"/>
            <w:jc w:val="right"/>
          </w:pPr>
          <w:r>
            <w:rPr>
              <w:noProof/>
              <w:lang w:eastAsia="en-GB"/>
            </w:rPr>
            <mc:AlternateContent>
              <mc:Choice Requires="wps">
                <w:drawing>
                  <wp:anchor distT="0" distB="0" distL="114300" distR="114300" simplePos="0" relativeHeight="251659264" behindDoc="1" locked="0" layoutInCell="1" allowOverlap="1" wp14:anchorId="1A372ACB" wp14:editId="51715CBA">
                    <wp:simplePos x="0" y="0"/>
                    <wp:positionH relativeFrom="column">
                      <wp:posOffset>-73025</wp:posOffset>
                    </wp:positionH>
                    <wp:positionV relativeFrom="paragraph">
                      <wp:posOffset>-21590</wp:posOffset>
                    </wp:positionV>
                    <wp:extent cx="1707515" cy="1466215"/>
                    <wp:effectExtent l="0" t="0" r="698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66215"/>
                            </a:xfrm>
                            <a:prstGeom prst="rect">
                              <a:avLst/>
                            </a:prstGeom>
                            <a:solidFill>
                              <a:srgbClr val="FFFFFF"/>
                            </a:solidFill>
                            <a:ln w="9525">
                              <a:noFill/>
                              <a:miter lim="800000"/>
                              <a:headEnd/>
                              <a:tailEnd/>
                            </a:ln>
                          </wps:spPr>
                          <wps:txbx>
                            <w:txbxContent>
                              <w:p w:rsidR="007868CF" w:rsidRDefault="007868CF" w:rsidP="007868CF">
                                <w:bookmarkStart w:id="8" w:name="bmkOfficeAddress"/>
                                <w:r>
                                  <w:rPr>
                                    <w:noProof/>
                                    <w:lang w:eastAsia="en-GB"/>
                                  </w:rPr>
                                  <w:drawing>
                                    <wp:inline distT="0" distB="0" distL="0" distR="0" wp14:anchorId="75345E6E" wp14:editId="75179BA4">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5745" cy="1264285"/>
                                              </a:xfrm>
                                              <a:prstGeom prst="rect">
                                                <a:avLst/>
                                              </a:prstGeom>
                                            </pic:spPr>
                                          </pic:pic>
                                        </a:graphicData>
                                      </a:graphic>
                                    </wp:inline>
                                  </w:drawing>
                                </w:r>
                                <w:bookmarkEnd w:id="8"/>
                              </w:p>
                              <w:p w:rsidR="00BE2414" w:rsidRDefault="00BE2414" w:rsidP="00786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72ACB" id="_x0000_t202" coordsize="21600,21600" o:spt="202" path="m,l,21600r21600,l21600,xe">
                    <v:stroke joinstyle="miter"/>
                    <v:path gradientshapeok="t" o:connecttype="rect"/>
                  </v:shapetype>
                  <v:shape id="Text Box 2" o:spid="_x0000_s1026" type="#_x0000_t202" style="position:absolute;left:0;text-align:left;margin-left:-5.75pt;margin-top:-1.7pt;width:134.45pt;height:1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" stroked="f">
                    <v:textbox>
                      <w:txbxContent>
                        <w:p w:rsidR="007868CF" w:rsidRDefault="007868CF" w:rsidP="007868CF">
                          <w:bookmarkStart w:id="9" w:name="bmkOfficeAddress"/>
                          <w:r>
                            <w:rPr>
                              <w:noProof/>
                              <w:lang w:eastAsia="en-GB"/>
                            </w:rPr>
                            <w:drawing>
                              <wp:inline distT="0" distB="0" distL="0" distR="0" wp14:anchorId="75345E6E" wp14:editId="75179BA4">
                                <wp:extent cx="1515745" cy="126428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5745" cy="1264285"/>
                                        </a:xfrm>
                                        <a:prstGeom prst="rect">
                                          <a:avLst/>
                                        </a:prstGeom>
                                      </pic:spPr>
                                    </pic:pic>
                                  </a:graphicData>
                                </a:graphic>
                              </wp:inline>
                            </w:drawing>
                          </w:r>
                          <w:bookmarkEnd w:id="9"/>
                        </w:p>
                        <w:p w:rsidR="00BE2414" w:rsidRDefault="00BE2414" w:rsidP="007868CF"/>
                      </w:txbxContent>
                    </v:textbox>
                  </v:shape>
                </w:pict>
              </mc:Fallback>
            </mc:AlternateContent>
          </w:r>
        </w:p>
      </w:tc>
    </w:tr>
  </w:tbl>
  <w:p w:rsidR="007868CF" w:rsidRDefault="007868CF" w:rsidP="00BE2414">
    <w:pPr>
      <w:pStyle w:val="Header"/>
    </w:pPr>
  </w:p>
  <w:p w:rsidR="00BE2414" w:rsidRDefault="00BE2414" w:rsidP="00BE2414">
    <w:pPr>
      <w:pStyle w:val="Header"/>
    </w:pPr>
  </w:p>
  <w:p w:rsidR="00BE2414" w:rsidRPr="007868CF" w:rsidRDefault="00BE2414" w:rsidP="00BE2414">
    <w:pPr>
      <w:pStyle w:val="Header"/>
    </w:pPr>
    <w:bookmarkStart w:id="10" w:name="bmkLogo"/>
    <w:r>
      <w:rPr>
        <w:noProof/>
        <w:lang w:eastAsia="en-GB"/>
      </w:rPr>
      <w:drawing>
        <wp:inline distT="0" distB="0" distL="0" distR="0" wp14:anchorId="04FF2124" wp14:editId="4AA72630">
          <wp:extent cx="1505715" cy="265177"/>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5715" cy="265177"/>
                  </a:xfrm>
                  <a:prstGeom prst="rect">
                    <a:avLst/>
                  </a:prstGeom>
                </pic:spPr>
              </pic:pic>
            </a:graphicData>
          </a:graphic>
        </wp:inline>
      </w:drawing>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083"/>
    <w:multiLevelType w:val="hybridMultilevel"/>
    <w:tmpl w:val="B844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37079"/>
    <w:multiLevelType w:val="multilevel"/>
    <w:tmpl w:val="2B8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6149D"/>
    <w:multiLevelType w:val="multilevel"/>
    <w:tmpl w:val="EFD2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A2E82"/>
    <w:multiLevelType w:val="hybridMultilevel"/>
    <w:tmpl w:val="F6A0E4E6"/>
    <w:lvl w:ilvl="0" w:tplc="DFA8C6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FD5147"/>
    <w:multiLevelType w:val="multilevel"/>
    <w:tmpl w:val="914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B3F50"/>
    <w:multiLevelType w:val="multilevel"/>
    <w:tmpl w:val="4612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337ED"/>
    <w:multiLevelType w:val="hybridMultilevel"/>
    <w:tmpl w:val="4E465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051CA"/>
    <w:multiLevelType w:val="hybridMultilevel"/>
    <w:tmpl w:val="147E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D0A"/>
    <w:multiLevelType w:val="multilevel"/>
    <w:tmpl w:val="6D4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D5003"/>
    <w:multiLevelType w:val="multilevel"/>
    <w:tmpl w:val="AB5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974B6"/>
    <w:multiLevelType w:val="hybridMultilevel"/>
    <w:tmpl w:val="6A3A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B16809"/>
    <w:multiLevelType w:val="hybridMultilevel"/>
    <w:tmpl w:val="02FAA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DA20B1"/>
    <w:multiLevelType w:val="hybridMultilevel"/>
    <w:tmpl w:val="E120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D1BC7"/>
    <w:multiLevelType w:val="hybridMultilevel"/>
    <w:tmpl w:val="B8E2622C"/>
    <w:lvl w:ilvl="0" w:tplc="B114EDF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95909"/>
    <w:multiLevelType w:val="hybridMultilevel"/>
    <w:tmpl w:val="D8748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2B121F"/>
    <w:multiLevelType w:val="multilevel"/>
    <w:tmpl w:val="B034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160E6"/>
    <w:multiLevelType w:val="hybridMultilevel"/>
    <w:tmpl w:val="E01E6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04E87"/>
    <w:multiLevelType w:val="hybridMultilevel"/>
    <w:tmpl w:val="9FAC16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5A5640"/>
    <w:multiLevelType w:val="hybridMultilevel"/>
    <w:tmpl w:val="1DAED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880C79"/>
    <w:multiLevelType w:val="hybridMultilevel"/>
    <w:tmpl w:val="6688C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FA0D25"/>
    <w:multiLevelType w:val="hybridMultilevel"/>
    <w:tmpl w:val="F92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1"/>
  </w:num>
  <w:num w:numId="4">
    <w:abstractNumId w:val="1"/>
  </w:num>
  <w:num w:numId="5">
    <w:abstractNumId w:val="8"/>
  </w:num>
  <w:num w:numId="6">
    <w:abstractNumId w:val="9"/>
  </w:num>
  <w:num w:numId="7">
    <w:abstractNumId w:val="5"/>
  </w:num>
  <w:num w:numId="8">
    <w:abstractNumId w:val="2"/>
  </w:num>
  <w:num w:numId="9">
    <w:abstractNumId w:val="0"/>
  </w:num>
  <w:num w:numId="10">
    <w:abstractNumId w:val="12"/>
  </w:num>
  <w:num w:numId="11">
    <w:abstractNumId w:val="20"/>
  </w:num>
  <w:num w:numId="12">
    <w:abstractNumId w:val="13"/>
  </w:num>
  <w:num w:numId="13">
    <w:abstractNumId w:val="14"/>
  </w:num>
  <w:num w:numId="14">
    <w:abstractNumId w:val="10"/>
  </w:num>
  <w:num w:numId="15">
    <w:abstractNumId w:val="6"/>
  </w:num>
  <w:num w:numId="16">
    <w:abstractNumId w:val="4"/>
  </w:num>
  <w:num w:numId="17">
    <w:abstractNumId w:val="15"/>
  </w:num>
  <w:num w:numId="18">
    <w:abstractNumId w:val="19"/>
  </w:num>
  <w:num w:numId="19">
    <w:abstractNumId w:val="7"/>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40"/>
    <w:rsid w:val="0000608C"/>
    <w:rsid w:val="00012A60"/>
    <w:rsid w:val="00023042"/>
    <w:rsid w:val="00054BD4"/>
    <w:rsid w:val="00054FBB"/>
    <w:rsid w:val="00063B5E"/>
    <w:rsid w:val="0006465F"/>
    <w:rsid w:val="00066441"/>
    <w:rsid w:val="00066643"/>
    <w:rsid w:val="00077701"/>
    <w:rsid w:val="00080EB2"/>
    <w:rsid w:val="000B3220"/>
    <w:rsid w:val="000B5187"/>
    <w:rsid w:val="000C2181"/>
    <w:rsid w:val="000C40FB"/>
    <w:rsid w:val="000F1315"/>
    <w:rsid w:val="000F502B"/>
    <w:rsid w:val="000F5DFF"/>
    <w:rsid w:val="00101344"/>
    <w:rsid w:val="001024F6"/>
    <w:rsid w:val="00103F53"/>
    <w:rsid w:val="001066ED"/>
    <w:rsid w:val="0011167B"/>
    <w:rsid w:val="00111D8C"/>
    <w:rsid w:val="001211D8"/>
    <w:rsid w:val="0012789A"/>
    <w:rsid w:val="00135C71"/>
    <w:rsid w:val="00141770"/>
    <w:rsid w:val="001474A6"/>
    <w:rsid w:val="00154469"/>
    <w:rsid w:val="00162ECD"/>
    <w:rsid w:val="00164056"/>
    <w:rsid w:val="00172486"/>
    <w:rsid w:val="001774BD"/>
    <w:rsid w:val="001777D3"/>
    <w:rsid w:val="0017785C"/>
    <w:rsid w:val="001849F6"/>
    <w:rsid w:val="001866BA"/>
    <w:rsid w:val="0019222D"/>
    <w:rsid w:val="0019261D"/>
    <w:rsid w:val="001D2B8F"/>
    <w:rsid w:val="001D7486"/>
    <w:rsid w:val="001E1E5B"/>
    <w:rsid w:val="001F36AD"/>
    <w:rsid w:val="001F427F"/>
    <w:rsid w:val="00235CB7"/>
    <w:rsid w:val="00242E7A"/>
    <w:rsid w:val="00245724"/>
    <w:rsid w:val="00246F3E"/>
    <w:rsid w:val="002523E3"/>
    <w:rsid w:val="002538D2"/>
    <w:rsid w:val="00255C56"/>
    <w:rsid w:val="002616C7"/>
    <w:rsid w:val="002619AA"/>
    <w:rsid w:val="002622F7"/>
    <w:rsid w:val="00263589"/>
    <w:rsid w:val="00263AA8"/>
    <w:rsid w:val="00264E01"/>
    <w:rsid w:val="00266782"/>
    <w:rsid w:val="00275887"/>
    <w:rsid w:val="00281677"/>
    <w:rsid w:val="00282F29"/>
    <w:rsid w:val="002A0B3E"/>
    <w:rsid w:val="002A0C63"/>
    <w:rsid w:val="002A12FE"/>
    <w:rsid w:val="002A64CE"/>
    <w:rsid w:val="002B160D"/>
    <w:rsid w:val="002B582C"/>
    <w:rsid w:val="002C40C9"/>
    <w:rsid w:val="002E1131"/>
    <w:rsid w:val="002E4D37"/>
    <w:rsid w:val="003017BC"/>
    <w:rsid w:val="00303903"/>
    <w:rsid w:val="0032247C"/>
    <w:rsid w:val="00341620"/>
    <w:rsid w:val="00353CCF"/>
    <w:rsid w:val="00354AD7"/>
    <w:rsid w:val="00380343"/>
    <w:rsid w:val="003849E2"/>
    <w:rsid w:val="00384FA4"/>
    <w:rsid w:val="003875FA"/>
    <w:rsid w:val="003965B4"/>
    <w:rsid w:val="003A2BC3"/>
    <w:rsid w:val="003B1F14"/>
    <w:rsid w:val="003C132B"/>
    <w:rsid w:val="003D1A24"/>
    <w:rsid w:val="003E238A"/>
    <w:rsid w:val="003E48BF"/>
    <w:rsid w:val="00402EF0"/>
    <w:rsid w:val="00404D45"/>
    <w:rsid w:val="00410746"/>
    <w:rsid w:val="00410873"/>
    <w:rsid w:val="0042529C"/>
    <w:rsid w:val="00430942"/>
    <w:rsid w:val="00446822"/>
    <w:rsid w:val="004544B3"/>
    <w:rsid w:val="004552B1"/>
    <w:rsid w:val="00463DB0"/>
    <w:rsid w:val="004661FB"/>
    <w:rsid w:val="00473D9F"/>
    <w:rsid w:val="004962B9"/>
    <w:rsid w:val="004A221D"/>
    <w:rsid w:val="004A4C19"/>
    <w:rsid w:val="004A5D96"/>
    <w:rsid w:val="004C3930"/>
    <w:rsid w:val="004C3C0E"/>
    <w:rsid w:val="004C763F"/>
    <w:rsid w:val="004D2FA5"/>
    <w:rsid w:val="004D45A3"/>
    <w:rsid w:val="004E43D4"/>
    <w:rsid w:val="00505AE3"/>
    <w:rsid w:val="00523A4D"/>
    <w:rsid w:val="00530D02"/>
    <w:rsid w:val="00535F88"/>
    <w:rsid w:val="00536C84"/>
    <w:rsid w:val="00547472"/>
    <w:rsid w:val="00553540"/>
    <w:rsid w:val="00560013"/>
    <w:rsid w:val="005600FD"/>
    <w:rsid w:val="00563DC3"/>
    <w:rsid w:val="00570E58"/>
    <w:rsid w:val="00571179"/>
    <w:rsid w:val="00576A65"/>
    <w:rsid w:val="00583B44"/>
    <w:rsid w:val="0059233F"/>
    <w:rsid w:val="005939FD"/>
    <w:rsid w:val="005B07D1"/>
    <w:rsid w:val="005D03F5"/>
    <w:rsid w:val="005D2D64"/>
    <w:rsid w:val="005F62D8"/>
    <w:rsid w:val="005F70FB"/>
    <w:rsid w:val="00614DD8"/>
    <w:rsid w:val="00614F76"/>
    <w:rsid w:val="0062508D"/>
    <w:rsid w:val="0064422E"/>
    <w:rsid w:val="006528E7"/>
    <w:rsid w:val="0065499A"/>
    <w:rsid w:val="0065674D"/>
    <w:rsid w:val="006628BC"/>
    <w:rsid w:val="00664E9A"/>
    <w:rsid w:val="00673DE7"/>
    <w:rsid w:val="006801FF"/>
    <w:rsid w:val="0069746E"/>
    <w:rsid w:val="006A26A5"/>
    <w:rsid w:val="006B739C"/>
    <w:rsid w:val="006C2121"/>
    <w:rsid w:val="006C3367"/>
    <w:rsid w:val="006D5820"/>
    <w:rsid w:val="006E3158"/>
    <w:rsid w:val="006F0BD1"/>
    <w:rsid w:val="00703DB0"/>
    <w:rsid w:val="00706373"/>
    <w:rsid w:val="00713296"/>
    <w:rsid w:val="0072340F"/>
    <w:rsid w:val="0073470B"/>
    <w:rsid w:val="00737153"/>
    <w:rsid w:val="007408C4"/>
    <w:rsid w:val="00746081"/>
    <w:rsid w:val="007637EF"/>
    <w:rsid w:val="00775401"/>
    <w:rsid w:val="007868CF"/>
    <w:rsid w:val="007869C4"/>
    <w:rsid w:val="00787C71"/>
    <w:rsid w:val="007941E6"/>
    <w:rsid w:val="0079791A"/>
    <w:rsid w:val="007A4348"/>
    <w:rsid w:val="007B44E7"/>
    <w:rsid w:val="007C677E"/>
    <w:rsid w:val="007D05F6"/>
    <w:rsid w:val="007E117A"/>
    <w:rsid w:val="007E48BB"/>
    <w:rsid w:val="00804157"/>
    <w:rsid w:val="00807A85"/>
    <w:rsid w:val="0081447C"/>
    <w:rsid w:val="0081698C"/>
    <w:rsid w:val="00823FF5"/>
    <w:rsid w:val="00825B21"/>
    <w:rsid w:val="008273E3"/>
    <w:rsid w:val="00836272"/>
    <w:rsid w:val="008403F3"/>
    <w:rsid w:val="0084430B"/>
    <w:rsid w:val="008450BD"/>
    <w:rsid w:val="00845FDE"/>
    <w:rsid w:val="00850382"/>
    <w:rsid w:val="00862362"/>
    <w:rsid w:val="00865260"/>
    <w:rsid w:val="00880DDC"/>
    <w:rsid w:val="00882590"/>
    <w:rsid w:val="008906A0"/>
    <w:rsid w:val="008938AB"/>
    <w:rsid w:val="0089637E"/>
    <w:rsid w:val="008A51C5"/>
    <w:rsid w:val="008C28B4"/>
    <w:rsid w:val="008C6692"/>
    <w:rsid w:val="008D2A3E"/>
    <w:rsid w:val="008E1B63"/>
    <w:rsid w:val="00901E7F"/>
    <w:rsid w:val="0090465A"/>
    <w:rsid w:val="00910132"/>
    <w:rsid w:val="00921AD7"/>
    <w:rsid w:val="009228C8"/>
    <w:rsid w:val="00926857"/>
    <w:rsid w:val="00936BE4"/>
    <w:rsid w:val="0093720C"/>
    <w:rsid w:val="009413A4"/>
    <w:rsid w:val="00941DFD"/>
    <w:rsid w:val="00944668"/>
    <w:rsid w:val="009455E5"/>
    <w:rsid w:val="0095078E"/>
    <w:rsid w:val="00963BA2"/>
    <w:rsid w:val="00975FFA"/>
    <w:rsid w:val="0099024E"/>
    <w:rsid w:val="00996873"/>
    <w:rsid w:val="009A4440"/>
    <w:rsid w:val="009A544E"/>
    <w:rsid w:val="009A78DA"/>
    <w:rsid w:val="009C0FAC"/>
    <w:rsid w:val="009C1932"/>
    <w:rsid w:val="009D3D1D"/>
    <w:rsid w:val="009D7775"/>
    <w:rsid w:val="00A2668C"/>
    <w:rsid w:val="00A26F6F"/>
    <w:rsid w:val="00A27CB0"/>
    <w:rsid w:val="00A43101"/>
    <w:rsid w:val="00A61294"/>
    <w:rsid w:val="00A716FE"/>
    <w:rsid w:val="00A722F0"/>
    <w:rsid w:val="00A72F8B"/>
    <w:rsid w:val="00A777E9"/>
    <w:rsid w:val="00A82F86"/>
    <w:rsid w:val="00AB23A3"/>
    <w:rsid w:val="00AB5D67"/>
    <w:rsid w:val="00AC3F3B"/>
    <w:rsid w:val="00AD0DFA"/>
    <w:rsid w:val="00AF114E"/>
    <w:rsid w:val="00AF23BD"/>
    <w:rsid w:val="00B00E37"/>
    <w:rsid w:val="00B04B3A"/>
    <w:rsid w:val="00B10E57"/>
    <w:rsid w:val="00B16EE0"/>
    <w:rsid w:val="00B21886"/>
    <w:rsid w:val="00B32286"/>
    <w:rsid w:val="00B449EF"/>
    <w:rsid w:val="00B44BA1"/>
    <w:rsid w:val="00B57CD8"/>
    <w:rsid w:val="00B82091"/>
    <w:rsid w:val="00B87035"/>
    <w:rsid w:val="00BA278C"/>
    <w:rsid w:val="00BA5011"/>
    <w:rsid w:val="00BB3D25"/>
    <w:rsid w:val="00BC6B3B"/>
    <w:rsid w:val="00BD3ABA"/>
    <w:rsid w:val="00BE2414"/>
    <w:rsid w:val="00BE48C9"/>
    <w:rsid w:val="00BF431C"/>
    <w:rsid w:val="00C03A08"/>
    <w:rsid w:val="00C05A44"/>
    <w:rsid w:val="00C06B66"/>
    <w:rsid w:val="00C14298"/>
    <w:rsid w:val="00C17B26"/>
    <w:rsid w:val="00C23271"/>
    <w:rsid w:val="00C35355"/>
    <w:rsid w:val="00C356A2"/>
    <w:rsid w:val="00C40933"/>
    <w:rsid w:val="00C419A1"/>
    <w:rsid w:val="00C515CC"/>
    <w:rsid w:val="00C7281E"/>
    <w:rsid w:val="00C75034"/>
    <w:rsid w:val="00C82886"/>
    <w:rsid w:val="00C90861"/>
    <w:rsid w:val="00C91B1C"/>
    <w:rsid w:val="00C964FE"/>
    <w:rsid w:val="00CD0BB3"/>
    <w:rsid w:val="00CD0F0A"/>
    <w:rsid w:val="00CE2308"/>
    <w:rsid w:val="00CF2B86"/>
    <w:rsid w:val="00CF6765"/>
    <w:rsid w:val="00D23F19"/>
    <w:rsid w:val="00D32140"/>
    <w:rsid w:val="00D50AB7"/>
    <w:rsid w:val="00D60F2D"/>
    <w:rsid w:val="00D66C70"/>
    <w:rsid w:val="00D70478"/>
    <w:rsid w:val="00D7244A"/>
    <w:rsid w:val="00D76152"/>
    <w:rsid w:val="00D851BB"/>
    <w:rsid w:val="00D94D83"/>
    <w:rsid w:val="00DA0F46"/>
    <w:rsid w:val="00DB48C2"/>
    <w:rsid w:val="00DC0FB0"/>
    <w:rsid w:val="00DD777D"/>
    <w:rsid w:val="00DE5510"/>
    <w:rsid w:val="00DF7E22"/>
    <w:rsid w:val="00E055E7"/>
    <w:rsid w:val="00E27090"/>
    <w:rsid w:val="00E32DED"/>
    <w:rsid w:val="00E35F35"/>
    <w:rsid w:val="00E37431"/>
    <w:rsid w:val="00E50D2D"/>
    <w:rsid w:val="00E5383C"/>
    <w:rsid w:val="00E60C32"/>
    <w:rsid w:val="00E62607"/>
    <w:rsid w:val="00E76E22"/>
    <w:rsid w:val="00E85597"/>
    <w:rsid w:val="00E95324"/>
    <w:rsid w:val="00E973CB"/>
    <w:rsid w:val="00EA0532"/>
    <w:rsid w:val="00EB1C7B"/>
    <w:rsid w:val="00EB2641"/>
    <w:rsid w:val="00EB433B"/>
    <w:rsid w:val="00EC10B0"/>
    <w:rsid w:val="00ED08D7"/>
    <w:rsid w:val="00ED30B0"/>
    <w:rsid w:val="00ED78FC"/>
    <w:rsid w:val="00EE6A7D"/>
    <w:rsid w:val="00EE6F7B"/>
    <w:rsid w:val="00EF1D96"/>
    <w:rsid w:val="00F05FE7"/>
    <w:rsid w:val="00F32223"/>
    <w:rsid w:val="00F33056"/>
    <w:rsid w:val="00F45783"/>
    <w:rsid w:val="00F45C8D"/>
    <w:rsid w:val="00F46946"/>
    <w:rsid w:val="00F47389"/>
    <w:rsid w:val="00F53B70"/>
    <w:rsid w:val="00F76AD0"/>
    <w:rsid w:val="00F83C4D"/>
    <w:rsid w:val="00F84674"/>
    <w:rsid w:val="00F852C4"/>
    <w:rsid w:val="00FB4760"/>
    <w:rsid w:val="00FB6DBC"/>
    <w:rsid w:val="00FB7224"/>
    <w:rsid w:val="00FC6878"/>
    <w:rsid w:val="00FE673B"/>
    <w:rsid w:val="00FE7A39"/>
    <w:rsid w:val="00FF1BB0"/>
    <w:rsid w:val="00FF3B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2CA02-97D3-9F43-8D37-E5681AAF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mp;B Header"/>
    <w:basedOn w:val="Normal"/>
    <w:link w:val="HeaderChar"/>
    <w:uiPriority w:val="99"/>
    <w:unhideWhenUsed/>
    <w:rsid w:val="00D32140"/>
    <w:pPr>
      <w:tabs>
        <w:tab w:val="center" w:pos="4513"/>
        <w:tab w:val="right" w:pos="9026"/>
      </w:tabs>
      <w:spacing w:after="0" w:line="240" w:lineRule="auto"/>
    </w:pPr>
  </w:style>
  <w:style w:type="character" w:customStyle="1" w:styleId="HeaderChar">
    <w:name w:val="Header Char"/>
    <w:aliases w:val="B&amp;B Header Char"/>
    <w:basedOn w:val="DefaultParagraphFont"/>
    <w:link w:val="Header"/>
    <w:uiPriority w:val="99"/>
    <w:rsid w:val="00D32140"/>
  </w:style>
  <w:style w:type="paragraph" w:styleId="Footer">
    <w:name w:val="footer"/>
    <w:basedOn w:val="Normal"/>
    <w:link w:val="FooterChar"/>
    <w:uiPriority w:val="99"/>
    <w:unhideWhenUsed/>
    <w:rsid w:val="00D32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40"/>
  </w:style>
  <w:style w:type="table" w:styleId="TableGrid">
    <w:name w:val="Table Grid"/>
    <w:basedOn w:val="TableNormal"/>
    <w:uiPriority w:val="59"/>
    <w:rsid w:val="009C1932"/>
    <w:pPr>
      <w:spacing w:after="0" w:line="240" w:lineRule="auto"/>
    </w:pPr>
    <w:rPr>
      <w:rFonts w:asciiTheme="majorHAnsi" w:hAnsiTheme="maj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32"/>
    <w:rPr>
      <w:rFonts w:ascii="Tahoma" w:hAnsi="Tahoma" w:cs="Tahoma"/>
      <w:sz w:val="16"/>
      <w:szCs w:val="16"/>
    </w:rPr>
  </w:style>
  <w:style w:type="paragraph" w:styleId="BodyText">
    <w:name w:val="Body Text"/>
    <w:aliases w:val="B&amp;B Body Text"/>
    <w:basedOn w:val="Normal"/>
    <w:link w:val="BodyTextChar"/>
    <w:rsid w:val="009C1932"/>
    <w:pPr>
      <w:spacing w:after="240" w:line="240" w:lineRule="auto"/>
      <w:jc w:val="both"/>
    </w:pPr>
    <w:rPr>
      <w:rFonts w:ascii="Georgia" w:hAnsi="Georgia" w:cs="Times New Roman"/>
      <w:szCs w:val="20"/>
    </w:rPr>
  </w:style>
  <w:style w:type="character" w:customStyle="1" w:styleId="BodyTextChar">
    <w:name w:val="Body Text Char"/>
    <w:aliases w:val="B&amp;B Body Text Char"/>
    <w:basedOn w:val="DefaultParagraphFont"/>
    <w:link w:val="BodyText"/>
    <w:rsid w:val="009C1932"/>
    <w:rPr>
      <w:rFonts w:ascii="Georgia" w:hAnsi="Georgia" w:cs="Times New Roman"/>
      <w:szCs w:val="20"/>
    </w:rPr>
  </w:style>
  <w:style w:type="paragraph" w:customStyle="1" w:styleId="MemoHeading">
    <w:name w:val="Memo Heading"/>
    <w:basedOn w:val="BodyText"/>
    <w:next w:val="BodyText"/>
    <w:semiHidden/>
    <w:qFormat/>
    <w:rsid w:val="009C1932"/>
    <w:pPr>
      <w:spacing w:after="480"/>
      <w:jc w:val="center"/>
    </w:pPr>
    <w:rPr>
      <w:b/>
      <w:spacing w:val="50"/>
      <w:sz w:val="28"/>
    </w:rPr>
  </w:style>
  <w:style w:type="paragraph" w:customStyle="1" w:styleId="BBBodyTextNoSpacing">
    <w:name w:val="B&amp;B Body Text No Spacing"/>
    <w:basedOn w:val="BodyText"/>
    <w:uiPriority w:val="1"/>
    <w:qFormat/>
    <w:rsid w:val="009C1932"/>
    <w:pPr>
      <w:spacing w:after="0"/>
    </w:pPr>
    <w:rPr>
      <w:rFonts w:asciiTheme="minorHAnsi" w:hAnsiTheme="minorHAnsi"/>
      <w:szCs w:val="22"/>
    </w:rPr>
  </w:style>
  <w:style w:type="paragraph" w:styleId="ListParagraph">
    <w:name w:val="List Paragraph"/>
    <w:basedOn w:val="Normal"/>
    <w:uiPriority w:val="34"/>
    <w:qFormat/>
    <w:rsid w:val="00D851BB"/>
    <w:pPr>
      <w:ind w:left="720"/>
      <w:contextualSpacing/>
    </w:pPr>
  </w:style>
  <w:style w:type="paragraph" w:styleId="FootnoteText">
    <w:name w:val="footnote text"/>
    <w:basedOn w:val="Normal"/>
    <w:link w:val="FootnoteTextChar"/>
    <w:uiPriority w:val="99"/>
    <w:semiHidden/>
    <w:unhideWhenUsed/>
    <w:rsid w:val="00FC6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878"/>
    <w:rPr>
      <w:sz w:val="20"/>
      <w:szCs w:val="20"/>
    </w:rPr>
  </w:style>
  <w:style w:type="character" w:styleId="FootnoteReference">
    <w:name w:val="footnote reference"/>
    <w:basedOn w:val="DefaultParagraphFont"/>
    <w:uiPriority w:val="99"/>
    <w:semiHidden/>
    <w:unhideWhenUsed/>
    <w:rsid w:val="00FC6878"/>
    <w:rPr>
      <w:vertAlign w:val="superscript"/>
    </w:rPr>
  </w:style>
  <w:style w:type="paragraph" w:styleId="NormalWeb">
    <w:name w:val="Normal (Web)"/>
    <w:basedOn w:val="Normal"/>
    <w:uiPriority w:val="99"/>
    <w:semiHidden/>
    <w:unhideWhenUsed/>
    <w:rsid w:val="007D0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05F6"/>
    <w:rPr>
      <w:b/>
      <w:bCs/>
    </w:rPr>
  </w:style>
  <w:style w:type="character" w:styleId="Hyperlink">
    <w:name w:val="Hyperlink"/>
    <w:basedOn w:val="DefaultParagraphFont"/>
    <w:uiPriority w:val="99"/>
    <w:unhideWhenUsed/>
    <w:rsid w:val="00E62607"/>
    <w:rPr>
      <w:color w:val="0000FF"/>
      <w:u w:val="single"/>
    </w:rPr>
  </w:style>
  <w:style w:type="character" w:styleId="FollowedHyperlink">
    <w:name w:val="FollowedHyperlink"/>
    <w:basedOn w:val="DefaultParagraphFont"/>
    <w:uiPriority w:val="99"/>
    <w:semiHidden/>
    <w:unhideWhenUsed/>
    <w:rsid w:val="002523E3"/>
    <w:rPr>
      <w:color w:val="800080" w:themeColor="followedHyperlink"/>
      <w:u w:val="single"/>
    </w:rPr>
  </w:style>
  <w:style w:type="character" w:styleId="CommentReference">
    <w:name w:val="annotation reference"/>
    <w:basedOn w:val="DefaultParagraphFont"/>
    <w:uiPriority w:val="99"/>
    <w:semiHidden/>
    <w:unhideWhenUsed/>
    <w:rsid w:val="00E5383C"/>
    <w:rPr>
      <w:sz w:val="16"/>
      <w:szCs w:val="16"/>
    </w:rPr>
  </w:style>
  <w:style w:type="paragraph" w:styleId="CommentText">
    <w:name w:val="annotation text"/>
    <w:basedOn w:val="Normal"/>
    <w:link w:val="CommentTextChar"/>
    <w:uiPriority w:val="99"/>
    <w:semiHidden/>
    <w:unhideWhenUsed/>
    <w:rsid w:val="00E5383C"/>
    <w:pPr>
      <w:spacing w:line="240" w:lineRule="auto"/>
    </w:pPr>
    <w:rPr>
      <w:sz w:val="20"/>
      <w:szCs w:val="20"/>
    </w:rPr>
  </w:style>
  <w:style w:type="character" w:customStyle="1" w:styleId="CommentTextChar">
    <w:name w:val="Comment Text Char"/>
    <w:basedOn w:val="DefaultParagraphFont"/>
    <w:link w:val="CommentText"/>
    <w:uiPriority w:val="99"/>
    <w:semiHidden/>
    <w:rsid w:val="00E5383C"/>
    <w:rPr>
      <w:sz w:val="20"/>
      <w:szCs w:val="20"/>
    </w:rPr>
  </w:style>
  <w:style w:type="paragraph" w:styleId="CommentSubject">
    <w:name w:val="annotation subject"/>
    <w:basedOn w:val="CommentText"/>
    <w:next w:val="CommentText"/>
    <w:link w:val="CommentSubjectChar"/>
    <w:uiPriority w:val="99"/>
    <w:semiHidden/>
    <w:unhideWhenUsed/>
    <w:rsid w:val="00E5383C"/>
    <w:rPr>
      <w:b/>
      <w:bCs/>
    </w:rPr>
  </w:style>
  <w:style w:type="character" w:customStyle="1" w:styleId="CommentSubjectChar">
    <w:name w:val="Comment Subject Char"/>
    <w:basedOn w:val="CommentTextChar"/>
    <w:link w:val="CommentSubject"/>
    <w:uiPriority w:val="99"/>
    <w:semiHidden/>
    <w:rsid w:val="00E53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055497">
      <w:bodyDiv w:val="1"/>
      <w:marLeft w:val="0"/>
      <w:marRight w:val="0"/>
      <w:marTop w:val="0"/>
      <w:marBottom w:val="0"/>
      <w:divBdr>
        <w:top w:val="none" w:sz="0" w:space="0" w:color="auto"/>
        <w:left w:val="none" w:sz="0" w:space="0" w:color="auto"/>
        <w:bottom w:val="none" w:sz="0" w:space="0" w:color="auto"/>
        <w:right w:val="none" w:sz="0" w:space="0" w:color="auto"/>
      </w:divBdr>
    </w:div>
    <w:div w:id="752123458">
      <w:bodyDiv w:val="1"/>
      <w:marLeft w:val="0"/>
      <w:marRight w:val="0"/>
      <w:marTop w:val="0"/>
      <w:marBottom w:val="0"/>
      <w:divBdr>
        <w:top w:val="none" w:sz="0" w:space="0" w:color="auto"/>
        <w:left w:val="none" w:sz="0" w:space="0" w:color="auto"/>
        <w:bottom w:val="none" w:sz="0" w:space="0" w:color="auto"/>
        <w:right w:val="none" w:sz="0" w:space="0" w:color="auto"/>
      </w:divBdr>
    </w:div>
    <w:div w:id="811873420">
      <w:bodyDiv w:val="1"/>
      <w:marLeft w:val="0"/>
      <w:marRight w:val="0"/>
      <w:marTop w:val="0"/>
      <w:marBottom w:val="0"/>
      <w:divBdr>
        <w:top w:val="none" w:sz="0" w:space="0" w:color="auto"/>
        <w:left w:val="none" w:sz="0" w:space="0" w:color="auto"/>
        <w:bottom w:val="none" w:sz="0" w:space="0" w:color="auto"/>
        <w:right w:val="none" w:sz="0" w:space="0" w:color="auto"/>
      </w:divBdr>
    </w:div>
    <w:div w:id="1177958137">
      <w:bodyDiv w:val="1"/>
      <w:marLeft w:val="0"/>
      <w:marRight w:val="0"/>
      <w:marTop w:val="0"/>
      <w:marBottom w:val="0"/>
      <w:divBdr>
        <w:top w:val="none" w:sz="0" w:space="0" w:color="auto"/>
        <w:left w:val="none" w:sz="0" w:space="0" w:color="auto"/>
        <w:bottom w:val="none" w:sz="0" w:space="0" w:color="auto"/>
        <w:right w:val="none" w:sz="0" w:space="0" w:color="auto"/>
      </w:divBdr>
    </w:div>
    <w:div w:id="1329863810">
      <w:bodyDiv w:val="1"/>
      <w:marLeft w:val="0"/>
      <w:marRight w:val="0"/>
      <w:marTop w:val="0"/>
      <w:marBottom w:val="0"/>
      <w:divBdr>
        <w:top w:val="none" w:sz="0" w:space="0" w:color="auto"/>
        <w:left w:val="none" w:sz="0" w:space="0" w:color="auto"/>
        <w:bottom w:val="none" w:sz="0" w:space="0" w:color="auto"/>
        <w:right w:val="none" w:sz="0" w:space="0" w:color="auto"/>
      </w:divBdr>
    </w:div>
    <w:div w:id="1629049076">
      <w:bodyDiv w:val="1"/>
      <w:marLeft w:val="0"/>
      <w:marRight w:val="0"/>
      <w:marTop w:val="0"/>
      <w:marBottom w:val="0"/>
      <w:divBdr>
        <w:top w:val="none" w:sz="0" w:space="0" w:color="auto"/>
        <w:left w:val="none" w:sz="0" w:space="0" w:color="auto"/>
        <w:bottom w:val="none" w:sz="0" w:space="0" w:color="auto"/>
        <w:right w:val="none" w:sz="0" w:space="0" w:color="auto"/>
      </w:divBdr>
    </w:div>
    <w:div w:id="20445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compan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mpany.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consent/" TargetMode="External"/><Relationship Id="rId2" Type="http://schemas.openxmlformats.org/officeDocument/2006/relationships/hyperlink" Target="https://www.icann.org/en/system/files/correspondence/jelinek-to-marby-05jul18-en.pdf" TargetMode="External"/><Relationship Id="rId1" Type="http://schemas.openxmlformats.org/officeDocument/2006/relationships/hyperlink" Target="https://teamarin.net/2018/03/20/personal-data-privacy-considerations-at-arin/" TargetMode="External"/><Relationship Id="rId5" Type="http://schemas.openxmlformats.org/officeDocument/2006/relationships/hyperlink" Target="https://www.gegevensbeschermingsautoriteit.be/node/21004" TargetMode="External"/><Relationship Id="rId4" Type="http://schemas.openxmlformats.org/officeDocument/2006/relationships/hyperlink" Target="https://www.cnil.fr/fr/conformite-rgpd-comment-recueillir-le-consentement-des-person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A7AC-27AF-9241-9B4B-CD9149CE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&amp; Bird</dc:creator>
  <cp:keywords/>
  <dc:description/>
  <cp:lastModifiedBy>Caitlin Tubergen</cp:lastModifiedBy>
  <cp:revision>2</cp:revision>
  <cp:lastPrinted>2020-03-10T17:57:00Z</cp:lastPrinted>
  <dcterms:created xsi:type="dcterms:W3CDTF">2020-03-13T17:33:00Z</dcterms:created>
  <dcterms:modified xsi:type="dcterms:W3CDTF">2020-03-13T17:33:00Z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DocRef">
    <vt:lpwstr>Admin\44348867.2</vt:lpwstr>
  </property>
</Properties>
</file>