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7C2C0" w14:textId="107B09D4" w:rsidR="000B7A30" w:rsidRPr="00632D93" w:rsidRDefault="00632D93">
      <w:pPr>
        <w:rPr>
          <w:b/>
          <w:bCs/>
        </w:rPr>
      </w:pPr>
      <w:bookmarkStart w:id="0" w:name="_GoBack"/>
      <w:bookmarkEnd w:id="0"/>
      <w:r w:rsidRPr="00632D93">
        <w:rPr>
          <w:b/>
          <w:bCs/>
        </w:rPr>
        <w:t>Recommendation #1 – Accreditation</w:t>
      </w:r>
    </w:p>
    <w:p w14:paraId="629D0B1C" w14:textId="5B34B83F" w:rsidR="00632D93" w:rsidRDefault="00632D93"/>
    <w:p w14:paraId="108D2580" w14:textId="29E6AF42" w:rsidR="00632D93" w:rsidRDefault="00632D93">
      <w:pPr>
        <w:rPr>
          <w:i/>
          <w:iCs/>
        </w:rPr>
      </w:pPr>
      <w:r w:rsidRPr="00632D93">
        <w:rPr>
          <w:i/>
          <w:iCs/>
        </w:rPr>
        <w:t>Based on the leadership’s and staff support team review of the feedback provided by the different groups by the deadline on the discussion table, the following topics / issues are being put forward for discussion during Thursday’s meeting. The input on these topics / issues, as well as non-controversial changes identified</w:t>
      </w:r>
      <w:r w:rsidR="008C6FE4">
        <w:rPr>
          <w:i/>
          <w:iCs/>
        </w:rPr>
        <w:t xml:space="preserve"> or </w:t>
      </w:r>
      <w:proofErr w:type="spellStart"/>
      <w:proofErr w:type="gramStart"/>
      <w:r w:rsidR="008C6FE4">
        <w:rPr>
          <w:i/>
          <w:iCs/>
        </w:rPr>
        <w:t>there</w:t>
      </w:r>
      <w:proofErr w:type="spellEnd"/>
      <w:proofErr w:type="gramEnd"/>
      <w:r w:rsidR="008C6FE4">
        <w:rPr>
          <w:i/>
          <w:iCs/>
        </w:rPr>
        <w:t xml:space="preserve"> responses were aligned</w:t>
      </w:r>
      <w:r w:rsidRPr="00632D93">
        <w:rPr>
          <w:i/>
          <w:iCs/>
        </w:rPr>
        <w:t xml:space="preserve"> </w:t>
      </w:r>
      <w:r w:rsidR="008C6FE4">
        <w:rPr>
          <w:i/>
          <w:iCs/>
        </w:rPr>
        <w:t>in</w:t>
      </w:r>
      <w:r w:rsidRPr="00632D93">
        <w:rPr>
          <w:i/>
          <w:iCs/>
        </w:rPr>
        <w:t xml:space="preserve"> the discussion table, will be used to develop a next iteration of the recommendation text for EPDP Team review. </w:t>
      </w:r>
      <w:r w:rsidR="003D0195">
        <w:rPr>
          <w:i/>
          <w:iCs/>
        </w:rPr>
        <w:t xml:space="preserve">Note, known concerns, which have been considered and discussed previously have not been included and will not be discussed again unless new information has been provided. </w:t>
      </w:r>
    </w:p>
    <w:p w14:paraId="5EC0F39F" w14:textId="2B4F0503" w:rsidR="00632D93" w:rsidRDefault="00632D93">
      <w:pPr>
        <w:rPr>
          <w:i/>
          <w:iCs/>
        </w:rPr>
      </w:pPr>
    </w:p>
    <w:p w14:paraId="6EE9CDE1" w14:textId="193318EB" w:rsidR="007827A1" w:rsidRDefault="009B766C" w:rsidP="009B766C">
      <w:r>
        <w:t>Remaining items:</w:t>
      </w:r>
    </w:p>
    <w:p w14:paraId="2C842BC8" w14:textId="0D53F718" w:rsidR="00994604" w:rsidRDefault="00994604" w:rsidP="00085DC8"/>
    <w:p w14:paraId="693AFF06" w14:textId="6515DFE1" w:rsidR="007827A1" w:rsidRDefault="007827A1" w:rsidP="00085DC8">
      <w:pPr>
        <w:rPr>
          <w:b/>
          <w:bCs/>
          <w:u w:val="single"/>
        </w:rPr>
      </w:pPr>
      <w:r w:rsidRPr="007827A1">
        <w:rPr>
          <w:b/>
          <w:bCs/>
          <w:u w:val="single"/>
        </w:rPr>
        <w:t>Definition of abuse (revocation and accredited entity requirements)</w:t>
      </w:r>
    </w:p>
    <w:p w14:paraId="133AA79D" w14:textId="2C2BF043" w:rsidR="007827A1" w:rsidRDefault="007827A1" w:rsidP="00085DC8">
      <w:pPr>
        <w:rPr>
          <w:b/>
          <w:bCs/>
          <w:u w:val="single"/>
        </w:rPr>
      </w:pPr>
    </w:p>
    <w:p w14:paraId="7D0E8B48" w14:textId="60104DEF" w:rsidR="009B766C" w:rsidRDefault="009B766C" w:rsidP="009B766C">
      <w:pPr>
        <w:pBdr>
          <w:top w:val="single" w:sz="4" w:space="1" w:color="auto"/>
          <w:left w:val="single" w:sz="4" w:space="1" w:color="auto"/>
          <w:bottom w:val="single" w:sz="4" w:space="1" w:color="auto"/>
          <w:right w:val="single" w:sz="4" w:space="1" w:color="auto"/>
        </w:pBdr>
        <w:rPr>
          <w:rFonts w:eastAsia="Calibri" w:cstheme="minorHAnsi"/>
          <w:i/>
          <w:iCs/>
          <w:color w:val="000000"/>
        </w:rPr>
      </w:pPr>
      <w:r>
        <w:rPr>
          <w:rFonts w:eastAsia="Calibri" w:cstheme="minorHAnsi"/>
          <w:i/>
          <w:iCs/>
          <w:color w:val="000000"/>
        </w:rPr>
        <w:t>Accredited User Revocation &amp; Abuse</w:t>
      </w:r>
    </w:p>
    <w:p w14:paraId="6C8ABBB6" w14:textId="72C96810" w:rsidR="009B766C" w:rsidRDefault="009B766C" w:rsidP="009B766C">
      <w:pPr>
        <w:pBdr>
          <w:top w:val="single" w:sz="4" w:space="1" w:color="auto"/>
          <w:left w:val="single" w:sz="4" w:space="1" w:color="auto"/>
          <w:bottom w:val="single" w:sz="4" w:space="1" w:color="auto"/>
          <w:right w:val="single" w:sz="4" w:space="1" w:color="auto"/>
        </w:pBdr>
        <w:rPr>
          <w:rFonts w:eastAsia="Calibri" w:cstheme="minorHAnsi"/>
          <w:i/>
          <w:iCs/>
          <w:color w:val="000000"/>
        </w:rPr>
      </w:pPr>
      <w:r>
        <w:rPr>
          <w:rFonts w:eastAsia="Calibri" w:cstheme="minorHAnsi"/>
          <w:i/>
          <w:iCs/>
          <w:color w:val="000000"/>
        </w:rPr>
        <w:t xml:space="preserve">(…) A Non-exhaustive list of examples where revocation may apply include </w:t>
      </w:r>
      <w:r w:rsidRPr="009B766C">
        <w:rPr>
          <w:rFonts w:eastAsia="Calibri" w:cstheme="minorHAnsi"/>
          <w:i/>
          <w:iCs/>
          <w:color w:val="000000"/>
        </w:rPr>
        <w:t>1) the accredited user’s violation of the code of conduct, 2) the accredited user’s abuse of the system, 3) a change in affiliation of the accredited user, or 4) where prerequisites for accreditation no longer exist. </w:t>
      </w:r>
    </w:p>
    <w:p w14:paraId="62764049" w14:textId="33AA1C8F" w:rsidR="009B766C" w:rsidRDefault="009B766C" w:rsidP="009B766C">
      <w:pPr>
        <w:pBdr>
          <w:top w:val="single" w:sz="4" w:space="1" w:color="auto"/>
          <w:left w:val="single" w:sz="4" w:space="1" w:color="auto"/>
          <w:bottom w:val="single" w:sz="4" w:space="1" w:color="auto"/>
          <w:right w:val="single" w:sz="4" w:space="1" w:color="auto"/>
        </w:pBdr>
        <w:rPr>
          <w:rFonts w:eastAsia="Calibri" w:cstheme="minorHAnsi"/>
          <w:i/>
          <w:iCs/>
          <w:color w:val="000000"/>
        </w:rPr>
      </w:pPr>
    </w:p>
    <w:p w14:paraId="20165F69" w14:textId="67DB47E4" w:rsidR="009B766C" w:rsidRDefault="009B766C" w:rsidP="009B766C">
      <w:pPr>
        <w:pBdr>
          <w:top w:val="single" w:sz="4" w:space="1" w:color="auto"/>
          <w:left w:val="single" w:sz="4" w:space="1" w:color="auto"/>
          <w:bottom w:val="single" w:sz="4" w:space="1" w:color="auto"/>
          <w:right w:val="single" w:sz="4" w:space="1" w:color="auto"/>
        </w:pBdr>
        <w:rPr>
          <w:rFonts w:eastAsia="Calibri" w:cstheme="minorHAnsi"/>
          <w:i/>
          <w:iCs/>
          <w:color w:val="000000"/>
        </w:rPr>
      </w:pPr>
      <w:r>
        <w:rPr>
          <w:rFonts w:eastAsia="Calibri" w:cstheme="minorHAnsi"/>
          <w:i/>
          <w:iCs/>
          <w:color w:val="000000"/>
        </w:rPr>
        <w:t>(…)</w:t>
      </w:r>
    </w:p>
    <w:p w14:paraId="1DFB9234" w14:textId="77777777" w:rsidR="009B766C" w:rsidRDefault="009B766C" w:rsidP="009B766C">
      <w:pPr>
        <w:pBdr>
          <w:top w:val="single" w:sz="4" w:space="1" w:color="auto"/>
          <w:left w:val="single" w:sz="4" w:space="1" w:color="auto"/>
          <w:bottom w:val="single" w:sz="4" w:space="1" w:color="auto"/>
          <w:right w:val="single" w:sz="4" w:space="1" w:color="auto"/>
        </w:pBdr>
        <w:rPr>
          <w:rFonts w:eastAsia="Calibri" w:cstheme="minorHAnsi"/>
          <w:i/>
          <w:iCs/>
          <w:color w:val="000000"/>
        </w:rPr>
      </w:pPr>
    </w:p>
    <w:p w14:paraId="5D79B091" w14:textId="32025174" w:rsidR="009B766C" w:rsidRPr="009B766C" w:rsidRDefault="009B766C" w:rsidP="009B766C">
      <w:pPr>
        <w:pBdr>
          <w:top w:val="single" w:sz="4" w:space="1" w:color="auto"/>
          <w:left w:val="single" w:sz="4" w:space="1" w:color="auto"/>
          <w:bottom w:val="single" w:sz="4" w:space="1" w:color="auto"/>
          <w:right w:val="single" w:sz="4" w:space="1" w:color="auto"/>
        </w:pBdr>
        <w:rPr>
          <w:rFonts w:cstheme="minorHAnsi"/>
          <w:i/>
          <w:iCs/>
        </w:rPr>
      </w:pPr>
      <w:r w:rsidRPr="009B766C">
        <w:rPr>
          <w:rFonts w:eastAsia="Calibri" w:cstheme="minorHAnsi"/>
          <w:i/>
          <w:iCs/>
          <w:color w:val="000000"/>
        </w:rPr>
        <w:t>Accredited entities or individuals:</w:t>
      </w:r>
    </w:p>
    <w:p w14:paraId="207780EC" w14:textId="7D3898F4" w:rsidR="009B766C" w:rsidRPr="009B766C" w:rsidRDefault="009B766C" w:rsidP="009B766C">
      <w:pPr>
        <w:pStyle w:val="ListParagraph"/>
        <w:numPr>
          <w:ilvl w:val="0"/>
          <w:numId w:val="12"/>
        </w:numPr>
        <w:pBdr>
          <w:top w:val="single" w:sz="4" w:space="1" w:color="auto"/>
          <w:left w:val="single" w:sz="4" w:space="1" w:color="auto"/>
          <w:bottom w:val="single" w:sz="4" w:space="1" w:color="auto"/>
          <w:right w:val="single" w:sz="4" w:space="1" w:color="auto"/>
          <w:between w:val="nil"/>
        </w:pBdr>
        <w:rPr>
          <w:rFonts w:eastAsia="Calibri" w:cstheme="minorHAnsi"/>
          <w:i/>
          <w:iCs/>
          <w:color w:val="000000"/>
        </w:rPr>
      </w:pPr>
      <w:r w:rsidRPr="009B766C">
        <w:rPr>
          <w:rFonts w:eastAsia="Calibri" w:cstheme="minorHAnsi"/>
          <w:i/>
          <w:iCs/>
          <w:color w:val="000000"/>
        </w:rPr>
        <w:t>MUST agree to:</w:t>
      </w:r>
    </w:p>
    <w:p w14:paraId="55C931C3" w14:textId="3EFED1C5" w:rsidR="009B766C" w:rsidRPr="009B766C" w:rsidRDefault="009B766C" w:rsidP="009B766C">
      <w:pPr>
        <w:numPr>
          <w:ilvl w:val="0"/>
          <w:numId w:val="9"/>
        </w:numPr>
        <w:pBdr>
          <w:top w:val="single" w:sz="4" w:space="1" w:color="auto"/>
          <w:left w:val="single" w:sz="4" w:space="1" w:color="auto"/>
          <w:bottom w:val="single" w:sz="4" w:space="1" w:color="auto"/>
          <w:right w:val="single" w:sz="4" w:space="1" w:color="auto"/>
          <w:between w:val="nil"/>
        </w:pBdr>
        <w:rPr>
          <w:rFonts w:eastAsia="Calibri" w:cstheme="minorHAnsi"/>
          <w:i/>
          <w:iCs/>
          <w:color w:val="000000"/>
        </w:rPr>
      </w:pPr>
      <w:r>
        <w:rPr>
          <w:rFonts w:eastAsia="Calibri" w:cstheme="minorHAnsi"/>
          <w:i/>
          <w:iCs/>
          <w:color w:val="000000"/>
        </w:rPr>
        <w:t>(…)</w:t>
      </w:r>
    </w:p>
    <w:p w14:paraId="2286E873" w14:textId="77777777" w:rsidR="009B766C" w:rsidRPr="009B766C" w:rsidRDefault="009B766C" w:rsidP="009B766C">
      <w:pPr>
        <w:numPr>
          <w:ilvl w:val="0"/>
          <w:numId w:val="9"/>
        </w:numPr>
        <w:pBdr>
          <w:top w:val="single" w:sz="4" w:space="1" w:color="auto"/>
          <w:left w:val="single" w:sz="4" w:space="1" w:color="auto"/>
          <w:bottom w:val="single" w:sz="4" w:space="1" w:color="auto"/>
          <w:right w:val="single" w:sz="4" w:space="1" w:color="auto"/>
          <w:between w:val="nil"/>
        </w:pBdr>
        <w:rPr>
          <w:rFonts w:eastAsia="Calibri" w:cstheme="minorHAnsi"/>
          <w:i/>
          <w:iCs/>
          <w:color w:val="000000"/>
        </w:rPr>
      </w:pPr>
      <w:r w:rsidRPr="009B766C">
        <w:rPr>
          <w:rFonts w:eastAsia="Calibri" w:cstheme="minorHAnsi"/>
          <w:i/>
          <w:iCs/>
          <w:color w:val="000000"/>
        </w:rPr>
        <w:t>prevent abuse of data received; </w:t>
      </w:r>
    </w:p>
    <w:p w14:paraId="38B25BED" w14:textId="5163EB75" w:rsidR="009B766C" w:rsidRPr="009B766C" w:rsidRDefault="009B766C" w:rsidP="009B766C">
      <w:pPr>
        <w:numPr>
          <w:ilvl w:val="0"/>
          <w:numId w:val="9"/>
        </w:numPr>
        <w:pBdr>
          <w:top w:val="single" w:sz="4" w:space="1" w:color="auto"/>
          <w:left w:val="single" w:sz="4" w:space="1" w:color="auto"/>
          <w:bottom w:val="single" w:sz="4" w:space="1" w:color="auto"/>
          <w:right w:val="single" w:sz="4" w:space="1" w:color="auto"/>
          <w:between w:val="nil"/>
        </w:pBdr>
        <w:rPr>
          <w:rFonts w:eastAsia="Calibri" w:cstheme="minorHAnsi"/>
          <w:i/>
          <w:iCs/>
          <w:color w:val="000000"/>
        </w:rPr>
      </w:pPr>
      <w:r>
        <w:rPr>
          <w:rFonts w:eastAsia="Calibri" w:cstheme="minorHAnsi"/>
          <w:i/>
          <w:iCs/>
          <w:color w:val="000000"/>
        </w:rPr>
        <w:t>(…)</w:t>
      </w:r>
    </w:p>
    <w:p w14:paraId="2D7D6525" w14:textId="79023727" w:rsidR="009B766C" w:rsidRPr="009B766C" w:rsidRDefault="009B766C" w:rsidP="009B766C">
      <w:pPr>
        <w:pStyle w:val="ListParagraph"/>
        <w:numPr>
          <w:ilvl w:val="0"/>
          <w:numId w:val="12"/>
        </w:numPr>
        <w:pBdr>
          <w:top w:val="single" w:sz="4" w:space="1" w:color="auto"/>
          <w:left w:val="single" w:sz="4" w:space="1" w:color="auto"/>
          <w:bottom w:val="single" w:sz="4" w:space="1" w:color="auto"/>
          <w:right w:val="single" w:sz="4" w:space="1" w:color="auto"/>
          <w:between w:val="nil"/>
        </w:pBdr>
        <w:rPr>
          <w:rFonts w:eastAsia="Calibri" w:cstheme="minorHAnsi"/>
          <w:i/>
          <w:iCs/>
          <w:color w:val="000000"/>
        </w:rPr>
      </w:pPr>
      <w:r w:rsidRPr="009B766C">
        <w:rPr>
          <w:rFonts w:eastAsia="Calibri" w:cstheme="minorHAnsi"/>
          <w:i/>
          <w:iCs/>
          <w:color w:val="000000"/>
        </w:rPr>
        <w:t>Will not be restricted in the number of SSAD requests that can be submitted during a specific period of time, except where the accredited entity poses a demonstrable threat to the SSAD. It is understood that possible limitations in SSAD’s response capacity and speed may apply. For further details see the response requirements preliminary recommendation.  </w:t>
      </w:r>
    </w:p>
    <w:p w14:paraId="2C60B5D3" w14:textId="77777777" w:rsidR="009B766C" w:rsidRPr="007827A1" w:rsidRDefault="009B766C" w:rsidP="00085DC8">
      <w:pPr>
        <w:rPr>
          <w:b/>
          <w:bCs/>
          <w:u w:val="single"/>
        </w:rPr>
      </w:pPr>
    </w:p>
    <w:p w14:paraId="1839A500" w14:textId="7564AAFF" w:rsidR="005743C9" w:rsidRDefault="005743C9" w:rsidP="007827A1">
      <w:pPr>
        <w:pStyle w:val="ListParagraph"/>
        <w:numPr>
          <w:ilvl w:val="0"/>
          <w:numId w:val="2"/>
        </w:numPr>
      </w:pPr>
      <w:r>
        <w:t xml:space="preserve">How should abuse of the system be defined and differentiated (if applicable) from violation of the code of conduct? </w:t>
      </w:r>
    </w:p>
    <w:p w14:paraId="3200F9D0" w14:textId="4C3CE297" w:rsidR="007827A1" w:rsidRDefault="007827A1" w:rsidP="007827A1">
      <w:pPr>
        <w:pStyle w:val="ListParagraph"/>
        <w:numPr>
          <w:ilvl w:val="0"/>
          <w:numId w:val="2"/>
        </w:numPr>
      </w:pPr>
      <w:r>
        <w:t>What further guidance can be provided in relation to ‘prevent abuse of data received’ by the accredited entity or individual (see u)?</w:t>
      </w:r>
    </w:p>
    <w:p w14:paraId="56CD894E" w14:textId="51DECA7A" w:rsidR="007827A1" w:rsidRDefault="007827A1" w:rsidP="007827A1">
      <w:pPr>
        <w:pStyle w:val="ListParagraph"/>
        <w:numPr>
          <w:ilvl w:val="0"/>
          <w:numId w:val="2"/>
        </w:numPr>
      </w:pPr>
      <w:r>
        <w:t>“Demonstrable threat to the SSAD” (see v) – is that something that can be left to implementation based on SLAs and possible input through the mechanism?</w:t>
      </w:r>
    </w:p>
    <w:p w14:paraId="34DF0E99" w14:textId="4BF4ACCA" w:rsidR="00994604" w:rsidRDefault="00994604" w:rsidP="00994604"/>
    <w:p w14:paraId="0495AB8F" w14:textId="53011A85" w:rsidR="00994604" w:rsidRPr="00994604" w:rsidRDefault="00994604" w:rsidP="00994604">
      <w:pPr>
        <w:rPr>
          <w:b/>
          <w:bCs/>
          <w:u w:val="single"/>
        </w:rPr>
      </w:pPr>
      <w:r w:rsidRPr="00994604">
        <w:rPr>
          <w:b/>
          <w:bCs/>
          <w:u w:val="single"/>
        </w:rPr>
        <w:t>Abuse by Accreditation Authority</w:t>
      </w:r>
    </w:p>
    <w:p w14:paraId="6C6350EE" w14:textId="77777777" w:rsidR="00994604" w:rsidRDefault="00994604" w:rsidP="00994604"/>
    <w:p w14:paraId="4B737E3C" w14:textId="472F0BEB" w:rsidR="00994604" w:rsidRDefault="00994604" w:rsidP="007827A1">
      <w:pPr>
        <w:pStyle w:val="ListParagraph"/>
        <w:numPr>
          <w:ilvl w:val="0"/>
          <w:numId w:val="2"/>
        </w:numPr>
      </w:pPr>
      <w:r>
        <w:t xml:space="preserve">There is agreement that the Accreditation Authority should also be supervised for potential abuse and the proposed suggestion is that ICANN Org should be identified as the supervisor of accreditation authorities, but ICANN org IS the Accreditation Authority. Was this intended </w:t>
      </w:r>
      <w:r>
        <w:lastRenderedPageBreak/>
        <w:t xml:space="preserve">to indicate that if ICANN org outsources part or all of the Accreditation Authority functionalities, it is responsible for overseeing and addressing potential abuse? </w:t>
      </w:r>
    </w:p>
    <w:p w14:paraId="72E908F0" w14:textId="0B264001" w:rsidR="00994604" w:rsidRDefault="00994604" w:rsidP="00994604"/>
    <w:p w14:paraId="557210C6" w14:textId="4940ADD2" w:rsidR="00994604" w:rsidRDefault="00994604" w:rsidP="00994604">
      <w:pPr>
        <w:rPr>
          <w:b/>
          <w:bCs/>
          <w:u w:val="single"/>
        </w:rPr>
      </w:pPr>
      <w:r w:rsidRPr="00994604">
        <w:rPr>
          <w:b/>
          <w:bCs/>
          <w:u w:val="single"/>
        </w:rPr>
        <w:t>De-authorization of Identity Providers</w:t>
      </w:r>
    </w:p>
    <w:p w14:paraId="51593505" w14:textId="6653D196" w:rsidR="00994604" w:rsidRDefault="00994604" w:rsidP="00994604">
      <w:pPr>
        <w:rPr>
          <w:b/>
          <w:bCs/>
          <w:u w:val="single"/>
        </w:rPr>
      </w:pPr>
    </w:p>
    <w:p w14:paraId="389C605A" w14:textId="1F6F2C04" w:rsidR="00994604" w:rsidRDefault="00994604" w:rsidP="00994604">
      <w:r>
        <w:t xml:space="preserve">An appeals mechanism should be available for Identity Providers. </w:t>
      </w:r>
    </w:p>
    <w:p w14:paraId="06F84C3B" w14:textId="44965ED6" w:rsidR="00994604" w:rsidRDefault="00994604" w:rsidP="00994604">
      <w:r>
        <w:t xml:space="preserve">As the use of Identity Providers is optional, the Accreditation Authority is expected to develop an authentication policy for Identity Providers, if it decides to use Identity Providers, factoring in the policy recommendations and implementation guidance provided in the Final Report as well as any further guidance the IRT may provide in the implementation phase.  </w:t>
      </w:r>
    </w:p>
    <w:p w14:paraId="57C0FFE6" w14:textId="2225F153" w:rsidR="00994604" w:rsidRDefault="00994604" w:rsidP="00994604"/>
    <w:p w14:paraId="52240BA8" w14:textId="6B0A932E" w:rsidR="00994604" w:rsidRDefault="00994604" w:rsidP="007827A1">
      <w:pPr>
        <w:pStyle w:val="ListParagraph"/>
        <w:numPr>
          <w:ilvl w:val="0"/>
          <w:numId w:val="2"/>
        </w:numPr>
      </w:pPr>
      <w:r w:rsidRPr="008019C7">
        <w:t>Are there any further elements or aspects that</w:t>
      </w:r>
      <w:r>
        <w:t xml:space="preserve"> may</w:t>
      </w:r>
      <w:r w:rsidRPr="008019C7">
        <w:t xml:space="preserve"> require clarification</w:t>
      </w:r>
      <w:r>
        <w:t>?</w:t>
      </w:r>
    </w:p>
    <w:p w14:paraId="0FBD409A" w14:textId="52523AC6" w:rsidR="007827A1" w:rsidRDefault="007827A1" w:rsidP="007827A1"/>
    <w:p w14:paraId="37A59E37" w14:textId="7C5D20C5" w:rsidR="007827A1" w:rsidRPr="007827A1" w:rsidRDefault="007827A1" w:rsidP="007827A1">
      <w:pPr>
        <w:rPr>
          <w:b/>
          <w:bCs/>
          <w:u w:val="single"/>
        </w:rPr>
      </w:pPr>
      <w:r w:rsidRPr="007827A1">
        <w:rPr>
          <w:b/>
          <w:bCs/>
          <w:u w:val="single"/>
        </w:rPr>
        <w:t>Implementation guidance</w:t>
      </w:r>
    </w:p>
    <w:p w14:paraId="24A7BDAB" w14:textId="1BBF19C8" w:rsidR="00994604" w:rsidRDefault="00994604" w:rsidP="00994604"/>
    <w:p w14:paraId="0D4CDD02" w14:textId="54DF4443" w:rsidR="007827A1" w:rsidRPr="00994604" w:rsidRDefault="007827A1" w:rsidP="00994604">
      <w:r>
        <w:t xml:space="preserve">Indicate that further details in relation to ‘information asserting trademark ownership’ as well as ‘recognized, applicable and </w:t>
      </w:r>
      <w:proofErr w:type="gramStart"/>
      <w:r>
        <w:t>well established</w:t>
      </w:r>
      <w:proofErr w:type="gramEnd"/>
      <w:r>
        <w:t xml:space="preserve"> organizations’ will be further developed in the implementation phase. </w:t>
      </w:r>
    </w:p>
    <w:sectPr w:rsidR="007827A1" w:rsidRPr="00994604" w:rsidSect="007F1F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25BD3"/>
    <w:multiLevelType w:val="multilevel"/>
    <w:tmpl w:val="6BF04624"/>
    <w:lvl w:ilvl="0">
      <w:start w:val="1"/>
      <w:numFmt w:val="decimal"/>
      <w:lvlText w:val="%1"/>
      <w:lvlJc w:val="left"/>
      <w:pPr>
        <w:ind w:left="360" w:hanging="360"/>
      </w:pPr>
      <w:rPr>
        <w:rFonts w:eastAsia="Calibri" w:hint="default"/>
        <w:color w:val="000000"/>
      </w:rPr>
    </w:lvl>
    <w:lvl w:ilvl="1">
      <w:start w:val="7"/>
      <w:numFmt w:val="decimal"/>
      <w:lvlText w:val="%1.%2"/>
      <w:lvlJc w:val="left"/>
      <w:pPr>
        <w:ind w:left="720" w:hanging="360"/>
      </w:pPr>
      <w:rPr>
        <w:rFonts w:eastAsia="Calibri" w:hint="default"/>
        <w:b/>
        <w:bCs/>
        <w:color w:val="000000"/>
      </w:rPr>
    </w:lvl>
    <w:lvl w:ilvl="2">
      <w:start w:val="1"/>
      <w:numFmt w:val="decimal"/>
      <w:lvlText w:val="%1.%2.%3"/>
      <w:lvlJc w:val="left"/>
      <w:pPr>
        <w:ind w:left="1440" w:hanging="720"/>
      </w:pPr>
      <w:rPr>
        <w:rFonts w:eastAsia="Calibri" w:hint="default"/>
        <w:color w:val="000000"/>
      </w:rPr>
    </w:lvl>
    <w:lvl w:ilvl="3">
      <w:start w:val="1"/>
      <w:numFmt w:val="decimal"/>
      <w:lvlText w:val="%1.%2.%3.%4"/>
      <w:lvlJc w:val="left"/>
      <w:pPr>
        <w:ind w:left="1800" w:hanging="720"/>
      </w:pPr>
      <w:rPr>
        <w:rFonts w:eastAsia="Calibri" w:hint="default"/>
        <w:color w:val="000000"/>
      </w:rPr>
    </w:lvl>
    <w:lvl w:ilvl="4">
      <w:start w:val="1"/>
      <w:numFmt w:val="decimal"/>
      <w:lvlText w:val="%1.%2.%3.%4.%5"/>
      <w:lvlJc w:val="left"/>
      <w:pPr>
        <w:ind w:left="2520" w:hanging="1080"/>
      </w:pPr>
      <w:rPr>
        <w:rFonts w:eastAsia="Calibri" w:hint="default"/>
        <w:color w:val="000000"/>
      </w:rPr>
    </w:lvl>
    <w:lvl w:ilvl="5">
      <w:start w:val="1"/>
      <w:numFmt w:val="decimal"/>
      <w:lvlText w:val="%1.%2.%3.%4.%5.%6"/>
      <w:lvlJc w:val="left"/>
      <w:pPr>
        <w:ind w:left="2880" w:hanging="1080"/>
      </w:pPr>
      <w:rPr>
        <w:rFonts w:eastAsia="Calibri" w:hint="default"/>
        <w:color w:val="000000"/>
      </w:rPr>
    </w:lvl>
    <w:lvl w:ilvl="6">
      <w:start w:val="1"/>
      <w:numFmt w:val="decimal"/>
      <w:lvlText w:val="%1.%2.%3.%4.%5.%6.%7"/>
      <w:lvlJc w:val="left"/>
      <w:pPr>
        <w:ind w:left="3600" w:hanging="1440"/>
      </w:pPr>
      <w:rPr>
        <w:rFonts w:eastAsia="Calibri" w:hint="default"/>
        <w:color w:val="000000"/>
      </w:rPr>
    </w:lvl>
    <w:lvl w:ilvl="7">
      <w:start w:val="1"/>
      <w:numFmt w:val="decimal"/>
      <w:lvlText w:val="%1.%2.%3.%4.%5.%6.%7.%8"/>
      <w:lvlJc w:val="left"/>
      <w:pPr>
        <w:ind w:left="3960" w:hanging="1440"/>
      </w:pPr>
      <w:rPr>
        <w:rFonts w:eastAsia="Calibri" w:hint="default"/>
        <w:color w:val="000000"/>
      </w:rPr>
    </w:lvl>
    <w:lvl w:ilvl="8">
      <w:start w:val="1"/>
      <w:numFmt w:val="decimal"/>
      <w:lvlText w:val="%1.%2.%3.%4.%5.%6.%7.%8.%9"/>
      <w:lvlJc w:val="left"/>
      <w:pPr>
        <w:ind w:left="4680" w:hanging="1800"/>
      </w:pPr>
      <w:rPr>
        <w:rFonts w:eastAsia="Calibri" w:hint="default"/>
        <w:color w:val="000000"/>
      </w:rPr>
    </w:lvl>
  </w:abstractNum>
  <w:abstractNum w:abstractNumId="1" w15:restartNumberingAfterBreak="0">
    <w:nsid w:val="12D10154"/>
    <w:multiLevelType w:val="hybridMultilevel"/>
    <w:tmpl w:val="A84E64D4"/>
    <w:lvl w:ilvl="0" w:tplc="7E284CD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8B0E1B"/>
    <w:multiLevelType w:val="hybridMultilevel"/>
    <w:tmpl w:val="A84E64D4"/>
    <w:lvl w:ilvl="0" w:tplc="7E284CD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B1A87"/>
    <w:multiLevelType w:val="hybridMultilevel"/>
    <w:tmpl w:val="A84E64D4"/>
    <w:lvl w:ilvl="0" w:tplc="7E284CD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1C24D1"/>
    <w:multiLevelType w:val="multilevel"/>
    <w:tmpl w:val="A84E64D4"/>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BDF6E02"/>
    <w:multiLevelType w:val="hybridMultilevel"/>
    <w:tmpl w:val="A84E64D4"/>
    <w:lvl w:ilvl="0" w:tplc="7E284CD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1E070A"/>
    <w:multiLevelType w:val="multilevel"/>
    <w:tmpl w:val="78C451CA"/>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7" w15:restartNumberingAfterBreak="0">
    <w:nsid w:val="54B322A0"/>
    <w:multiLevelType w:val="hybridMultilevel"/>
    <w:tmpl w:val="8E745F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D0444C"/>
    <w:multiLevelType w:val="hybridMultilevel"/>
    <w:tmpl w:val="CAC45D7C"/>
    <w:lvl w:ilvl="0" w:tplc="04090001">
      <w:start w:val="1"/>
      <w:numFmt w:val="bullet"/>
      <w:lvlText w:val=""/>
      <w:lvlJc w:val="left"/>
      <w:pPr>
        <w:ind w:left="721"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21E62DB"/>
    <w:multiLevelType w:val="hybridMultilevel"/>
    <w:tmpl w:val="5DD4EE22"/>
    <w:lvl w:ilvl="0" w:tplc="04090001">
      <w:start w:val="1"/>
      <w:numFmt w:val="bullet"/>
      <w:lvlText w:val=""/>
      <w:lvlJc w:val="left"/>
      <w:pPr>
        <w:ind w:left="721"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66870D9A"/>
    <w:multiLevelType w:val="hybridMultilevel"/>
    <w:tmpl w:val="5E821932"/>
    <w:lvl w:ilvl="0" w:tplc="955082C0">
      <w:start w:val="12"/>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BC04EF"/>
    <w:multiLevelType w:val="multilevel"/>
    <w:tmpl w:val="7E26154A"/>
    <w:lvl w:ilvl="0">
      <w:start w:val="1"/>
      <w:numFmt w:val="bullet"/>
      <w:lvlText w:val="●"/>
      <w:lvlJc w:val="left"/>
      <w:pPr>
        <w:ind w:left="720" w:hanging="360"/>
      </w:pPr>
      <w:rPr>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F4F580D"/>
    <w:multiLevelType w:val="hybridMultilevel"/>
    <w:tmpl w:val="394C9736"/>
    <w:lvl w:ilvl="0" w:tplc="04090017">
      <w:start w:val="2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0"/>
  </w:num>
  <w:num w:numId="3">
    <w:abstractNumId w:val="11"/>
  </w:num>
  <w:num w:numId="4">
    <w:abstractNumId w:val="1"/>
  </w:num>
  <w:num w:numId="5">
    <w:abstractNumId w:val="3"/>
  </w:num>
  <w:num w:numId="6">
    <w:abstractNumId w:val="9"/>
  </w:num>
  <w:num w:numId="7">
    <w:abstractNumId w:val="5"/>
  </w:num>
  <w:num w:numId="8">
    <w:abstractNumId w:val="2"/>
  </w:num>
  <w:num w:numId="9">
    <w:abstractNumId w:val="6"/>
  </w:num>
  <w:num w:numId="10">
    <w:abstractNumId w:val="7"/>
  </w:num>
  <w:num w:numId="11">
    <w:abstractNumId w:val="0"/>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D93"/>
    <w:rsid w:val="00085DC8"/>
    <w:rsid w:val="000B7A30"/>
    <w:rsid w:val="00246C3B"/>
    <w:rsid w:val="00294726"/>
    <w:rsid w:val="00385D74"/>
    <w:rsid w:val="003D0195"/>
    <w:rsid w:val="005743C9"/>
    <w:rsid w:val="005E720C"/>
    <w:rsid w:val="005F102F"/>
    <w:rsid w:val="00626133"/>
    <w:rsid w:val="00632D93"/>
    <w:rsid w:val="007827A1"/>
    <w:rsid w:val="007F1FED"/>
    <w:rsid w:val="008019C7"/>
    <w:rsid w:val="008363A6"/>
    <w:rsid w:val="008C6FE4"/>
    <w:rsid w:val="00994604"/>
    <w:rsid w:val="009B766C"/>
    <w:rsid w:val="009F3108"/>
    <w:rsid w:val="00B06094"/>
    <w:rsid w:val="00B34569"/>
    <w:rsid w:val="00BE5129"/>
    <w:rsid w:val="00E53B3D"/>
    <w:rsid w:val="00EF35AF"/>
    <w:rsid w:val="00F10689"/>
    <w:rsid w:val="00F76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90825B"/>
  <w15:chartTrackingRefBased/>
  <w15:docId w15:val="{E82FA69F-37C5-DD40-AE12-11CB134DD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2D9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32D93"/>
    <w:rPr>
      <w:rFonts w:ascii="Times New Roman" w:hAnsi="Times New Roman" w:cs="Times New Roman"/>
      <w:sz w:val="18"/>
      <w:szCs w:val="18"/>
    </w:rPr>
  </w:style>
  <w:style w:type="paragraph" w:styleId="ListParagraph">
    <w:name w:val="List Paragraph"/>
    <w:basedOn w:val="Normal"/>
    <w:uiPriority w:val="34"/>
    <w:qFormat/>
    <w:rsid w:val="00632D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Caitlin Tubergen</cp:lastModifiedBy>
  <cp:revision>2</cp:revision>
  <dcterms:created xsi:type="dcterms:W3CDTF">2020-04-15T16:49:00Z</dcterms:created>
  <dcterms:modified xsi:type="dcterms:W3CDTF">2020-04-15T16:49:00Z</dcterms:modified>
</cp:coreProperties>
</file>