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7" w:rsidRDefault="00436B67" w:rsidP="0071461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Preliminary Recommendation #2. Accreditation of governmental entities</w:t>
      </w:r>
      <w:r w:rsidR="0015186C">
        <w:rPr>
          <w:b/>
          <w:sz w:val="22"/>
          <w:szCs w:val="22"/>
        </w:rPr>
        <w:t xml:space="preserve"> </w:t>
      </w:r>
    </w:p>
    <w:p w:rsidR="00E87597" w:rsidRDefault="00436B67">
      <w:p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436B67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Definitions</w:t>
      </w:r>
    </w:p>
    <w:p w:rsidR="00E87597" w:rsidRDefault="00E87597">
      <w:pPr>
        <w:rPr>
          <w:sz w:val="22"/>
          <w:szCs w:val="22"/>
        </w:rPr>
      </w:pPr>
    </w:p>
    <w:p w:rsidR="00E87597" w:rsidRDefault="00436B67">
      <w:pPr>
        <w:numPr>
          <w:ilvl w:val="0"/>
          <w:numId w:val="1"/>
        </w:numPr>
        <w:spacing w:before="20" w:line="252" w:lineRule="auto"/>
        <w:ind w:right="2400"/>
        <w:rPr>
          <w:sz w:val="22"/>
          <w:szCs w:val="22"/>
        </w:rPr>
      </w:pPr>
      <w:r>
        <w:rPr>
          <w:sz w:val="22"/>
          <w:szCs w:val="22"/>
        </w:rPr>
        <w:t>All definitions of the previous preliminary recommendation apply in addition to:</w:t>
      </w:r>
    </w:p>
    <w:p w:rsidR="00E87597" w:rsidRDefault="00436B67">
      <w:pPr>
        <w:numPr>
          <w:ilvl w:val="0"/>
          <w:numId w:val="1"/>
        </w:numPr>
        <w:spacing w:line="254" w:lineRule="auto"/>
        <w:ind w:right="1900"/>
        <w:rPr>
          <w:sz w:val="22"/>
          <w:szCs w:val="22"/>
        </w:rPr>
      </w:pPr>
      <w:r>
        <w:rPr>
          <w:sz w:val="22"/>
          <w:szCs w:val="22"/>
        </w:rPr>
        <w:t xml:space="preserve">Eligible government entity: a government entity (including local government) </w:t>
      </w:r>
      <w:r w:rsidR="0015186C">
        <w:rPr>
          <w:sz w:val="22"/>
          <w:szCs w:val="22"/>
        </w:rPr>
        <w:t xml:space="preserve">that </w:t>
      </w:r>
      <w:r w:rsidR="00366BB7">
        <w:rPr>
          <w:sz w:val="22"/>
          <w:szCs w:val="22"/>
        </w:rPr>
        <w:t>has a purpose</w:t>
      </w:r>
      <w:r>
        <w:rPr>
          <w:sz w:val="22"/>
          <w:szCs w:val="22"/>
        </w:rPr>
        <w:t xml:space="preserve"> to access RDDS data for the exercise of a public policy task</w:t>
      </w:r>
      <w:r w:rsidR="00466381">
        <w:rPr>
          <w:sz w:val="22"/>
          <w:szCs w:val="22"/>
        </w:rPr>
        <w:t xml:space="preserve"> within its mandate</w:t>
      </w:r>
      <w:r>
        <w:rPr>
          <w:sz w:val="22"/>
          <w:szCs w:val="22"/>
        </w:rPr>
        <w:t>.</w:t>
      </w:r>
    </w:p>
    <w:p w:rsidR="00E87597" w:rsidRDefault="00436B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436B67">
      <w:pPr>
        <w:pStyle w:val="Heading3"/>
        <w:keepNext w:val="0"/>
        <w:keepLines w:val="0"/>
        <w:spacing w:after="0"/>
        <w:rPr>
          <w:sz w:val="22"/>
          <w:szCs w:val="22"/>
        </w:rPr>
      </w:pPr>
      <w:bookmarkStart w:id="0" w:name="_33bkmc5bolme" w:colFirst="0" w:colLast="0"/>
      <w:bookmarkEnd w:id="0"/>
      <w:r>
        <w:rPr>
          <w:sz w:val="22"/>
          <w:szCs w:val="22"/>
        </w:rPr>
        <w:t>2. Objective of accreditation</w:t>
      </w:r>
    </w:p>
    <w:p w:rsidR="00E87597" w:rsidRDefault="00E87597"/>
    <w:p w:rsidR="00E87597" w:rsidRDefault="00436B67" w:rsidP="009C2302">
      <w:pPr>
        <w:spacing w:before="20" w:line="252" w:lineRule="auto"/>
        <w:ind w:right="1920"/>
        <w:rPr>
          <w:sz w:val="22"/>
          <w:szCs w:val="22"/>
        </w:rPr>
      </w:pPr>
      <w:r>
        <w:rPr>
          <w:sz w:val="22"/>
          <w:szCs w:val="22"/>
        </w:rPr>
        <w:t xml:space="preserve">SSAD </w:t>
      </w:r>
      <w:r w:rsidR="00366BB7">
        <w:rPr>
          <w:sz w:val="22"/>
          <w:szCs w:val="22"/>
        </w:rPr>
        <w:t>MUST</w:t>
      </w:r>
      <w:r>
        <w:rPr>
          <w:sz w:val="22"/>
          <w:szCs w:val="22"/>
        </w:rPr>
        <w:t xml:space="preserve"> ensure reasonable access to RDDS for entities that require access to this data for the exercise of their public policy task</w:t>
      </w:r>
      <w:r w:rsidR="00A14303">
        <w:rPr>
          <w:sz w:val="22"/>
          <w:szCs w:val="22"/>
        </w:rPr>
        <w:t>s</w:t>
      </w:r>
      <w:r>
        <w:rPr>
          <w:sz w:val="22"/>
          <w:szCs w:val="22"/>
        </w:rPr>
        <w:t xml:space="preserve">. In view of their obligations under applicable data protection rules, the final responsibility for granting access to RDDS data will remain with the party that is considered </w:t>
      </w:r>
      <w:r w:rsidR="00A14303">
        <w:rPr>
          <w:sz w:val="22"/>
          <w:szCs w:val="22"/>
        </w:rPr>
        <w:t xml:space="preserve">to be </w:t>
      </w:r>
      <w:r w:rsidR="009C2302">
        <w:rPr>
          <w:sz w:val="22"/>
          <w:szCs w:val="22"/>
        </w:rPr>
        <w:t xml:space="preserve">a </w:t>
      </w:r>
      <w:r>
        <w:rPr>
          <w:sz w:val="22"/>
          <w:szCs w:val="22"/>
        </w:rPr>
        <w:t>controller for the processing of that RDDS data that constitutes personal data.</w:t>
      </w:r>
    </w:p>
    <w:p w:rsidR="00E87597" w:rsidRDefault="00436B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436B67">
      <w:pPr>
        <w:spacing w:line="252" w:lineRule="auto"/>
        <w:ind w:right="2000"/>
        <w:rPr>
          <w:sz w:val="22"/>
          <w:szCs w:val="22"/>
        </w:rPr>
      </w:pPr>
      <w:r>
        <w:rPr>
          <w:sz w:val="22"/>
          <w:szCs w:val="22"/>
        </w:rPr>
        <w:t xml:space="preserve">Notwithstanding these obligations, the </w:t>
      </w:r>
      <w:r w:rsidR="00A14303">
        <w:rPr>
          <w:sz w:val="22"/>
          <w:szCs w:val="22"/>
        </w:rPr>
        <w:t xml:space="preserve">development and implementation of an accreditation procedure that specifically applies </w:t>
      </w:r>
      <w:r w:rsidR="00A77F27">
        <w:rPr>
          <w:sz w:val="22"/>
          <w:szCs w:val="22"/>
        </w:rPr>
        <w:t xml:space="preserve">to governmental entities will facilitate </w:t>
      </w:r>
      <w:r>
        <w:rPr>
          <w:sz w:val="22"/>
          <w:szCs w:val="22"/>
        </w:rPr>
        <w:t>decisions that these data controllers will need to make before granting access to RDDS data to a particular entity. Th</w:t>
      </w:r>
      <w:r w:rsidR="00A77F27">
        <w:rPr>
          <w:sz w:val="22"/>
          <w:szCs w:val="22"/>
        </w:rPr>
        <w:t>is</w:t>
      </w:r>
      <w:r>
        <w:rPr>
          <w:sz w:val="22"/>
          <w:szCs w:val="22"/>
        </w:rPr>
        <w:t xml:space="preserve"> accreditation procedure can provide data controllers with information necessary to allow them to assess and decide about the disclosure of data.</w:t>
      </w:r>
    </w:p>
    <w:p w:rsidR="00E87597" w:rsidRDefault="00436B67">
      <w:p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436B67">
      <w:pPr>
        <w:pStyle w:val="Heading3"/>
        <w:keepNext w:val="0"/>
        <w:keepLines w:val="0"/>
        <w:spacing w:after="0"/>
        <w:rPr>
          <w:sz w:val="22"/>
          <w:szCs w:val="22"/>
        </w:rPr>
      </w:pPr>
      <w:bookmarkStart w:id="1" w:name="_14tlgypjwhbq" w:colFirst="0" w:colLast="0"/>
      <w:bookmarkEnd w:id="1"/>
      <w:r>
        <w:rPr>
          <w:sz w:val="22"/>
          <w:szCs w:val="22"/>
        </w:rPr>
        <w:t>3. Eligibility</w:t>
      </w:r>
    </w:p>
    <w:p w:rsidR="00E87597" w:rsidRDefault="00E87597"/>
    <w:p w:rsidR="00E87597" w:rsidRDefault="00436B67">
      <w:pPr>
        <w:spacing w:before="20" w:line="252" w:lineRule="auto"/>
        <w:ind w:right="2000"/>
        <w:rPr>
          <w:sz w:val="22"/>
          <w:szCs w:val="22"/>
        </w:rPr>
      </w:pPr>
      <w:r>
        <w:rPr>
          <w:sz w:val="22"/>
          <w:szCs w:val="22"/>
        </w:rPr>
        <w:t>Accreditation by a countr</w:t>
      </w:r>
      <w:r w:rsidR="0015186C">
        <w:rPr>
          <w:sz w:val="22"/>
          <w:szCs w:val="22"/>
        </w:rPr>
        <w:t>y</w:t>
      </w:r>
      <w:r>
        <w:rPr>
          <w:sz w:val="22"/>
          <w:szCs w:val="22"/>
        </w:rPr>
        <w:t>’</w:t>
      </w:r>
      <w:r w:rsidR="0015186C">
        <w:rPr>
          <w:sz w:val="22"/>
          <w:szCs w:val="22"/>
        </w:rPr>
        <w:t>s</w:t>
      </w:r>
      <w:r>
        <w:rPr>
          <w:sz w:val="22"/>
          <w:szCs w:val="22"/>
        </w:rPr>
        <w:t>/territor</w:t>
      </w:r>
      <w:r w:rsidR="0015186C">
        <w:rPr>
          <w:sz w:val="22"/>
          <w:szCs w:val="22"/>
        </w:rPr>
        <w:t>y</w:t>
      </w:r>
      <w:r>
        <w:rPr>
          <w:sz w:val="22"/>
          <w:szCs w:val="22"/>
        </w:rPr>
        <w:t>’</w:t>
      </w:r>
      <w:r w:rsidR="0015186C">
        <w:rPr>
          <w:sz w:val="22"/>
          <w:szCs w:val="22"/>
        </w:rPr>
        <w:t>s</w:t>
      </w:r>
      <w:r>
        <w:rPr>
          <w:sz w:val="22"/>
          <w:szCs w:val="22"/>
        </w:rPr>
        <w:t xml:space="preserve"> government body or its authorized body</w:t>
      </w:r>
      <w:r w:rsidR="00466381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would be available to various eligible government entities that require access to non- public registration data for the exercise of their public policy task, including, but not limited to:</w:t>
      </w:r>
    </w:p>
    <w:p w:rsidR="00E87597" w:rsidRDefault="00436B67">
      <w:pPr>
        <w:numPr>
          <w:ilvl w:val="0"/>
          <w:numId w:val="6"/>
        </w:numPr>
        <w:spacing w:before="20"/>
        <w:rPr>
          <w:sz w:val="22"/>
          <w:szCs w:val="22"/>
        </w:rPr>
      </w:pPr>
      <w:r>
        <w:rPr>
          <w:sz w:val="22"/>
          <w:szCs w:val="22"/>
        </w:rPr>
        <w:t>Civil and criminal law enforcement authorities,</w:t>
      </w:r>
    </w:p>
    <w:p w:rsidR="00E87597" w:rsidRDefault="00436B6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Judicial authorities, </w:t>
      </w:r>
    </w:p>
    <w:p w:rsidR="00E87597" w:rsidRDefault="00436B6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Consumer rights organizations </w:t>
      </w:r>
      <w:r w:rsidR="002E68A1">
        <w:rPr>
          <w:sz w:val="22"/>
          <w:szCs w:val="22"/>
        </w:rPr>
        <w:t xml:space="preserve">granted </w:t>
      </w:r>
      <w:r>
        <w:rPr>
          <w:sz w:val="22"/>
          <w:szCs w:val="22"/>
        </w:rPr>
        <w:t>a public policy task</w:t>
      </w:r>
      <w:r w:rsidR="002E68A1">
        <w:rPr>
          <w:sz w:val="22"/>
          <w:szCs w:val="22"/>
        </w:rPr>
        <w:t xml:space="preserve"> by law or delegation from a governmental entity</w:t>
      </w:r>
      <w:r>
        <w:rPr>
          <w:sz w:val="22"/>
          <w:szCs w:val="22"/>
        </w:rPr>
        <w:t>,</w:t>
      </w:r>
    </w:p>
    <w:p w:rsidR="00E87597" w:rsidRDefault="00436B67">
      <w:pPr>
        <w:numPr>
          <w:ilvl w:val="0"/>
          <w:numId w:val="6"/>
        </w:numPr>
        <w:spacing w:line="254" w:lineRule="auto"/>
        <w:ind w:right="2260"/>
        <w:rPr>
          <w:sz w:val="22"/>
          <w:szCs w:val="22"/>
        </w:rPr>
      </w:pPr>
      <w:r>
        <w:rPr>
          <w:sz w:val="22"/>
          <w:szCs w:val="22"/>
        </w:rPr>
        <w:t xml:space="preserve">Cybersecurity authorities </w:t>
      </w:r>
      <w:r w:rsidR="002E68A1">
        <w:rPr>
          <w:sz w:val="22"/>
          <w:szCs w:val="22"/>
        </w:rPr>
        <w:t xml:space="preserve">granted </w:t>
      </w:r>
      <w:r>
        <w:rPr>
          <w:sz w:val="22"/>
          <w:szCs w:val="22"/>
        </w:rPr>
        <w:t xml:space="preserve"> a public policy task</w:t>
      </w:r>
      <w:r w:rsidR="002E68A1">
        <w:rPr>
          <w:sz w:val="22"/>
          <w:szCs w:val="22"/>
        </w:rPr>
        <w:t xml:space="preserve"> by law or delegation from a governmental entity</w:t>
      </w:r>
      <w:r>
        <w:rPr>
          <w:sz w:val="22"/>
          <w:szCs w:val="22"/>
        </w:rPr>
        <w:t>, including national Computer Emergency Response Teams (CERTs),</w:t>
      </w:r>
    </w:p>
    <w:p w:rsidR="00E87597" w:rsidRDefault="00436B67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Data protection authorities,</w:t>
      </w:r>
    </w:p>
    <w:p w:rsidR="00E87597" w:rsidRDefault="00436B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436B67">
      <w:pPr>
        <w:pStyle w:val="Heading3"/>
        <w:keepNext w:val="0"/>
        <w:keepLines w:val="0"/>
        <w:spacing w:before="0" w:after="0"/>
        <w:rPr>
          <w:sz w:val="22"/>
          <w:szCs w:val="22"/>
        </w:rPr>
      </w:pPr>
      <w:bookmarkStart w:id="2" w:name="_rc6mdb9pe1pk" w:colFirst="0" w:colLast="0"/>
      <w:bookmarkEnd w:id="2"/>
      <w:r>
        <w:rPr>
          <w:sz w:val="22"/>
          <w:szCs w:val="22"/>
        </w:rPr>
        <w:t>4. Determining eligibility</w:t>
      </w:r>
    </w:p>
    <w:p w:rsidR="00E87597" w:rsidRDefault="00E87597">
      <w:pPr>
        <w:spacing w:before="20" w:line="252" w:lineRule="auto"/>
        <w:ind w:right="2020"/>
        <w:rPr>
          <w:sz w:val="22"/>
          <w:szCs w:val="22"/>
        </w:rPr>
      </w:pPr>
    </w:p>
    <w:p w:rsidR="00E87597" w:rsidRDefault="00436B67">
      <w:pPr>
        <w:spacing w:before="20" w:line="252" w:lineRule="auto"/>
        <w:ind w:right="2020"/>
        <w:rPr>
          <w:sz w:val="22"/>
          <w:szCs w:val="22"/>
        </w:rPr>
      </w:pPr>
      <w:r>
        <w:rPr>
          <w:sz w:val="22"/>
          <w:szCs w:val="22"/>
        </w:rPr>
        <w:t>Eligible government entities are those that  require access to non-public RDDS data for the exercise of their public policy task, in compliance with applicable data protection laws. Whether an entity should be eligible is determined by a country/territory</w:t>
      </w:r>
      <w:r w:rsidR="00466381">
        <w:rPr>
          <w:sz w:val="22"/>
          <w:szCs w:val="22"/>
        </w:rPr>
        <w:t xml:space="preserve"> </w:t>
      </w:r>
      <w:r>
        <w:rPr>
          <w:sz w:val="22"/>
          <w:szCs w:val="22"/>
        </w:rPr>
        <w:t>nominated Accreditation Authority</w:t>
      </w:r>
      <w:r w:rsidR="004F1152">
        <w:rPr>
          <w:sz w:val="22"/>
          <w:szCs w:val="22"/>
        </w:rPr>
        <w:t xml:space="preserve">.  This eligibility determination does not affect </w:t>
      </w:r>
      <w:r>
        <w:rPr>
          <w:sz w:val="22"/>
          <w:szCs w:val="22"/>
        </w:rPr>
        <w:t xml:space="preserve"> the final responsibility of </w:t>
      </w:r>
      <w:r w:rsidR="004F115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4F1152">
        <w:rPr>
          <w:sz w:val="22"/>
          <w:szCs w:val="22"/>
        </w:rPr>
        <w:t xml:space="preserve">data controller to determine whether or not to </w:t>
      </w:r>
      <w:r>
        <w:rPr>
          <w:sz w:val="22"/>
          <w:szCs w:val="22"/>
        </w:rPr>
        <w:t>disclos</w:t>
      </w:r>
      <w:r w:rsidR="004F1152">
        <w:rPr>
          <w:sz w:val="22"/>
          <w:szCs w:val="22"/>
        </w:rPr>
        <w:t xml:space="preserve">e </w:t>
      </w:r>
      <w:r>
        <w:rPr>
          <w:sz w:val="22"/>
          <w:szCs w:val="22"/>
        </w:rPr>
        <w:t>personal data following a request for RDDS data.</w:t>
      </w:r>
    </w:p>
    <w:p w:rsidR="00E87597" w:rsidRDefault="00436B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Pr="00366BB7" w:rsidRDefault="00436B67" w:rsidP="00D87D16">
      <w:pPr>
        <w:pStyle w:val="Heading3"/>
        <w:keepNext w:val="0"/>
        <w:keepLines w:val="0"/>
        <w:spacing w:before="0" w:after="0"/>
        <w:rPr>
          <w:b w:val="0"/>
          <w:sz w:val="22"/>
          <w:szCs w:val="22"/>
        </w:rPr>
      </w:pPr>
      <w:bookmarkStart w:id="3" w:name="_ldrfm8ginr1y" w:colFirst="0" w:colLast="0"/>
      <w:bookmarkEnd w:id="3"/>
      <w:r>
        <w:rPr>
          <w:sz w:val="22"/>
          <w:szCs w:val="22"/>
        </w:rPr>
        <w:t xml:space="preserve">5. </w:t>
      </w:r>
      <w:r w:rsidR="00D87D16">
        <w:rPr>
          <w:sz w:val="22"/>
          <w:szCs w:val="22"/>
        </w:rPr>
        <w:t xml:space="preserve">Requirements of the Governmental </w:t>
      </w:r>
      <w:r>
        <w:rPr>
          <w:sz w:val="22"/>
          <w:szCs w:val="22"/>
        </w:rPr>
        <w:t>Accreditation requirements</w:t>
      </w:r>
    </w:p>
    <w:p w:rsidR="00E87597" w:rsidRDefault="00E87597">
      <w:pPr>
        <w:spacing w:before="20" w:line="252" w:lineRule="auto"/>
        <w:ind w:right="1960"/>
        <w:rPr>
          <w:sz w:val="22"/>
          <w:szCs w:val="22"/>
        </w:rPr>
      </w:pPr>
    </w:p>
    <w:p w:rsidR="00E87597" w:rsidRDefault="00D87D16">
      <w:pPr>
        <w:spacing w:before="20" w:line="252" w:lineRule="auto"/>
        <w:ind w:right="1960"/>
        <w:rPr>
          <w:sz w:val="22"/>
          <w:szCs w:val="22"/>
        </w:rPr>
      </w:pPr>
      <w:r>
        <w:rPr>
          <w:sz w:val="22"/>
          <w:szCs w:val="22"/>
        </w:rPr>
        <w:t xml:space="preserve">Governmental Accreditation requirements will follow the requirements set out in Rec. 1.3 </w:t>
      </w:r>
    </w:p>
    <w:p w:rsidR="00E87597" w:rsidRDefault="00436B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D87D16">
      <w:pPr>
        <w:rPr>
          <w:sz w:val="22"/>
          <w:szCs w:val="22"/>
        </w:rPr>
      </w:pPr>
      <w:r>
        <w:rPr>
          <w:sz w:val="22"/>
          <w:szCs w:val="22"/>
        </w:rPr>
        <w:t>Additionally t</w:t>
      </w:r>
      <w:r w:rsidR="00436B67">
        <w:rPr>
          <w:sz w:val="22"/>
          <w:szCs w:val="22"/>
        </w:rPr>
        <w:t>he requirements SHALL be listed and made available to eligible government entities.</w:t>
      </w:r>
    </w:p>
    <w:p w:rsidR="00E87597" w:rsidRDefault="00436B67">
      <w:p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Default="00E87597">
      <w:pPr>
        <w:rPr>
          <w:sz w:val="22"/>
          <w:szCs w:val="22"/>
        </w:rPr>
      </w:pPr>
    </w:p>
    <w:p w:rsidR="00E87597" w:rsidRDefault="00436B67">
      <w:pPr>
        <w:pStyle w:val="Heading3"/>
        <w:keepNext w:val="0"/>
        <w:keepLines w:val="0"/>
        <w:spacing w:after="0"/>
        <w:rPr>
          <w:sz w:val="22"/>
          <w:szCs w:val="22"/>
        </w:rPr>
      </w:pPr>
      <w:bookmarkStart w:id="4" w:name="_2yclyqyy5d3f" w:colFirst="0" w:colLast="0"/>
      <w:bookmarkEnd w:id="4"/>
      <w:r>
        <w:rPr>
          <w:sz w:val="22"/>
          <w:szCs w:val="22"/>
        </w:rPr>
        <w:t>6. Accreditation procedure</w:t>
      </w:r>
    </w:p>
    <w:p w:rsidR="00E87597" w:rsidRDefault="00E87597"/>
    <w:p w:rsidR="00E87597" w:rsidRDefault="00436B67">
      <w:pPr>
        <w:spacing w:before="20"/>
        <w:rPr>
          <w:sz w:val="22"/>
          <w:szCs w:val="22"/>
        </w:rPr>
      </w:pPr>
      <w:r>
        <w:rPr>
          <w:sz w:val="22"/>
          <w:szCs w:val="22"/>
        </w:rPr>
        <w:t>Accreditation would be provided by an approved accreditation authority. This authority</w:t>
      </w:r>
    </w:p>
    <w:p w:rsidR="00E87597" w:rsidRDefault="00436B67" w:rsidP="00E52135">
      <w:pPr>
        <w:spacing w:before="20"/>
        <w:rPr>
          <w:sz w:val="22"/>
          <w:szCs w:val="22"/>
        </w:rPr>
      </w:pPr>
      <w:r>
        <w:rPr>
          <w:sz w:val="22"/>
          <w:szCs w:val="22"/>
        </w:rPr>
        <w:t>may be either a countr</w:t>
      </w:r>
      <w:r w:rsidR="0015186C">
        <w:rPr>
          <w:sz w:val="22"/>
          <w:szCs w:val="22"/>
        </w:rPr>
        <w:t>y</w:t>
      </w:r>
      <w:r>
        <w:rPr>
          <w:sz w:val="22"/>
          <w:szCs w:val="22"/>
        </w:rPr>
        <w:t>’</w:t>
      </w:r>
      <w:r w:rsidR="0015186C">
        <w:rPr>
          <w:sz w:val="22"/>
          <w:szCs w:val="22"/>
        </w:rPr>
        <w:t>s</w:t>
      </w:r>
      <w:r>
        <w:rPr>
          <w:sz w:val="22"/>
          <w:szCs w:val="22"/>
        </w:rPr>
        <w:t>/territor</w:t>
      </w:r>
      <w:r w:rsidR="0015186C">
        <w:rPr>
          <w:sz w:val="22"/>
          <w:szCs w:val="22"/>
        </w:rPr>
        <w:t>y</w:t>
      </w:r>
      <w:r>
        <w:rPr>
          <w:sz w:val="22"/>
          <w:szCs w:val="22"/>
        </w:rPr>
        <w:t>’</w:t>
      </w:r>
      <w:r w:rsidR="0015186C">
        <w:rPr>
          <w:sz w:val="22"/>
          <w:szCs w:val="22"/>
        </w:rPr>
        <w:t>s</w:t>
      </w:r>
      <w:r>
        <w:rPr>
          <w:sz w:val="22"/>
          <w:szCs w:val="22"/>
        </w:rPr>
        <w:t xml:space="preserve"> governmental agency (e.g. a Ministry) or delegated to an intergovernmental agency. This authority SHOULD publish the requirements for accreditation and carry out the accreditation procedure for eligible government entities.</w:t>
      </w:r>
    </w:p>
    <w:p w:rsidR="00E87597" w:rsidRDefault="00436B6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7597" w:rsidRPr="00366BB7" w:rsidRDefault="00436B67" w:rsidP="00366BB7">
      <w:pPr>
        <w:pStyle w:val="ListParagraph"/>
        <w:numPr>
          <w:ilvl w:val="0"/>
          <w:numId w:val="10"/>
        </w:numPr>
        <w:spacing w:line="254" w:lineRule="auto"/>
        <w:ind w:right="2060"/>
        <w:rPr>
          <w:sz w:val="22"/>
          <w:szCs w:val="22"/>
        </w:rPr>
      </w:pPr>
      <w:r w:rsidRPr="00366BB7">
        <w:rPr>
          <w:sz w:val="22"/>
          <w:szCs w:val="22"/>
        </w:rPr>
        <w:t>Accreditation emphasizes the responsibilities of the data requestor (recipient), who is responsible for complying with the law.</w:t>
      </w:r>
    </w:p>
    <w:p w:rsidR="00366BB7" w:rsidRDefault="00366BB7" w:rsidP="00366BB7">
      <w:pPr>
        <w:spacing w:line="252" w:lineRule="auto"/>
        <w:ind w:right="2140"/>
        <w:jc w:val="both"/>
        <w:rPr>
          <w:sz w:val="22"/>
          <w:szCs w:val="22"/>
        </w:rPr>
      </w:pPr>
    </w:p>
    <w:p w:rsidR="00E87597" w:rsidRPr="00366BB7" w:rsidRDefault="00436B67" w:rsidP="00366BB7">
      <w:pPr>
        <w:pStyle w:val="ListParagraph"/>
        <w:numPr>
          <w:ilvl w:val="0"/>
          <w:numId w:val="10"/>
        </w:numPr>
        <w:spacing w:line="252" w:lineRule="auto"/>
        <w:ind w:right="2140"/>
        <w:jc w:val="both"/>
        <w:rPr>
          <w:sz w:val="22"/>
          <w:szCs w:val="22"/>
        </w:rPr>
      </w:pPr>
      <w:r w:rsidRPr="00366BB7">
        <w:rPr>
          <w:sz w:val="22"/>
          <w:szCs w:val="22"/>
        </w:rPr>
        <w:t>Accreditation will focus on the requirements of the law, such as requirements regarding data retention length, secure storage, organizational data controls, and breach notifications.</w:t>
      </w:r>
    </w:p>
    <w:p w:rsidR="00E87597" w:rsidRDefault="00436B67" w:rsidP="00366BB7">
      <w:pPr>
        <w:pStyle w:val="Heading3"/>
        <w:keepNext w:val="0"/>
        <w:keepLines w:val="0"/>
        <w:numPr>
          <w:ilvl w:val="0"/>
          <w:numId w:val="10"/>
        </w:numPr>
        <w:spacing w:after="0"/>
        <w:rPr>
          <w:b w:val="0"/>
          <w:sz w:val="22"/>
          <w:szCs w:val="22"/>
        </w:rPr>
      </w:pPr>
      <w:bookmarkStart w:id="5" w:name="_z7w1qxeo02g3" w:colFirst="0" w:colLast="0"/>
      <w:bookmarkEnd w:id="5"/>
      <w:r>
        <w:rPr>
          <w:b w:val="0"/>
          <w:sz w:val="22"/>
          <w:szCs w:val="22"/>
        </w:rPr>
        <w:t>Renewal</w:t>
      </w:r>
      <w:r w:rsidR="00366BB7">
        <w:rPr>
          <w:b w:val="0"/>
          <w:sz w:val="22"/>
          <w:szCs w:val="22"/>
        </w:rPr>
        <w:t>, Logging, Auditing, Complaint and De-accreditation will be handle as per Rec. 1</w:t>
      </w:r>
    </w:p>
    <w:p w:rsidR="00366BB7" w:rsidRDefault="00366BB7" w:rsidP="00366BB7">
      <w:pPr>
        <w:pStyle w:val="Heading3"/>
        <w:keepNext w:val="0"/>
        <w:keepLines w:val="0"/>
        <w:spacing w:before="0" w:after="0"/>
        <w:rPr>
          <w:b w:val="0"/>
          <w:sz w:val="22"/>
          <w:szCs w:val="22"/>
        </w:rPr>
      </w:pPr>
      <w:bookmarkStart w:id="6" w:name="_iasi594co4je" w:colFirst="0" w:colLast="0"/>
      <w:bookmarkStart w:id="7" w:name="_3mikqyft3mtz" w:colFirst="0" w:colLast="0"/>
      <w:bookmarkStart w:id="8" w:name="_vvyk3o6671rx" w:colFirst="0" w:colLast="0"/>
      <w:bookmarkEnd w:id="6"/>
      <w:bookmarkEnd w:id="7"/>
      <w:bookmarkEnd w:id="8"/>
    </w:p>
    <w:p w:rsidR="00E87597" w:rsidRDefault="00436B67" w:rsidP="00366BB7">
      <w:pPr>
        <w:pStyle w:val="Heading3"/>
        <w:keepNext w:val="0"/>
        <w:keepLines w:val="0"/>
        <w:numPr>
          <w:ilvl w:val="0"/>
          <w:numId w:val="10"/>
        </w:numPr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Data access</w:t>
      </w:r>
    </w:p>
    <w:p w:rsidR="00E87597" w:rsidRDefault="00E87597"/>
    <w:p w:rsidR="00E87597" w:rsidRDefault="00436B67">
      <w:pPr>
        <w:numPr>
          <w:ilvl w:val="0"/>
          <w:numId w:val="7"/>
        </w:numPr>
        <w:spacing w:before="20" w:line="252" w:lineRule="auto"/>
        <w:ind w:right="2060"/>
        <w:rPr>
          <w:sz w:val="22"/>
          <w:szCs w:val="22"/>
        </w:rPr>
      </w:pPr>
      <w:r>
        <w:rPr>
          <w:sz w:val="22"/>
          <w:szCs w:val="22"/>
        </w:rPr>
        <w:t>Accreditation is required for a party to participate in the access system (SSAD). Unaccredited parties can make data requests outside the system, and contracted parties should have procedures in place to provide reasonable access.</w:t>
      </w:r>
    </w:p>
    <w:p w:rsidR="00E87597" w:rsidRDefault="00436B67">
      <w:pPr>
        <w:numPr>
          <w:ilvl w:val="0"/>
          <w:numId w:val="7"/>
        </w:numPr>
        <w:spacing w:line="254" w:lineRule="auto"/>
        <w:ind w:right="1980"/>
        <w:rPr>
          <w:sz w:val="22"/>
          <w:szCs w:val="22"/>
        </w:rPr>
      </w:pPr>
      <w:r>
        <w:rPr>
          <w:sz w:val="22"/>
          <w:szCs w:val="22"/>
        </w:rPr>
        <w:t>Accreditation does not guarantee disclosure of the data. The final responsibility for the decision to disclose data lies with the data controller.</w:t>
      </w:r>
    </w:p>
    <w:p w:rsidR="00E87597" w:rsidRDefault="00436B67">
      <w:pPr>
        <w:numPr>
          <w:ilvl w:val="0"/>
          <w:numId w:val="7"/>
        </w:numPr>
        <w:spacing w:line="252" w:lineRule="auto"/>
        <w:ind w:right="2200"/>
        <w:rPr>
          <w:sz w:val="22"/>
          <w:szCs w:val="22"/>
        </w:rPr>
      </w:pPr>
      <w:r>
        <w:rPr>
          <w:sz w:val="22"/>
          <w:szCs w:val="22"/>
        </w:rPr>
        <w:t xml:space="preserve">Any accredited user will be expected to only </w:t>
      </w:r>
      <w:r w:rsidR="0015186C">
        <w:rPr>
          <w:sz w:val="22"/>
          <w:szCs w:val="22"/>
        </w:rPr>
        <w:t xml:space="preserve">request </w:t>
      </w:r>
      <w:r>
        <w:rPr>
          <w:sz w:val="22"/>
          <w:szCs w:val="22"/>
        </w:rPr>
        <w:t xml:space="preserve">the personal data that it needs to process in order to achieve its processing purposes. </w:t>
      </w:r>
      <w:r w:rsidR="00A64363">
        <w:rPr>
          <w:sz w:val="22"/>
          <w:szCs w:val="22"/>
        </w:rPr>
        <w:t>An accredited user</w:t>
      </w:r>
      <w:r>
        <w:rPr>
          <w:sz w:val="22"/>
          <w:szCs w:val="22"/>
        </w:rPr>
        <w:t xml:space="preserve"> will be obligated to minimize the number of queries they make to those that are reasonably necessary to achieve the purpose.</w:t>
      </w:r>
    </w:p>
    <w:p w:rsidR="00E87597" w:rsidRDefault="00436B67">
      <w:pPr>
        <w:numPr>
          <w:ilvl w:val="0"/>
          <w:numId w:val="7"/>
        </w:numPr>
        <w:spacing w:line="252" w:lineRule="auto"/>
        <w:ind w:right="2600"/>
        <w:rPr>
          <w:sz w:val="22"/>
          <w:szCs w:val="22"/>
        </w:rPr>
      </w:pPr>
      <w:r>
        <w:rPr>
          <w:sz w:val="22"/>
          <w:szCs w:val="22"/>
        </w:rPr>
        <w:t xml:space="preserve">Accredited  </w:t>
      </w:r>
      <w:r w:rsidR="00A64363">
        <w:rPr>
          <w:sz w:val="22"/>
          <w:szCs w:val="22"/>
        </w:rPr>
        <w:t xml:space="preserve">users </w:t>
      </w:r>
      <w:r>
        <w:rPr>
          <w:sz w:val="22"/>
          <w:szCs w:val="22"/>
        </w:rPr>
        <w:t xml:space="preserve">will be required to follow the safeguards as set by the </w:t>
      </w:r>
      <w:r w:rsidR="0015186C">
        <w:rPr>
          <w:sz w:val="22"/>
          <w:szCs w:val="22"/>
        </w:rPr>
        <w:t xml:space="preserve">policy. </w:t>
      </w:r>
      <w:r>
        <w:rPr>
          <w:sz w:val="22"/>
          <w:szCs w:val="22"/>
        </w:rPr>
        <w:t>This is without prejudice for the entity to respect safeguards under its domestic law</w:t>
      </w:r>
    </w:p>
    <w:p w:rsidR="00E87597" w:rsidRDefault="00A64363">
      <w:pPr>
        <w:numPr>
          <w:ilvl w:val="0"/>
          <w:numId w:val="7"/>
        </w:numPr>
        <w:spacing w:line="252" w:lineRule="auto"/>
        <w:ind w:right="1940"/>
        <w:rPr>
          <w:sz w:val="22"/>
          <w:szCs w:val="22"/>
        </w:rPr>
      </w:pPr>
      <w:r>
        <w:rPr>
          <w:sz w:val="22"/>
          <w:szCs w:val="22"/>
        </w:rPr>
        <w:t>The possibility of d</w:t>
      </w:r>
      <w:r w:rsidR="00436B67">
        <w:rPr>
          <w:sz w:val="22"/>
          <w:szCs w:val="22"/>
        </w:rPr>
        <w:t xml:space="preserve">isclosure of RDDS data to </w:t>
      </w:r>
      <w:r>
        <w:rPr>
          <w:sz w:val="22"/>
          <w:szCs w:val="22"/>
        </w:rPr>
        <w:t>accredited governmental entities</w:t>
      </w:r>
      <w:r w:rsidR="00366BB7">
        <w:rPr>
          <w:sz w:val="22"/>
          <w:szCs w:val="22"/>
        </w:rPr>
        <w:t xml:space="preserve"> including law enforcement</w:t>
      </w:r>
      <w:r>
        <w:rPr>
          <w:sz w:val="22"/>
          <w:szCs w:val="22"/>
        </w:rPr>
        <w:t xml:space="preserve"> </w:t>
      </w:r>
      <w:r w:rsidR="00436B67">
        <w:rPr>
          <w:sz w:val="22"/>
          <w:szCs w:val="22"/>
        </w:rPr>
        <w:t xml:space="preserve"> MUST be made clear to the data subject. Upon a request from a data subject inquiring about the exact processing activities of their data within the SSAD, relevant information SHOULD be disclosed as soon as reasonably feasible. However,</w:t>
      </w:r>
      <w:r w:rsidR="00E54302">
        <w:rPr>
          <w:sz w:val="22"/>
          <w:szCs w:val="22"/>
        </w:rPr>
        <w:t xml:space="preserve"> </w:t>
      </w:r>
      <w:r w:rsidR="00E54302" w:rsidRPr="00E54302">
        <w:rPr>
          <w:sz w:val="22"/>
          <w:szCs w:val="22"/>
        </w:rPr>
        <w:t>if there is a risk that the applicable investigation or legal procedure could be compromised if the request for data were disclosed to the data subject, then</w:t>
      </w:r>
      <w:r w:rsidR="00436B67">
        <w:rPr>
          <w:sz w:val="22"/>
          <w:szCs w:val="22"/>
        </w:rPr>
        <w:t xml:space="preserve"> </w:t>
      </w:r>
      <w:r w:rsidR="0015186C" w:rsidRPr="0015186C">
        <w:rPr>
          <w:sz w:val="22"/>
          <w:szCs w:val="22"/>
        </w:rPr>
        <w:t>the SSAD</w:t>
      </w:r>
      <w:r w:rsidR="00E54302">
        <w:rPr>
          <w:sz w:val="22"/>
          <w:szCs w:val="22"/>
        </w:rPr>
        <w:t xml:space="preserve"> and/or the disclosing entity</w:t>
      </w:r>
      <w:r w:rsidR="0015186C" w:rsidRPr="0015186C">
        <w:rPr>
          <w:sz w:val="22"/>
          <w:szCs w:val="22"/>
        </w:rPr>
        <w:t xml:space="preserve"> </w:t>
      </w:r>
      <w:r w:rsidR="00E54302">
        <w:rPr>
          <w:sz w:val="22"/>
          <w:szCs w:val="22"/>
        </w:rPr>
        <w:t>MAY</w:t>
      </w:r>
      <w:r w:rsidR="0015186C" w:rsidRPr="0015186C">
        <w:rPr>
          <w:sz w:val="22"/>
          <w:szCs w:val="22"/>
        </w:rPr>
        <w:t xml:space="preserve"> </w:t>
      </w:r>
      <w:r w:rsidR="00436B67">
        <w:rPr>
          <w:sz w:val="22"/>
          <w:szCs w:val="22"/>
        </w:rPr>
        <w:t xml:space="preserve">keep the nature or existence of these requests confidential from the data subject. Confidential requests </w:t>
      </w:r>
      <w:r w:rsidR="003E69FA">
        <w:rPr>
          <w:sz w:val="22"/>
          <w:szCs w:val="22"/>
        </w:rPr>
        <w:t xml:space="preserve">MAY </w:t>
      </w:r>
      <w:r w:rsidR="00436B67">
        <w:rPr>
          <w:sz w:val="22"/>
          <w:szCs w:val="22"/>
        </w:rPr>
        <w:t>be disclosed to data subjects in cooperation with the requesting authority, and in accordance with the data subject's rights under applicable law.</w:t>
      </w:r>
    </w:p>
    <w:p w:rsidR="00E87597" w:rsidRDefault="00436B67">
      <w:pPr>
        <w:numPr>
          <w:ilvl w:val="0"/>
          <w:numId w:val="7"/>
        </w:numPr>
        <w:spacing w:line="254" w:lineRule="auto"/>
        <w:ind w:right="1960"/>
        <w:rPr>
          <w:sz w:val="22"/>
          <w:szCs w:val="22"/>
        </w:rPr>
      </w:pPr>
      <w:r>
        <w:rPr>
          <w:sz w:val="22"/>
          <w:szCs w:val="22"/>
        </w:rPr>
        <w:t>Accredited entities SHOULD indicate the requirement for confidentiality for any requests where applicable.</w:t>
      </w:r>
    </w:p>
    <w:p w:rsidR="00E87597" w:rsidRDefault="00436B67">
      <w:pPr>
        <w:numPr>
          <w:ilvl w:val="0"/>
          <w:numId w:val="7"/>
        </w:numPr>
        <w:spacing w:line="254" w:lineRule="auto"/>
        <w:ind w:right="2120"/>
        <w:rPr>
          <w:sz w:val="22"/>
          <w:szCs w:val="22"/>
        </w:rPr>
      </w:pPr>
      <w:r>
        <w:rPr>
          <w:sz w:val="22"/>
          <w:szCs w:val="22"/>
        </w:rPr>
        <w:t>Accredited entities SHOULD provide details to aid the disclosure decision such as any applicable local law relating to the request.</w:t>
      </w:r>
    </w:p>
    <w:p w:rsidR="00E87597" w:rsidRDefault="00E87597">
      <w:pPr>
        <w:rPr>
          <w:b/>
          <w:sz w:val="22"/>
          <w:szCs w:val="22"/>
        </w:rPr>
      </w:pPr>
      <w:bookmarkStart w:id="9" w:name="_1hphxlbyr62y" w:colFirst="0" w:colLast="0"/>
      <w:bookmarkEnd w:id="9"/>
    </w:p>
    <w:sectPr w:rsidR="00E87597"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34" w:rsidRDefault="006C5434">
      <w:r>
        <w:separator/>
      </w:r>
    </w:p>
  </w:endnote>
  <w:endnote w:type="continuationSeparator" w:id="0">
    <w:p w:rsidR="006C5434" w:rsidRDefault="006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97" w:rsidRDefault="00436B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7597" w:rsidRDefault="00E875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97" w:rsidRDefault="00436B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71461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E87597" w:rsidRDefault="00E875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34" w:rsidRDefault="006C5434">
      <w:r>
        <w:separator/>
      </w:r>
    </w:p>
  </w:footnote>
  <w:footnote w:type="continuationSeparator" w:id="0">
    <w:p w:rsidR="006C5434" w:rsidRDefault="006C5434">
      <w:r>
        <w:continuationSeparator/>
      </w:r>
    </w:p>
  </w:footnote>
  <w:footnote w:id="1">
    <w:p w:rsidR="00466381" w:rsidRDefault="00466381">
      <w:pPr>
        <w:pStyle w:val="FootnoteText"/>
      </w:pPr>
      <w:r>
        <w:rPr>
          <w:rStyle w:val="FootnoteReference"/>
        </w:rPr>
        <w:footnoteRef/>
      </w:r>
      <w:r>
        <w:t xml:space="preserve"> Implementation consideration: such a body could be an International </w:t>
      </w:r>
      <w:r w:rsidR="003B3900">
        <w:t xml:space="preserve">Governmental </w:t>
      </w:r>
      <w:proofErr w:type="spellStart"/>
      <w:r w:rsidR="003B3900">
        <w:t>Organisation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F2"/>
    <w:multiLevelType w:val="multilevel"/>
    <w:tmpl w:val="9C3A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EE5873"/>
    <w:multiLevelType w:val="multilevel"/>
    <w:tmpl w:val="F6024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5020D3"/>
    <w:multiLevelType w:val="multilevel"/>
    <w:tmpl w:val="0FC0B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26358E"/>
    <w:multiLevelType w:val="multilevel"/>
    <w:tmpl w:val="A27AC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EE065B"/>
    <w:multiLevelType w:val="multilevel"/>
    <w:tmpl w:val="EBB89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84D2A99"/>
    <w:multiLevelType w:val="hybridMultilevel"/>
    <w:tmpl w:val="F982B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65E9"/>
    <w:multiLevelType w:val="multilevel"/>
    <w:tmpl w:val="B55E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684114"/>
    <w:multiLevelType w:val="multilevel"/>
    <w:tmpl w:val="95B83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D13B42"/>
    <w:multiLevelType w:val="hybridMultilevel"/>
    <w:tmpl w:val="0AAE2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D0461"/>
    <w:multiLevelType w:val="hybridMultilevel"/>
    <w:tmpl w:val="79D42F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abien Betremieux">
    <w15:presenceInfo w15:providerId="AD" w15:userId="S::fabien.betremieux@icann.org::69f519c1-0eac-44c0-a832-7bc539d7a2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7"/>
    <w:rsid w:val="0015186C"/>
    <w:rsid w:val="001767D1"/>
    <w:rsid w:val="00204AB4"/>
    <w:rsid w:val="002E68A1"/>
    <w:rsid w:val="00350877"/>
    <w:rsid w:val="00366BB7"/>
    <w:rsid w:val="003B3900"/>
    <w:rsid w:val="003E69FA"/>
    <w:rsid w:val="004045EC"/>
    <w:rsid w:val="00436B67"/>
    <w:rsid w:val="00466381"/>
    <w:rsid w:val="004F1152"/>
    <w:rsid w:val="00664061"/>
    <w:rsid w:val="006C5434"/>
    <w:rsid w:val="00714615"/>
    <w:rsid w:val="00820FF7"/>
    <w:rsid w:val="00854998"/>
    <w:rsid w:val="00952F25"/>
    <w:rsid w:val="009C2302"/>
    <w:rsid w:val="00A14303"/>
    <w:rsid w:val="00A1473F"/>
    <w:rsid w:val="00A64363"/>
    <w:rsid w:val="00A77F27"/>
    <w:rsid w:val="00A91228"/>
    <w:rsid w:val="00B949D0"/>
    <w:rsid w:val="00BA7E2D"/>
    <w:rsid w:val="00CC6EFC"/>
    <w:rsid w:val="00D87D16"/>
    <w:rsid w:val="00E0541D"/>
    <w:rsid w:val="00E52135"/>
    <w:rsid w:val="00E54302"/>
    <w:rsid w:val="00E87597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0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3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3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0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3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3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3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FA140A3C.dotm</Template>
  <TotalTime>18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Kapin, Laureen</dc:creator>
  <cp:lastModifiedBy>Fabien Betremieux</cp:lastModifiedBy>
  <cp:revision>3</cp:revision>
  <dcterms:created xsi:type="dcterms:W3CDTF">2020-06-02T17:55:00Z</dcterms:created>
  <dcterms:modified xsi:type="dcterms:W3CDTF">2020-06-02T18:32:00Z</dcterms:modified>
</cp:coreProperties>
</file>