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E574" w14:textId="0125C5C4" w:rsidR="00D907F2" w:rsidRDefault="009F19CB">
      <w:pPr>
        <w:pBdr>
          <w:bottom w:val="single" w:sz="4" w:space="1" w:color="000000"/>
        </w:pBdr>
        <w:rPr>
          <w:b/>
        </w:rPr>
      </w:pPr>
      <w:bookmarkStart w:id="0" w:name="_gjdgxs" w:colFirst="0" w:colLast="0"/>
      <w:bookmarkEnd w:id="0"/>
      <w:r>
        <w:rPr>
          <w:b/>
        </w:rPr>
        <w:t xml:space="preserve">Feasibility of unique contacts – Input </w:t>
      </w:r>
      <w:r w:rsidR="00CC158E">
        <w:rPr>
          <w:b/>
        </w:rPr>
        <w:t>Received (Status 12 January 2021)</w:t>
      </w:r>
    </w:p>
    <w:p w14:paraId="276E59BA" w14:textId="77777777" w:rsidR="00D907F2" w:rsidRDefault="00D907F2"/>
    <w:p w14:paraId="4F74EC17" w14:textId="77777777" w:rsidR="00D907F2" w:rsidRDefault="009F19CB">
      <w:pPr>
        <w:keepNext/>
      </w:pPr>
      <w:r>
        <w:rPr>
          <w:b/>
        </w:rPr>
        <w:t>Definitions</w:t>
      </w:r>
      <w:r>
        <w:t xml:space="preserve"> (derived from the legal committee questions):</w:t>
      </w:r>
    </w:p>
    <w:p w14:paraId="53921F0C" w14:textId="77777777" w:rsidR="00D907F2" w:rsidRDefault="00D907F2"/>
    <w:p w14:paraId="27BDF065" w14:textId="77777777" w:rsidR="00D907F2" w:rsidRDefault="009F19CB">
      <w:pPr>
        <w:keepNext/>
      </w:pPr>
      <w:r>
        <w:t xml:space="preserve">Unique contacts: the option of replacing the email address provided by the data subject with an alternate email address that would in and of itself </w:t>
      </w:r>
      <w:proofErr w:type="gramStart"/>
      <w:r>
        <w:t>not identify</w:t>
      </w:r>
      <w:proofErr w:type="gramEnd"/>
      <w:r>
        <w:t xml:space="preserve"> the data subject. </w:t>
      </w:r>
    </w:p>
    <w:p w14:paraId="3CBC0EC9" w14:textId="77777777" w:rsidR="00D907F2" w:rsidRDefault="009F19CB">
      <w:pPr>
        <w:keepNext/>
      </w:pPr>
      <w:proofErr w:type="spellStart"/>
      <w:r>
        <w:t>Pseudonymisation</w:t>
      </w:r>
      <w:proofErr w:type="spellEnd"/>
      <w:r>
        <w:t>: the same unique string is used for multiple registrations by the data subject.</w:t>
      </w:r>
    </w:p>
    <w:p w14:paraId="1590026C" w14:textId="77777777" w:rsidR="00D907F2" w:rsidRDefault="009F19CB">
      <w:pPr>
        <w:keepNext/>
      </w:pPr>
      <w:r>
        <w:t>Anonymization: the string would be unique for each registration by the data subject</w:t>
      </w:r>
      <w:r>
        <w:rPr>
          <w:i/>
        </w:rPr>
        <w:t>.</w:t>
      </w:r>
    </w:p>
    <w:p w14:paraId="50B9B510" w14:textId="77777777" w:rsidR="00D907F2" w:rsidRDefault="00D907F2"/>
    <w:p w14:paraId="7F63F9C1" w14:textId="77777777" w:rsidR="00D907F2" w:rsidRDefault="009F19CB">
      <w:r>
        <w:rPr>
          <w:b/>
        </w:rPr>
        <w:t>Clarifying questions in relation to legal memo</w:t>
      </w:r>
      <w:r>
        <w:t xml:space="preserve"> (see </w:t>
      </w:r>
      <w:hyperlink r:id="rId5">
        <w:r>
          <w:rPr>
            <w:color w:val="0563C1"/>
            <w:u w:val="single"/>
          </w:rPr>
          <w:t>https://community.icann.org/x/YoAmCQ</w:t>
        </w:r>
      </w:hyperlink>
      <w:r>
        <w:t xml:space="preserve">)  </w:t>
      </w:r>
    </w:p>
    <w:p w14:paraId="3971643D" w14:textId="7868F481" w:rsidR="00D907F2" w:rsidRDefault="00D907F2"/>
    <w:p w14:paraId="6D78F577" w14:textId="66657063" w:rsidR="00CC158E" w:rsidRPr="00132ED4" w:rsidRDefault="00CC158E">
      <w:pPr>
        <w:rPr>
          <w:u w:val="single"/>
        </w:rPr>
      </w:pPr>
      <w:r w:rsidRPr="00132ED4">
        <w:rPr>
          <w:u w:val="single"/>
        </w:rPr>
        <w:t>Definitions</w:t>
      </w:r>
    </w:p>
    <w:p w14:paraId="5C95857E" w14:textId="6F2F1274" w:rsidR="00CC158E" w:rsidRDefault="00CC158E"/>
    <w:p w14:paraId="71ACA09D" w14:textId="77777777" w:rsidR="00CC158E" w:rsidRDefault="00CC158E" w:rsidP="00CC158E">
      <w:pPr>
        <w:pStyle w:val="ListParagraph"/>
        <w:numPr>
          <w:ilvl w:val="0"/>
          <w:numId w:val="1"/>
        </w:numPr>
      </w:pPr>
      <w:r>
        <w:t>Clear, universally accepted definitions:</w:t>
      </w:r>
    </w:p>
    <w:p w14:paraId="069A9290" w14:textId="77777777" w:rsidR="00CC158E" w:rsidRDefault="00CC158E" w:rsidP="00CC158E">
      <w:pPr>
        <w:pStyle w:val="ListParagraph"/>
        <w:ind w:left="360"/>
      </w:pPr>
      <w:r>
        <w:t>a.    Uniform: over what scope?</w:t>
      </w:r>
    </w:p>
    <w:p w14:paraId="7BE3EA9E" w14:textId="1C354B81" w:rsidR="00CC158E" w:rsidRDefault="00CC158E" w:rsidP="00E81DEC">
      <w:pPr>
        <w:pStyle w:val="ListParagraph"/>
        <w:ind w:left="360"/>
      </w:pPr>
      <w:r>
        <w:t xml:space="preserve">b.    </w:t>
      </w:r>
      <w:proofErr w:type="spellStart"/>
      <w:r>
        <w:t>Pseudonymisation</w:t>
      </w:r>
      <w:proofErr w:type="spellEnd"/>
      <w:r>
        <w:t>: over all registrations, or within a registrar?</w:t>
      </w:r>
    </w:p>
    <w:p w14:paraId="5D2119DE" w14:textId="44D91ED8" w:rsidR="00CC158E" w:rsidRDefault="00CC158E" w:rsidP="00CC158E">
      <w:pPr>
        <w:ind w:left="360"/>
      </w:pPr>
      <w:r>
        <w:t xml:space="preserve">(Alan Greenberg &amp; </w:t>
      </w:r>
      <w:proofErr w:type="spellStart"/>
      <w:r>
        <w:t>Hadia</w:t>
      </w:r>
      <w:proofErr w:type="spellEnd"/>
      <w:r>
        <w:t xml:space="preserve"> El </w:t>
      </w:r>
      <w:proofErr w:type="spellStart"/>
      <w:r>
        <w:t>Miniawi</w:t>
      </w:r>
      <w:proofErr w:type="spellEnd"/>
      <w:r>
        <w:t>, ALAC)</w:t>
      </w:r>
    </w:p>
    <w:p w14:paraId="152FAD6B" w14:textId="77750EA6" w:rsidR="00CC158E" w:rsidRDefault="00CC158E"/>
    <w:p w14:paraId="782B88A5" w14:textId="77777777" w:rsidR="00E81DEC" w:rsidRPr="00E81DEC" w:rsidRDefault="00E81DEC" w:rsidP="00E81DEC">
      <w:pPr>
        <w:pStyle w:val="ListParagraph"/>
        <w:numPr>
          <w:ilvl w:val="0"/>
          <w:numId w:val="1"/>
        </w:numPr>
        <w:rPr>
          <w:rFonts w:ascii="Times New Roman" w:eastAsia="Times New Roman" w:hAnsi="Times New Roman" w:cs="Times New Roman"/>
          <w:lang w:val="en-BE" w:eastAsia="en-GB"/>
        </w:rPr>
      </w:pPr>
      <w:r w:rsidRPr="00E81DEC">
        <w:t>To</w:t>
      </w:r>
      <w:r w:rsidRPr="00E81DEC">
        <w:rPr>
          <w:rFonts w:eastAsia="Times New Roman"/>
          <w:color w:val="000000"/>
          <w:lang w:val="en-BE" w:eastAsia="en-GB"/>
        </w:rPr>
        <w:t xml:space="preserve"> supplement the comment above regarding the need to achieve a common understanding on the various terms used:</w:t>
      </w:r>
    </w:p>
    <w:p w14:paraId="63AFAB57" w14:textId="4AA859C4" w:rsidR="00E81DEC" w:rsidRPr="00E81DEC" w:rsidRDefault="00E81DEC" w:rsidP="00E81DEC">
      <w:pPr>
        <w:pStyle w:val="ListParagraph"/>
        <w:ind w:left="360"/>
        <w:rPr>
          <w:rFonts w:eastAsia="Times New Roman"/>
          <w:color w:val="000000"/>
          <w:lang w:val="en-BE" w:eastAsia="en-GB"/>
        </w:rPr>
      </w:pPr>
      <w:r w:rsidRPr="00E81DEC">
        <w:rPr>
          <w:rFonts w:eastAsia="Times New Roman"/>
          <w:color w:val="000000"/>
          <w:lang w:val="en-BE" w:eastAsia="en-GB"/>
        </w:rPr>
        <w:t xml:space="preserve">What is unique </w:t>
      </w:r>
      <w:r w:rsidRPr="00E81DEC">
        <w:rPr>
          <w:rFonts w:eastAsia="Times New Roman"/>
          <w:i/>
          <w:iCs/>
          <w:color w:val="000000"/>
          <w:lang w:val="en-BE" w:eastAsia="en-GB"/>
        </w:rPr>
        <w:t xml:space="preserve">vs </w:t>
      </w:r>
      <w:r w:rsidRPr="00E81DEC">
        <w:rPr>
          <w:rFonts w:eastAsia="Times New Roman"/>
          <w:color w:val="000000"/>
          <w:lang w:val="en-BE" w:eastAsia="en-GB"/>
        </w:rPr>
        <w:t>uniform contact?</w:t>
      </w:r>
      <w:r>
        <w:rPr>
          <w:rFonts w:eastAsia="Times New Roman"/>
          <w:color w:val="000000"/>
          <w:lang w:eastAsia="en-GB"/>
        </w:rPr>
        <w:t xml:space="preserve"> </w:t>
      </w:r>
      <w:r w:rsidRPr="00E81DEC">
        <w:rPr>
          <w:rFonts w:eastAsia="Times New Roman"/>
          <w:color w:val="000000"/>
          <w:lang w:eastAsia="en-GB"/>
        </w:rPr>
        <w:t>I</w:t>
      </w:r>
      <w:r w:rsidRPr="00E81DEC">
        <w:rPr>
          <w:rFonts w:eastAsia="Times New Roman"/>
          <w:color w:val="000000"/>
          <w:lang w:val="en-BE" w:eastAsia="en-GB"/>
        </w:rPr>
        <w:t>n the legal memo it is mentioned that:</w:t>
      </w:r>
    </w:p>
    <w:p w14:paraId="60BFF83B" w14:textId="36253B76" w:rsidR="00E81DEC" w:rsidRPr="00E81DEC" w:rsidRDefault="00E81DEC" w:rsidP="00E81DEC">
      <w:pPr>
        <w:ind w:left="360"/>
        <w:rPr>
          <w:rFonts w:ascii="Times New Roman" w:eastAsia="Times New Roman" w:hAnsi="Times New Roman" w:cs="Times New Roman"/>
          <w:lang w:eastAsia="en-GB"/>
        </w:rPr>
      </w:pPr>
      <w:r w:rsidRPr="00E81DEC">
        <w:rPr>
          <w:rFonts w:eastAsia="Times New Roman"/>
          <w:color w:val="000000"/>
          <w:lang w:val="en-BE" w:eastAsia="en-GB"/>
        </w:rPr>
        <w:t>“where the same unique string would be used for multiple registrations by the data subject” → this would be  'pseudonymisation', and</w:t>
      </w:r>
      <w:r>
        <w:rPr>
          <w:rFonts w:ascii="Times New Roman" w:eastAsia="Times New Roman" w:hAnsi="Times New Roman" w:cs="Times New Roman"/>
          <w:lang w:eastAsia="en-GB"/>
        </w:rPr>
        <w:t xml:space="preserve"> </w:t>
      </w:r>
      <w:r w:rsidRPr="00E81DEC">
        <w:rPr>
          <w:rFonts w:eastAsia="Times New Roman"/>
          <w:color w:val="000000"/>
          <w:lang w:val="en-BE" w:eastAsia="en-GB"/>
        </w:rPr>
        <w:t xml:space="preserve">“where the string would be </w:t>
      </w:r>
      <w:r w:rsidRPr="00E81DEC">
        <w:rPr>
          <w:rFonts w:eastAsia="Times New Roman"/>
          <w:i/>
          <w:iCs/>
          <w:color w:val="000000"/>
          <w:lang w:val="en-BE" w:eastAsia="en-GB"/>
        </w:rPr>
        <w:t>unique for each registration</w:t>
      </w:r>
      <w:r w:rsidRPr="00E81DEC">
        <w:rPr>
          <w:rFonts w:eastAsia="Times New Roman"/>
          <w:color w:val="000000"/>
          <w:lang w:val="en-BE" w:eastAsia="en-GB"/>
        </w:rPr>
        <w:t>” → this would be 'anonymization'</w:t>
      </w:r>
      <w:r>
        <w:rPr>
          <w:rFonts w:eastAsia="Times New Roman"/>
          <w:color w:val="000000"/>
          <w:lang w:eastAsia="en-GB"/>
        </w:rPr>
        <w:t>.</w:t>
      </w:r>
      <w:r>
        <w:rPr>
          <w:rFonts w:ascii="Times New Roman" w:eastAsia="Times New Roman" w:hAnsi="Times New Roman" w:cs="Times New Roman"/>
          <w:lang w:eastAsia="en-GB"/>
        </w:rPr>
        <w:t xml:space="preserve"> </w:t>
      </w:r>
      <w:r w:rsidRPr="00E81DEC">
        <w:rPr>
          <w:rFonts w:eastAsia="Times New Roman"/>
          <w:color w:val="000000"/>
          <w:lang w:val="en-BE" w:eastAsia="en-GB"/>
        </w:rPr>
        <w:t>At some point, there was reference to ‘uniform’ contact as a contact which remains the same across all registries/registrars. Does this mean that the unique string remains or not?</w:t>
      </w:r>
      <w:r>
        <w:rPr>
          <w:rFonts w:eastAsia="Times New Roman"/>
          <w:color w:val="000000"/>
          <w:lang w:eastAsia="en-GB"/>
        </w:rPr>
        <w:t xml:space="preserve"> (</w:t>
      </w:r>
      <w:r w:rsidRPr="00E81DEC">
        <w:rPr>
          <w:rFonts w:eastAsia="Times New Roman"/>
          <w:color w:val="000000"/>
          <w:lang w:val="en-BE" w:eastAsia="en-GB"/>
        </w:rPr>
        <w:t>Melina Stroungi</w:t>
      </w:r>
      <w:r>
        <w:rPr>
          <w:rFonts w:eastAsia="Times New Roman"/>
          <w:color w:val="000000"/>
          <w:lang w:eastAsia="en-GB"/>
        </w:rPr>
        <w:t xml:space="preserve">, </w:t>
      </w:r>
      <w:r w:rsidRPr="00E81DEC">
        <w:rPr>
          <w:rFonts w:eastAsia="Times New Roman"/>
          <w:color w:val="000000"/>
          <w:lang w:val="en-BE" w:eastAsia="en-GB"/>
        </w:rPr>
        <w:t>GAC</w:t>
      </w:r>
      <w:r>
        <w:rPr>
          <w:rFonts w:eastAsia="Times New Roman"/>
          <w:color w:val="000000"/>
          <w:lang w:eastAsia="en-GB"/>
        </w:rPr>
        <w:t xml:space="preserve"> – p.1)</w:t>
      </w:r>
    </w:p>
    <w:p w14:paraId="62E2562B" w14:textId="77777777" w:rsidR="00E81DEC" w:rsidRDefault="00E81DEC"/>
    <w:p w14:paraId="3CF42E59" w14:textId="4592E513" w:rsidR="00132ED4" w:rsidRPr="00132ED4" w:rsidRDefault="00132ED4">
      <w:pPr>
        <w:rPr>
          <w:u w:val="single"/>
        </w:rPr>
      </w:pPr>
      <w:r w:rsidRPr="00132ED4">
        <w:rPr>
          <w:u w:val="single"/>
        </w:rPr>
        <w:t>Relevance of CP retaining personal data</w:t>
      </w:r>
    </w:p>
    <w:p w14:paraId="47515B17" w14:textId="77777777" w:rsidR="00132ED4" w:rsidRDefault="00132ED4"/>
    <w:p w14:paraId="532F3E77" w14:textId="7EA2D1A3" w:rsidR="00CC158E" w:rsidRPr="00CC158E" w:rsidRDefault="00CC158E">
      <w:pPr>
        <w:rPr>
          <w:rFonts w:asciiTheme="majorHAnsi" w:hAnsiTheme="majorHAnsi"/>
          <w:szCs w:val="22"/>
          <w:lang w:eastAsia="en-GB"/>
        </w:rPr>
      </w:pPr>
      <w:r w:rsidRPr="00CC158E">
        <w:t xml:space="preserve">Paragraph 8: </w:t>
      </w:r>
      <w:r w:rsidRPr="00CC158E">
        <w:rPr>
          <w:rFonts w:asciiTheme="majorHAnsi" w:hAnsiTheme="majorHAnsi"/>
          <w:szCs w:val="22"/>
          <w:lang w:eastAsia="en-GB"/>
        </w:rPr>
        <w:t>Regardless of whether or not the data would be considered personal data from the third party's perspective, it can still be personal data at least from Contracted Parties/ICANN's perspective and (for some data protection authorities) this also affects whether it is personal in the hands of the recipient – as set out in the position taken by the </w:t>
      </w:r>
      <w:r w:rsidR="00E81DEC">
        <w:fldChar w:fldCharType="begin"/>
      </w:r>
      <w:r w:rsidR="00E81DEC">
        <w:instrText xml:space="preserve"> HYPERLINK "https://protect-eu.mimecast.com/s/-AXAC73qvspVyRoi8Tuec" </w:instrText>
      </w:r>
      <w:r w:rsidR="00E81DEC">
        <w:fldChar w:fldCharType="separate"/>
      </w:r>
      <w:r w:rsidRPr="00CC158E">
        <w:rPr>
          <w:rFonts w:asciiTheme="majorHAnsi" w:hAnsiTheme="majorHAnsi"/>
          <w:color w:val="800080"/>
          <w:szCs w:val="22"/>
          <w:u w:val="single"/>
          <w:lang w:eastAsia="en-GB"/>
        </w:rPr>
        <w:t>Article 29 Working Party's 2014 Opinion on Anonymization techniques [ec.europa.eu]</w:t>
      </w:r>
      <w:r w:rsidR="00E81DEC">
        <w:rPr>
          <w:rFonts w:asciiTheme="majorHAnsi" w:hAnsiTheme="majorHAnsi"/>
          <w:color w:val="800080"/>
          <w:szCs w:val="22"/>
          <w:u w:val="single"/>
          <w:lang w:eastAsia="en-GB"/>
        </w:rPr>
        <w:fldChar w:fldCharType="end"/>
      </w:r>
      <w:r w:rsidRPr="00CC158E">
        <w:rPr>
          <w:rFonts w:asciiTheme="majorHAnsi" w:hAnsiTheme="majorHAnsi"/>
          <w:color w:val="1F497D"/>
          <w:szCs w:val="22"/>
          <w:lang w:eastAsia="en-GB"/>
        </w:rPr>
        <w:t xml:space="preserve">, </w:t>
      </w:r>
      <w:r w:rsidRPr="00CC158E">
        <w:rPr>
          <w:rFonts w:asciiTheme="majorHAnsi" w:hAnsiTheme="majorHAnsi"/>
          <w:szCs w:val="22"/>
          <w:lang w:eastAsia="en-GB"/>
        </w:rPr>
        <w:t>also mentioned at the outset of this advice:"when a data controller does not delete the original (identifiable) data at event-level, and the data controller hands over part of this dataset (for example after removal or masking of identifiable data), the resulting dataset is still personal data."</w:t>
      </w:r>
    </w:p>
    <w:p w14:paraId="5017C404" w14:textId="3AC7BE98" w:rsidR="00CC158E" w:rsidRDefault="00CC158E">
      <w:pPr>
        <w:rPr>
          <w:rFonts w:asciiTheme="majorHAnsi" w:hAnsiTheme="majorHAnsi"/>
          <w:i/>
          <w:iCs/>
          <w:szCs w:val="22"/>
          <w:lang w:eastAsia="en-GB"/>
        </w:rPr>
      </w:pPr>
    </w:p>
    <w:p w14:paraId="1BE7B1B3" w14:textId="2EBB028D" w:rsidR="00CC158E" w:rsidRPr="00CC158E" w:rsidRDefault="00CC158E" w:rsidP="00CC158E">
      <w:pPr>
        <w:pStyle w:val="ListParagraph"/>
        <w:numPr>
          <w:ilvl w:val="0"/>
          <w:numId w:val="1"/>
        </w:numPr>
      </w:pPr>
      <w:r>
        <w:t xml:space="preserve">Relevance of ¶ 8 -- why is fact that CP’s retain personal data relevant?  They have Registrant personal data by virtue of their business </w:t>
      </w:r>
      <w:proofErr w:type="gramStart"/>
      <w:r>
        <w:t>relationship,</w:t>
      </w:r>
      <w:proofErr w:type="gramEnd"/>
      <w:r>
        <w:t xml:space="preserve"> hence they do not have additional PI by virtue of anonymizing. (Laureen </w:t>
      </w:r>
      <w:proofErr w:type="spellStart"/>
      <w:r>
        <w:t>Kapin</w:t>
      </w:r>
      <w:proofErr w:type="spellEnd"/>
      <w:r>
        <w:t>, GAC – page 2-3, paragraph 8)</w:t>
      </w:r>
    </w:p>
    <w:p w14:paraId="6916D394" w14:textId="77777777" w:rsidR="00B6011C" w:rsidRDefault="00B6011C">
      <w:pPr>
        <w:rPr>
          <w:u w:val="single"/>
        </w:rPr>
      </w:pPr>
    </w:p>
    <w:p w14:paraId="75F5C63E" w14:textId="2B334625" w:rsidR="00CC158E" w:rsidRPr="00132ED4" w:rsidRDefault="00132ED4" w:rsidP="00E81DEC">
      <w:pPr>
        <w:keepNext/>
        <w:rPr>
          <w:u w:val="single"/>
        </w:rPr>
      </w:pPr>
      <w:r w:rsidRPr="00132ED4">
        <w:rPr>
          <w:u w:val="single"/>
        </w:rPr>
        <w:lastRenderedPageBreak/>
        <w:t>Masking</w:t>
      </w:r>
    </w:p>
    <w:p w14:paraId="72025637" w14:textId="77777777" w:rsidR="00132ED4" w:rsidRDefault="00132ED4" w:rsidP="00E81DEC">
      <w:pPr>
        <w:keepNext/>
      </w:pPr>
    </w:p>
    <w:p w14:paraId="73694622" w14:textId="68C6C7C2" w:rsidR="00CC158E" w:rsidRDefault="00132ED4" w:rsidP="00E81DEC">
      <w:pPr>
        <w:keepNext/>
        <w:rPr>
          <w:rFonts w:asciiTheme="majorHAnsi" w:hAnsiTheme="majorHAnsi"/>
          <w:i/>
          <w:iCs/>
          <w:szCs w:val="22"/>
          <w:lang w:eastAsia="en-GB"/>
        </w:rPr>
      </w:pPr>
      <w:r>
        <w:t>“</w:t>
      </w:r>
      <w:r w:rsidRPr="008905D1">
        <w:rPr>
          <w:rFonts w:asciiTheme="majorHAnsi" w:hAnsiTheme="majorHAnsi"/>
          <w:szCs w:val="22"/>
          <w:lang w:eastAsia="en-GB"/>
        </w:rPr>
        <w:t>We think either option ((a) or (b)) would still be treated as the publication of personal data on the web. This would seem to be a case covered by a statement made in the </w:t>
      </w:r>
      <w:hyperlink r:id="rId6" w:history="1">
        <w:r w:rsidRPr="008905D1">
          <w:rPr>
            <w:rFonts w:asciiTheme="majorHAnsi" w:hAnsiTheme="majorHAnsi"/>
            <w:color w:val="800080"/>
            <w:szCs w:val="22"/>
            <w:u w:val="single"/>
            <w:lang w:eastAsia="en-GB"/>
          </w:rPr>
          <w:t>Article 29 Working Party's 2014 Opinion on Anonymization techniques [ec.europa.eu]</w:t>
        </w:r>
      </w:hyperlink>
      <w:r w:rsidRPr="008905D1">
        <w:rPr>
          <w:rFonts w:asciiTheme="majorHAnsi" w:hAnsiTheme="majorHAnsi"/>
          <w:color w:val="1F497D"/>
          <w:szCs w:val="22"/>
          <w:lang w:eastAsia="en-GB"/>
        </w:rPr>
        <w:t>: </w:t>
      </w:r>
      <w:r w:rsidRPr="008905D1">
        <w:rPr>
          <w:rFonts w:asciiTheme="majorHAnsi" w:hAnsiTheme="majorHAnsi"/>
          <w:color w:val="000000"/>
          <w:szCs w:val="22"/>
          <w:lang w:eastAsia="en-GB"/>
        </w:rPr>
        <w:t> </w:t>
      </w:r>
      <w:r w:rsidRPr="008905D1">
        <w:rPr>
          <w:rFonts w:asciiTheme="majorHAnsi" w:hAnsiTheme="majorHAnsi"/>
          <w:i/>
          <w:iCs/>
          <w:color w:val="000000"/>
          <w:szCs w:val="22"/>
          <w:lang w:eastAsia="en-GB"/>
        </w:rPr>
        <w:t xml:space="preserve">"when a data </w:t>
      </w:r>
      <w:r w:rsidRPr="008905D1">
        <w:rPr>
          <w:rFonts w:asciiTheme="majorHAnsi" w:hAnsiTheme="majorHAnsi"/>
          <w:i/>
          <w:iCs/>
          <w:szCs w:val="22"/>
          <w:lang w:eastAsia="en-GB"/>
        </w:rPr>
        <w:t>controller does not delete the original (identifiable) data at event-level, and the data controller hands over part of this dataset (for example after removal or masking of identifiable data), the resulting dataset is still personal data."</w:t>
      </w:r>
    </w:p>
    <w:p w14:paraId="4E77924D" w14:textId="77777777" w:rsidR="00132ED4" w:rsidRDefault="00132ED4"/>
    <w:p w14:paraId="77235B36" w14:textId="187C0007" w:rsidR="00CC158E" w:rsidRDefault="00CC158E" w:rsidP="00132ED4">
      <w:pPr>
        <w:pStyle w:val="ListParagraph"/>
        <w:numPr>
          <w:ilvl w:val="0"/>
          <w:numId w:val="1"/>
        </w:numPr>
      </w:pPr>
      <w:r>
        <w:t>What is the relevance of introducing the concept of “masking” (</w:t>
      </w:r>
      <w:proofErr w:type="spellStart"/>
      <w:proofErr w:type="gramStart"/>
      <w:r>
        <w:t>ie</w:t>
      </w:r>
      <w:proofErr w:type="spellEnd"/>
      <w:proofErr w:type="gramEnd"/>
      <w:r>
        <w:t xml:space="preserve"> blocking part or parts of the original address) when that concept was never suggesting in respect to email addresses? (Alan Greenberg &amp; </w:t>
      </w:r>
      <w:proofErr w:type="spellStart"/>
      <w:r>
        <w:t>Hadia</w:t>
      </w:r>
      <w:proofErr w:type="spellEnd"/>
      <w:r>
        <w:t xml:space="preserve"> El </w:t>
      </w:r>
      <w:proofErr w:type="spellStart"/>
      <w:r>
        <w:t>Miniawi</w:t>
      </w:r>
      <w:proofErr w:type="spellEnd"/>
      <w:r>
        <w:t>, ALAC)</w:t>
      </w:r>
    </w:p>
    <w:p w14:paraId="2E112490" w14:textId="2FDB255C" w:rsidR="00CC158E" w:rsidRDefault="00CC158E"/>
    <w:p w14:paraId="0535158A" w14:textId="41B55C71" w:rsidR="00E81DEC" w:rsidRPr="00E81DEC" w:rsidRDefault="00E81DEC">
      <w:pPr>
        <w:rPr>
          <w:u w:val="single"/>
        </w:rPr>
      </w:pPr>
      <w:r w:rsidRPr="00E81DEC">
        <w:rPr>
          <w:rFonts w:eastAsia="Times New Roman"/>
          <w:color w:val="000000"/>
          <w:u w:val="single"/>
          <w:lang w:eastAsia="en-GB"/>
        </w:rPr>
        <w:t>P</w:t>
      </w:r>
      <w:r w:rsidRPr="00E81DEC">
        <w:rPr>
          <w:rFonts w:eastAsia="Times New Roman"/>
          <w:color w:val="000000"/>
          <w:u w:val="single"/>
          <w:lang w:val="en-BE" w:eastAsia="en-GB"/>
        </w:rPr>
        <w:t>seudonymisation</w:t>
      </w:r>
    </w:p>
    <w:p w14:paraId="5C20F49F" w14:textId="77777777" w:rsidR="00E81DEC" w:rsidRDefault="00E81DEC"/>
    <w:p w14:paraId="05021F91" w14:textId="77777777" w:rsidR="00E81DEC" w:rsidRPr="00E81DEC" w:rsidRDefault="00E81DEC" w:rsidP="00E81DEC">
      <w:pPr>
        <w:pStyle w:val="ListParagraph"/>
        <w:numPr>
          <w:ilvl w:val="0"/>
          <w:numId w:val="1"/>
        </w:numPr>
        <w:rPr>
          <w:rFonts w:ascii="Times New Roman" w:eastAsia="Times New Roman" w:hAnsi="Times New Roman" w:cs="Times New Roman"/>
          <w:lang w:val="en-BE" w:eastAsia="en-GB"/>
        </w:rPr>
      </w:pPr>
      <w:r w:rsidRPr="00E81DEC">
        <w:t>Could</w:t>
      </w:r>
      <w:r w:rsidRPr="00E81DEC">
        <w:rPr>
          <w:rFonts w:eastAsia="Times New Roman"/>
          <w:color w:val="000000"/>
          <w:lang w:val="en-BE" w:eastAsia="en-GB"/>
        </w:rPr>
        <w:t xml:space="preserve"> we have an example of how ‘pseudonymisation’ would work in practice?</w:t>
      </w:r>
    </w:p>
    <w:p w14:paraId="15188999" w14:textId="77777777" w:rsidR="00E81DEC" w:rsidRDefault="00E81DEC" w:rsidP="00E81DEC">
      <w:pPr>
        <w:ind w:left="360"/>
        <w:rPr>
          <w:rFonts w:ascii="Times New Roman" w:eastAsia="Times New Roman" w:hAnsi="Times New Roman" w:cs="Times New Roman"/>
          <w:lang w:val="en-BE" w:eastAsia="en-GB"/>
        </w:rPr>
      </w:pPr>
      <w:r w:rsidRPr="00E81DEC">
        <w:rPr>
          <w:rFonts w:eastAsia="Times New Roman"/>
          <w:color w:val="000000"/>
          <w:lang w:val="en-BE" w:eastAsia="en-GB"/>
        </w:rPr>
        <w:t>The legal memo defines pseudonymisation as ‘the same unique string being used for multiple registrations by the data subject’.</w:t>
      </w:r>
      <w:r>
        <w:rPr>
          <w:rFonts w:ascii="Times New Roman" w:eastAsia="Times New Roman" w:hAnsi="Times New Roman" w:cs="Times New Roman"/>
          <w:lang w:eastAsia="en-GB"/>
        </w:rPr>
        <w:t xml:space="preserve"> </w:t>
      </w:r>
      <w:r w:rsidRPr="00E81DEC">
        <w:rPr>
          <w:rFonts w:eastAsia="Times New Roman"/>
          <w:color w:val="000000"/>
          <w:lang w:val="en-BE" w:eastAsia="en-GB"/>
        </w:rPr>
        <w:t>However it does not further explain:</w:t>
      </w:r>
    </w:p>
    <w:p w14:paraId="3E03AF07" w14:textId="77777777" w:rsidR="00E81DEC" w:rsidRDefault="00E81DEC" w:rsidP="00E81DEC">
      <w:pPr>
        <w:ind w:left="360"/>
        <w:rPr>
          <w:rFonts w:ascii="Times New Roman" w:eastAsia="Times New Roman" w:hAnsi="Times New Roman" w:cs="Times New Roman"/>
          <w:lang w:val="en-BE" w:eastAsia="en-GB"/>
        </w:rPr>
      </w:pPr>
      <w:r w:rsidRPr="00E81DEC">
        <w:rPr>
          <w:rFonts w:eastAsia="Times New Roman"/>
          <w:color w:val="000000"/>
          <w:lang w:val="en-BE" w:eastAsia="en-GB"/>
        </w:rPr>
        <w:t>1) how a unique string can be used for multiple registrations (e.g., do the different registrars communicate at the time of registration and exchange this unique string along with other personal data of the registrant? Or is there a common database where all strings corresponding to each registration are listed?)</w:t>
      </w:r>
    </w:p>
    <w:p w14:paraId="641CBAA5" w14:textId="77777777" w:rsidR="00E81DEC" w:rsidRDefault="00E81DEC" w:rsidP="00E81DEC">
      <w:pPr>
        <w:ind w:left="360"/>
        <w:rPr>
          <w:rFonts w:ascii="Times New Roman" w:eastAsia="Times New Roman" w:hAnsi="Times New Roman" w:cs="Times New Roman"/>
          <w:lang w:val="en-BE" w:eastAsia="en-GB"/>
        </w:rPr>
      </w:pPr>
      <w:r w:rsidRPr="00E81DEC">
        <w:rPr>
          <w:rFonts w:eastAsia="Times New Roman"/>
          <w:color w:val="000000"/>
          <w:lang w:val="en-BE" w:eastAsia="en-GB"/>
        </w:rPr>
        <w:t>2) how different information of the individual can be combined to trace back to that individual (which is the GDPR definition of pseudonymisation).</w:t>
      </w:r>
    </w:p>
    <w:p w14:paraId="0074CBB3" w14:textId="23942389" w:rsidR="00E81DEC" w:rsidRDefault="00E81DEC" w:rsidP="00E81DEC">
      <w:pPr>
        <w:ind w:left="360"/>
        <w:rPr>
          <w:rFonts w:eastAsia="Times New Roman"/>
          <w:color w:val="000000"/>
          <w:lang w:val="en-BE" w:eastAsia="en-GB"/>
        </w:rPr>
      </w:pPr>
      <w:r w:rsidRPr="00E81DEC">
        <w:rPr>
          <w:rFonts w:eastAsia="Times New Roman"/>
          <w:color w:val="000000"/>
          <w:lang w:val="en-BE" w:eastAsia="en-GB"/>
        </w:rPr>
        <w:t>Assuming that different information can be combined to trace back to that individual, would such tracing be possible only for registries/registrars or also for third parties?</w:t>
      </w:r>
    </w:p>
    <w:p w14:paraId="2FB9A6A7" w14:textId="68EB0867" w:rsidR="00E81DEC" w:rsidRPr="00E81DEC" w:rsidRDefault="00E81DEC" w:rsidP="00E81DEC">
      <w:pPr>
        <w:ind w:left="360"/>
        <w:rPr>
          <w:rFonts w:ascii="Times New Roman" w:eastAsia="Times New Roman" w:hAnsi="Times New Roman" w:cs="Times New Roman"/>
          <w:lang w:eastAsia="en-GB"/>
        </w:rPr>
      </w:pPr>
      <w:r>
        <w:rPr>
          <w:rFonts w:eastAsia="Times New Roman"/>
          <w:color w:val="000000"/>
          <w:lang w:eastAsia="en-GB"/>
        </w:rPr>
        <w:t>(</w:t>
      </w:r>
      <w:r w:rsidRPr="00E81DEC">
        <w:rPr>
          <w:rFonts w:eastAsia="Times New Roman"/>
          <w:color w:val="000000"/>
          <w:lang w:val="en-BE" w:eastAsia="en-GB"/>
        </w:rPr>
        <w:t>Melina Stroungi</w:t>
      </w:r>
      <w:r>
        <w:rPr>
          <w:rFonts w:eastAsia="Times New Roman"/>
          <w:color w:val="000000"/>
          <w:lang w:eastAsia="en-GB"/>
        </w:rPr>
        <w:t xml:space="preserve">, </w:t>
      </w:r>
      <w:r w:rsidRPr="00E81DEC">
        <w:rPr>
          <w:rFonts w:eastAsia="Times New Roman"/>
          <w:color w:val="000000"/>
          <w:lang w:val="en-BE" w:eastAsia="en-GB"/>
        </w:rPr>
        <w:t>GAC</w:t>
      </w:r>
      <w:r>
        <w:rPr>
          <w:rFonts w:eastAsia="Times New Roman"/>
          <w:color w:val="000000"/>
          <w:lang w:eastAsia="en-GB"/>
        </w:rPr>
        <w:t xml:space="preserve"> – p.1)</w:t>
      </w:r>
    </w:p>
    <w:p w14:paraId="79DDA629" w14:textId="77777777" w:rsidR="00E81DEC" w:rsidRDefault="00E81DEC"/>
    <w:p w14:paraId="79571CDC" w14:textId="06C4203E" w:rsidR="00CC158E" w:rsidRPr="00132ED4" w:rsidRDefault="009F19CB">
      <w:pPr>
        <w:rPr>
          <w:u w:val="single"/>
        </w:rPr>
      </w:pPr>
      <w:r>
        <w:rPr>
          <w:u w:val="single"/>
        </w:rPr>
        <w:t>General/</w:t>
      </w:r>
      <w:r w:rsidR="00CC158E" w:rsidRPr="00132ED4">
        <w:rPr>
          <w:u w:val="single"/>
        </w:rPr>
        <w:t>Conclusions</w:t>
      </w:r>
    </w:p>
    <w:p w14:paraId="61D05364" w14:textId="3E09647A" w:rsidR="00CC158E" w:rsidRDefault="00CC158E"/>
    <w:p w14:paraId="096083CD" w14:textId="0E41A967" w:rsidR="00CC158E" w:rsidRDefault="00CC158E" w:rsidP="00CC158E">
      <w:pPr>
        <w:pStyle w:val="ListParagraph"/>
        <w:numPr>
          <w:ilvl w:val="0"/>
          <w:numId w:val="1"/>
        </w:numPr>
      </w:pPr>
      <w:r>
        <w:t>Hasn’t the legal memo already established that a pseudonymized email is personally identifiable information and should not be published? (Milton Mueller, NCSG – Summary, page 1)</w:t>
      </w:r>
    </w:p>
    <w:p w14:paraId="19824203" w14:textId="77777777" w:rsidR="00CC158E" w:rsidRDefault="00CC158E" w:rsidP="00CC158E">
      <w:pPr>
        <w:pStyle w:val="ListParagraph"/>
        <w:numPr>
          <w:ilvl w:val="0"/>
          <w:numId w:val="1"/>
        </w:numPr>
      </w:pPr>
      <w:r>
        <w:t>Isn’t key issue re: publication of anonymized email whether the email is anonymized with respect to 3rd parties (</w:t>
      </w:r>
      <w:proofErr w:type="gramStart"/>
      <w:r>
        <w:t>i.e.</w:t>
      </w:r>
      <w:proofErr w:type="gramEnd"/>
      <w:r>
        <w:t xml:space="preserve"> other than the data controller(s))? (Laureen </w:t>
      </w:r>
      <w:proofErr w:type="spellStart"/>
      <w:r>
        <w:t>Kapin</w:t>
      </w:r>
      <w:proofErr w:type="spellEnd"/>
      <w:r>
        <w:t>, GAC)</w:t>
      </w:r>
    </w:p>
    <w:p w14:paraId="1737898D" w14:textId="49A21E78" w:rsidR="00CC158E" w:rsidRDefault="00CC158E" w:rsidP="005F5DC1">
      <w:pPr>
        <w:pStyle w:val="ListParagraph"/>
        <w:numPr>
          <w:ilvl w:val="0"/>
          <w:numId w:val="1"/>
        </w:numPr>
      </w:pPr>
      <w:r>
        <w:t>For anonymized data (</w:t>
      </w:r>
      <w:proofErr w:type="spellStart"/>
      <w:proofErr w:type="gramStart"/>
      <w:r>
        <w:t>ie</w:t>
      </w:r>
      <w:proofErr w:type="spellEnd"/>
      <w:proofErr w:type="gramEnd"/>
      <w:r>
        <w:t xml:space="preserve"> 1 string per registration), the question is not whether it is personal data but to assess the potential harm to the data subject or what the risk is to the registrar to publishing it. GDPR does not prohibit publication of personal data but does require that there be sufficient off-setting </w:t>
      </w:r>
      <w:proofErr w:type="gramStart"/>
      <w:r>
        <w:t>benefit  -</w:t>
      </w:r>
      <w:proofErr w:type="gramEnd"/>
      <w:r>
        <w:t xml:space="preserve"> the balancing test as per GDPR 6(1)(f).</w:t>
      </w:r>
      <w:r w:rsidR="005F5DC1">
        <w:t xml:space="preserve"> </w:t>
      </w:r>
      <w:r w:rsidR="005F5DC1">
        <w:t xml:space="preserve">(Alan Greenberg &amp; </w:t>
      </w:r>
      <w:proofErr w:type="spellStart"/>
      <w:r w:rsidR="005F5DC1">
        <w:t>Hadia</w:t>
      </w:r>
      <w:proofErr w:type="spellEnd"/>
      <w:r w:rsidR="005F5DC1">
        <w:t xml:space="preserve"> El </w:t>
      </w:r>
      <w:proofErr w:type="spellStart"/>
      <w:r w:rsidR="005F5DC1">
        <w:t>Miniawi</w:t>
      </w:r>
      <w:proofErr w:type="spellEnd"/>
      <w:r w:rsidR="005F5DC1">
        <w:t>, ALAC)</w:t>
      </w:r>
    </w:p>
    <w:p w14:paraId="31824298" w14:textId="77054FA2" w:rsidR="00132ED4" w:rsidRDefault="00132ED4" w:rsidP="00132ED4">
      <w:pPr>
        <w:pStyle w:val="ListParagraph"/>
        <w:numPr>
          <w:ilvl w:val="0"/>
          <w:numId w:val="1"/>
        </w:numPr>
      </w:pPr>
      <w:r>
        <w:t xml:space="preserve">The memo declares that pseudonymized data “could be personal data” (and specifically mentions Breyer, which provides clarity regarding when it would not be considered personal data by a third party); while it’s clear that the pseudonyms are always considered personal data by the contracted party, it’s not always the case for those 3rd parties whose </w:t>
      </w:r>
      <w:r>
        <w:lastRenderedPageBreak/>
        <w:t xml:space="preserve">processing does not result in reconstruction of the original contact data.  More analysis should be performed regarding the use of pseudonyms by those 3rd party use cases. (Margie Milam &amp; Mark </w:t>
      </w:r>
      <w:proofErr w:type="spellStart"/>
      <w:r>
        <w:t>Svancarek</w:t>
      </w:r>
      <w:proofErr w:type="spellEnd"/>
      <w:r>
        <w:t>, BC – page 3, 5, 7, 8)</w:t>
      </w:r>
    </w:p>
    <w:p w14:paraId="21CCECB8" w14:textId="050430C6" w:rsidR="009F19CB" w:rsidRDefault="009F19CB" w:rsidP="009F19CB">
      <w:pPr>
        <w:pStyle w:val="ListParagraph"/>
        <w:numPr>
          <w:ilvl w:val="0"/>
          <w:numId w:val="1"/>
        </w:numPr>
      </w:pPr>
      <w:r w:rsidRPr="009F19CB">
        <w:t xml:space="preserve">The Legal memo concentrates on the use of the email as a means by which to contact the registrant. If the primary use for a </w:t>
      </w:r>
      <w:proofErr w:type="spellStart"/>
      <w:r w:rsidRPr="009F19CB">
        <w:t>pseudonymised</w:t>
      </w:r>
      <w:proofErr w:type="spellEnd"/>
      <w:r w:rsidRPr="009F19CB">
        <w:t xml:space="preserve"> email is for statistical or research reasons does this affect the link to the data subject and effect on them with regards to the function of processing the data. </w:t>
      </w:r>
      <w:r>
        <w:t>(Chris Lewis-Evans, GAC)</w:t>
      </w:r>
      <w:r w:rsidRPr="009F19CB">
        <w:t> </w:t>
      </w:r>
    </w:p>
    <w:p w14:paraId="1DA3C299" w14:textId="77777777" w:rsidR="00CC158E" w:rsidRDefault="00CC158E"/>
    <w:p w14:paraId="44CFB67B" w14:textId="39DEC3D4" w:rsidR="00CC158E" w:rsidRPr="00132ED4" w:rsidRDefault="00CC158E">
      <w:pPr>
        <w:rPr>
          <w:u w:val="single"/>
        </w:rPr>
      </w:pPr>
      <w:r w:rsidRPr="00132ED4">
        <w:rPr>
          <w:u w:val="single"/>
        </w:rPr>
        <w:t>Experience</w:t>
      </w:r>
    </w:p>
    <w:p w14:paraId="320B7854" w14:textId="7D13FFF6" w:rsidR="00CC158E" w:rsidRDefault="00CC158E"/>
    <w:p w14:paraId="66A57AF9" w14:textId="77777777" w:rsidR="00CC158E" w:rsidRDefault="00CC158E" w:rsidP="00CC158E">
      <w:pPr>
        <w:pStyle w:val="ListParagraph"/>
        <w:numPr>
          <w:ilvl w:val="0"/>
          <w:numId w:val="1"/>
        </w:numPr>
      </w:pPr>
      <w:r>
        <w:t xml:space="preserve">To what extent have registrars relied on changing anonymized addresses over time, and what periodicity? (Alan Greenberg &amp; </w:t>
      </w:r>
      <w:proofErr w:type="spellStart"/>
      <w:r>
        <w:t>Hadia</w:t>
      </w:r>
      <w:proofErr w:type="spellEnd"/>
      <w:r>
        <w:t xml:space="preserve"> El </w:t>
      </w:r>
      <w:proofErr w:type="spellStart"/>
      <w:r>
        <w:t>Miniawi</w:t>
      </w:r>
      <w:proofErr w:type="spellEnd"/>
      <w:r>
        <w:t xml:space="preserve">, ALAC) (Alan Greenberg &amp; </w:t>
      </w:r>
      <w:proofErr w:type="spellStart"/>
      <w:r>
        <w:t>Hadia</w:t>
      </w:r>
      <w:proofErr w:type="spellEnd"/>
      <w:r>
        <w:t xml:space="preserve"> El </w:t>
      </w:r>
      <w:proofErr w:type="spellStart"/>
      <w:r>
        <w:t>Miniawi</w:t>
      </w:r>
      <w:proofErr w:type="spellEnd"/>
      <w:r>
        <w:t>, ALAC)</w:t>
      </w:r>
    </w:p>
    <w:p w14:paraId="3A1DFE8C" w14:textId="2F971264" w:rsidR="00CC158E" w:rsidRDefault="00CC158E" w:rsidP="00132ED4"/>
    <w:p w14:paraId="51A9559A" w14:textId="5C418502" w:rsidR="00132ED4" w:rsidRDefault="00132ED4" w:rsidP="00132ED4">
      <w:pPr>
        <w:rPr>
          <w:u w:val="single"/>
        </w:rPr>
      </w:pPr>
      <w:r w:rsidRPr="00132ED4">
        <w:rPr>
          <w:u w:val="single"/>
        </w:rPr>
        <w:t>General statements</w:t>
      </w:r>
    </w:p>
    <w:p w14:paraId="58987431" w14:textId="77777777" w:rsidR="002E0B73" w:rsidRPr="00132ED4" w:rsidRDefault="002E0B73" w:rsidP="00132ED4">
      <w:pPr>
        <w:rPr>
          <w:u w:val="single"/>
        </w:rPr>
      </w:pPr>
    </w:p>
    <w:p w14:paraId="5755F9B5" w14:textId="5AADA8B4" w:rsidR="00132ED4" w:rsidRDefault="00132ED4" w:rsidP="00132ED4">
      <w:pPr>
        <w:pStyle w:val="ListParagraph"/>
        <w:numPr>
          <w:ilvl w:val="0"/>
          <w:numId w:val="1"/>
        </w:numPr>
      </w:pPr>
      <w:r>
        <w:t xml:space="preserve">The summary seems to make certain assumptions about use case and implementation (specifically that contacting a registrant using their pseudonym is intended to identify them, or that the act of using a pseudonym will identify them regardless of intent) which are not necessarily true. The longer analysis portion is more useful for our work. (Margie Milam &amp; Mark </w:t>
      </w:r>
      <w:proofErr w:type="spellStart"/>
      <w:r>
        <w:t>Svancarek</w:t>
      </w:r>
      <w:proofErr w:type="spellEnd"/>
      <w:r>
        <w:t>, BC)</w:t>
      </w:r>
    </w:p>
    <w:p w14:paraId="034F6B38" w14:textId="77777777" w:rsidR="00CC158E" w:rsidRDefault="00CC158E"/>
    <w:p w14:paraId="4293EC05" w14:textId="77777777" w:rsidR="00CC158E" w:rsidRDefault="00CC158E"/>
    <w:p w14:paraId="22A24E83" w14:textId="77777777" w:rsidR="00D907F2" w:rsidRDefault="00D907F2"/>
    <w:p w14:paraId="768E3FF7" w14:textId="77777777" w:rsidR="00B6011C" w:rsidRDefault="00B6011C">
      <w:pPr>
        <w:rPr>
          <w:color w:val="000000"/>
        </w:rPr>
      </w:pPr>
      <w:r>
        <w:rPr>
          <w:color w:val="000000"/>
        </w:rPr>
        <w:br w:type="page"/>
      </w:r>
    </w:p>
    <w:p w14:paraId="47AAC990" w14:textId="2BBFC250" w:rsidR="00D907F2" w:rsidRDefault="00132ED4">
      <w:r w:rsidRPr="00B6011C">
        <w:rPr>
          <w:b/>
          <w:bCs/>
          <w:color w:val="000000"/>
        </w:rPr>
        <w:lastRenderedPageBreak/>
        <w:t>Proposals</w:t>
      </w:r>
      <w:r>
        <w:rPr>
          <w:color w:val="000000"/>
        </w:rPr>
        <w:t>:</w:t>
      </w:r>
      <w:r w:rsidR="009F19CB">
        <w:t xml:space="preserve"> </w:t>
      </w:r>
      <w:r>
        <w:t>W</w:t>
      </w:r>
      <w:r w:rsidR="009F19CB">
        <w:t>hat options to require unique contacts to have a uniform anonymized email address across domain name registrations would not result in being treated as publication of personal data. </w:t>
      </w:r>
    </w:p>
    <w:p w14:paraId="45D48D82" w14:textId="06458644" w:rsidR="00132ED4" w:rsidRDefault="00132ED4"/>
    <w:p w14:paraId="1F6DC2F1" w14:textId="77777777" w:rsidR="00132ED4" w:rsidRPr="00B6011C" w:rsidRDefault="00132ED4" w:rsidP="00132ED4">
      <w:pPr>
        <w:pStyle w:val="ListParagraph"/>
        <w:numPr>
          <w:ilvl w:val="0"/>
          <w:numId w:val="2"/>
        </w:numPr>
        <w:rPr>
          <w:rFonts w:asciiTheme="majorHAnsi" w:eastAsia="Times New Roman" w:hAnsiTheme="majorHAnsi" w:cstheme="majorHAnsi"/>
        </w:rPr>
      </w:pPr>
      <w:r w:rsidRPr="00B6011C">
        <w:rPr>
          <w:rFonts w:asciiTheme="majorHAnsi" w:eastAsia="Times New Roman" w:hAnsiTheme="majorHAnsi" w:cstheme="majorHAnsi"/>
        </w:rPr>
        <w:t>Requirement to have a functional email address is necessary (whether pseudonymized, anonymized, seen or unseen, etc.); web form has proven not to be a workable option. (Brian King, IPC)</w:t>
      </w:r>
    </w:p>
    <w:p w14:paraId="4DF4AD34" w14:textId="20565623" w:rsidR="00132ED4" w:rsidRPr="00B6011C" w:rsidRDefault="00132ED4" w:rsidP="00132ED4">
      <w:pPr>
        <w:pStyle w:val="ListParagraph"/>
        <w:numPr>
          <w:ilvl w:val="0"/>
          <w:numId w:val="2"/>
        </w:numPr>
        <w:rPr>
          <w:rFonts w:asciiTheme="majorHAnsi" w:eastAsia="Times New Roman" w:hAnsiTheme="majorHAnsi" w:cstheme="majorHAnsi"/>
        </w:rPr>
      </w:pPr>
      <w:r w:rsidRPr="00B6011C">
        <w:rPr>
          <w:rFonts w:asciiTheme="majorHAnsi" w:eastAsia="Times New Roman" w:hAnsiTheme="majorHAnsi" w:cstheme="majorHAnsi"/>
        </w:rPr>
        <w:t xml:space="preserve">Investigate whether it is possible, once a person’s email address is </w:t>
      </w:r>
      <w:proofErr w:type="spellStart"/>
      <w:r w:rsidRPr="00B6011C">
        <w:rPr>
          <w:rFonts w:asciiTheme="majorHAnsi" w:eastAsia="Times New Roman" w:hAnsiTheme="majorHAnsi" w:cstheme="majorHAnsi"/>
        </w:rPr>
        <w:t>anonymised</w:t>
      </w:r>
      <w:proofErr w:type="spellEnd"/>
      <w:r w:rsidRPr="00B6011C">
        <w:rPr>
          <w:rFonts w:asciiTheme="majorHAnsi" w:eastAsia="Times New Roman" w:hAnsiTheme="majorHAnsi" w:cstheme="majorHAnsi"/>
        </w:rPr>
        <w:t xml:space="preserve"> towards third parties but effectively </w:t>
      </w:r>
      <w:proofErr w:type="spellStart"/>
      <w:r w:rsidRPr="00B6011C">
        <w:rPr>
          <w:rFonts w:asciiTheme="majorHAnsi" w:eastAsia="Times New Roman" w:hAnsiTheme="majorHAnsi" w:cstheme="majorHAnsi"/>
        </w:rPr>
        <w:t>pseudonymised</w:t>
      </w:r>
      <w:proofErr w:type="spellEnd"/>
      <w:r w:rsidRPr="00B6011C">
        <w:rPr>
          <w:rFonts w:asciiTheme="majorHAnsi" w:eastAsia="Times New Roman" w:hAnsiTheme="majorHAnsi" w:cstheme="majorHAnsi"/>
        </w:rPr>
        <w:t xml:space="preserve"> towards Registries/Registrars, to identify that person in any way, other than by </w:t>
      </w:r>
      <w:proofErr w:type="spellStart"/>
      <w:r w:rsidRPr="00B6011C">
        <w:rPr>
          <w:rFonts w:asciiTheme="majorHAnsi" w:eastAsia="Times New Roman" w:hAnsiTheme="majorHAnsi" w:cstheme="majorHAnsi"/>
        </w:rPr>
        <w:t>utilising</w:t>
      </w:r>
      <w:proofErr w:type="spellEnd"/>
      <w:r w:rsidRPr="00B6011C">
        <w:rPr>
          <w:rFonts w:asciiTheme="majorHAnsi" w:eastAsia="Times New Roman" w:hAnsiTheme="majorHAnsi" w:cstheme="majorHAnsi"/>
        </w:rPr>
        <w:t xml:space="preserve"> confidential information the registry/registrar itself has or a leak of information from the registry/registrar. If there is no other way to identify the person then there is no additional risk in anonymizing as the Registry/Registrar would anyway have this personal information and the risk of leaking would remain irrespective of publishing the (pseudo)anonymized email.</w:t>
      </w:r>
      <w:r w:rsidR="00B6011C" w:rsidRPr="00B6011C">
        <w:rPr>
          <w:rFonts w:asciiTheme="majorHAnsi" w:eastAsia="Times New Roman" w:hAnsiTheme="majorHAnsi" w:cstheme="majorHAnsi"/>
        </w:rPr>
        <w:t xml:space="preserve"> (Melina </w:t>
      </w:r>
      <w:proofErr w:type="spellStart"/>
      <w:r w:rsidR="00B6011C" w:rsidRPr="00B6011C">
        <w:rPr>
          <w:rFonts w:asciiTheme="majorHAnsi" w:eastAsia="Times New Roman" w:hAnsiTheme="majorHAnsi" w:cstheme="majorHAnsi"/>
        </w:rPr>
        <w:t>Stroungi</w:t>
      </w:r>
      <w:proofErr w:type="spellEnd"/>
      <w:r w:rsidR="00B6011C" w:rsidRPr="00B6011C">
        <w:rPr>
          <w:rFonts w:asciiTheme="majorHAnsi" w:eastAsia="Times New Roman" w:hAnsiTheme="majorHAnsi" w:cstheme="majorHAnsi"/>
        </w:rPr>
        <w:t>, Chris Lewis-Evans (GAC) – page 2, paragraph 8 of legal memo)</w:t>
      </w:r>
    </w:p>
    <w:p w14:paraId="7E036835" w14:textId="77777777" w:rsidR="00D907F2" w:rsidRDefault="00D907F2">
      <w:pPr>
        <w:rPr>
          <w:color w:val="000000"/>
          <w:sz w:val="22"/>
          <w:szCs w:val="22"/>
        </w:rPr>
      </w:pPr>
    </w:p>
    <w:p w14:paraId="2C752293" w14:textId="77777777" w:rsidR="00D907F2" w:rsidRDefault="00D907F2">
      <w:pPr>
        <w:rPr>
          <w:rFonts w:ascii="Times New Roman" w:eastAsia="Times New Roman" w:hAnsi="Times New Roman" w:cs="Times New Roman"/>
        </w:rPr>
      </w:pPr>
    </w:p>
    <w:p w14:paraId="24BC2298" w14:textId="77777777" w:rsidR="00D907F2" w:rsidRDefault="00D907F2"/>
    <w:sectPr w:rsidR="00D907F2" w:rsidSect="00B6011C">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C4573"/>
    <w:multiLevelType w:val="hybridMultilevel"/>
    <w:tmpl w:val="24648F84"/>
    <w:lvl w:ilvl="0" w:tplc="51D86168">
      <w:start w:val="1"/>
      <w:numFmt w:val="decimal"/>
      <w:lvlText w:val="%1."/>
      <w:lvlJc w:val="left"/>
      <w:pPr>
        <w:ind w:left="360" w:hanging="360"/>
      </w:pPr>
      <w:rPr>
        <w:rFonts w:asciiTheme="majorHAnsi" w:hAnsiTheme="majorHAnsi" w:cs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A40CC0"/>
    <w:multiLevelType w:val="hybridMultilevel"/>
    <w:tmpl w:val="F1561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F2"/>
    <w:rsid w:val="00132ED4"/>
    <w:rsid w:val="002E0B73"/>
    <w:rsid w:val="005F5DC1"/>
    <w:rsid w:val="009F19CB"/>
    <w:rsid w:val="00B6011C"/>
    <w:rsid w:val="00CC158E"/>
    <w:rsid w:val="00D907F2"/>
    <w:rsid w:val="00E8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FC086"/>
  <w15:docId w15:val="{24A405B1-EA99-2541-AE8B-3351F7BD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ListParagraph">
    <w:name w:val="List Paragraph"/>
    <w:basedOn w:val="Normal"/>
    <w:uiPriority w:val="34"/>
    <w:qFormat/>
    <w:rsid w:val="00CC158E"/>
    <w:pPr>
      <w:ind w:left="720"/>
      <w:contextualSpacing/>
    </w:pPr>
  </w:style>
  <w:style w:type="paragraph" w:styleId="NormalWeb">
    <w:name w:val="Normal (Web)"/>
    <w:basedOn w:val="Normal"/>
    <w:uiPriority w:val="99"/>
    <w:semiHidden/>
    <w:unhideWhenUsed/>
    <w:rsid w:val="00E81DEC"/>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7807">
      <w:bodyDiv w:val="1"/>
      <w:marLeft w:val="0"/>
      <w:marRight w:val="0"/>
      <w:marTop w:val="0"/>
      <w:marBottom w:val="0"/>
      <w:divBdr>
        <w:top w:val="none" w:sz="0" w:space="0" w:color="auto"/>
        <w:left w:val="none" w:sz="0" w:space="0" w:color="auto"/>
        <w:bottom w:val="none" w:sz="0" w:space="0" w:color="auto"/>
        <w:right w:val="none" w:sz="0" w:space="0" w:color="auto"/>
      </w:divBdr>
    </w:div>
    <w:div w:id="122237311">
      <w:bodyDiv w:val="1"/>
      <w:marLeft w:val="0"/>
      <w:marRight w:val="0"/>
      <w:marTop w:val="0"/>
      <w:marBottom w:val="0"/>
      <w:divBdr>
        <w:top w:val="none" w:sz="0" w:space="0" w:color="auto"/>
        <w:left w:val="none" w:sz="0" w:space="0" w:color="auto"/>
        <w:bottom w:val="none" w:sz="0" w:space="0" w:color="auto"/>
        <w:right w:val="none" w:sz="0" w:space="0" w:color="auto"/>
      </w:divBdr>
    </w:div>
    <w:div w:id="917786896">
      <w:bodyDiv w:val="1"/>
      <w:marLeft w:val="0"/>
      <w:marRight w:val="0"/>
      <w:marTop w:val="0"/>
      <w:marBottom w:val="0"/>
      <w:divBdr>
        <w:top w:val="none" w:sz="0" w:space="0" w:color="auto"/>
        <w:left w:val="none" w:sz="0" w:space="0" w:color="auto"/>
        <w:bottom w:val="none" w:sz="0" w:space="0" w:color="auto"/>
        <w:right w:val="none" w:sz="0" w:space="0" w:color="auto"/>
      </w:divBdr>
    </w:div>
    <w:div w:id="942617110">
      <w:bodyDiv w:val="1"/>
      <w:marLeft w:val="0"/>
      <w:marRight w:val="0"/>
      <w:marTop w:val="0"/>
      <w:marBottom w:val="0"/>
      <w:divBdr>
        <w:top w:val="none" w:sz="0" w:space="0" w:color="auto"/>
        <w:left w:val="none" w:sz="0" w:space="0" w:color="auto"/>
        <w:bottom w:val="none" w:sz="0" w:space="0" w:color="auto"/>
        <w:right w:val="none" w:sz="0" w:space="0" w:color="auto"/>
      </w:divBdr>
    </w:div>
    <w:div w:id="193536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AXAC73qvspVyRoi8Tuec" TargetMode="External"/><Relationship Id="rId5" Type="http://schemas.openxmlformats.org/officeDocument/2006/relationships/hyperlink" Target="https://community.icann.org/x/YoAmC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6</cp:revision>
  <dcterms:created xsi:type="dcterms:W3CDTF">2021-01-12T08:24:00Z</dcterms:created>
  <dcterms:modified xsi:type="dcterms:W3CDTF">2021-01-12T18:04:00Z</dcterms:modified>
</cp:coreProperties>
</file>