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7F2051" w:rsidRDefault="007F2051">
      <w:pPr>
        <w:rPr>
          <w:b/>
        </w:rPr>
      </w:pPr>
      <w:r w:rsidRPr="007F2051">
        <w:rPr>
          <w:b/>
        </w:rPr>
        <w:t xml:space="preserve">DRAFT MOTION TO AMEND THE CHARTER OF THE IGO-INGO </w:t>
      </w:r>
      <w:r w:rsidR="00313BF4">
        <w:rPr>
          <w:b/>
        </w:rPr>
        <w:t xml:space="preserve">ACCESS TO </w:t>
      </w:r>
      <w:r w:rsidRPr="007F2051">
        <w:rPr>
          <w:b/>
        </w:rPr>
        <w:t xml:space="preserve">CURATIVE RIGHTS PROTECTION </w:t>
      </w:r>
      <w:r w:rsidR="00313BF4">
        <w:rPr>
          <w:b/>
        </w:rPr>
        <w:t xml:space="preserve">MECHANISMS </w:t>
      </w:r>
      <w:r w:rsidRPr="007F2051">
        <w:rPr>
          <w:b/>
        </w:rPr>
        <w:t>PDP WORKING GROUP</w:t>
      </w:r>
    </w:p>
    <w:p w:rsidR="00235E0F" w:rsidRDefault="00235E0F"/>
    <w:p w:rsidR="00235E0F" w:rsidRDefault="00235E0F">
      <w:r>
        <w:t>WHEREAS:</w:t>
      </w:r>
    </w:p>
    <w:p w:rsidR="00235E0F" w:rsidRDefault="00235E0F"/>
    <w:p w:rsidR="00235E0F" w:rsidRDefault="007F2051">
      <w:r>
        <w:t>1. O</w:t>
      </w:r>
      <w:r w:rsidR="00235E0F">
        <w:t xml:space="preserve">n </w:t>
      </w:r>
      <w:r>
        <w:t xml:space="preserve">5 </w:t>
      </w:r>
      <w:r w:rsidR="00235E0F">
        <w:t xml:space="preserve">June 2014 the GNSO Council </w:t>
      </w:r>
      <w:hyperlink r:id="rId5" w:anchor="201406" w:history="1">
        <w:r>
          <w:rPr>
            <w:rStyle w:val="Hyperlink"/>
          </w:rPr>
          <w:t>approved</w:t>
        </w:r>
      </w:hyperlink>
      <w:r>
        <w:t xml:space="preserve"> the initiation of </w:t>
      </w:r>
      <w:r w:rsidR="00235E0F">
        <w:t xml:space="preserve">a Policy Development Process (PDP) to explore whether amendments to existing curative rights mechanisms (such as the Uniform Dispute Resolution Policy (UDRP) and the Uniform Rapid Suspension (URS) procedure) or </w:t>
      </w:r>
      <w:r w:rsidR="00E02C82">
        <w:t xml:space="preserve">the </w:t>
      </w:r>
      <w:r w:rsidR="00235E0F">
        <w:t>creati</w:t>
      </w:r>
      <w:r w:rsidR="00E02C82">
        <w:t>o</w:t>
      </w:r>
      <w:r w:rsidR="00235E0F">
        <w:t>n</w:t>
      </w:r>
      <w:r w:rsidR="00E02C82">
        <w:t xml:space="preserve"> of</w:t>
      </w:r>
      <w:r w:rsidR="00235E0F">
        <w:t xml:space="preserve"> a separate, narrowly tailored dispute resolution mechanism will be necessary to address the needs of International Governmental Organizations (IGO) and International Non-Governmental Organizations (INGO) </w:t>
      </w:r>
      <w:r w:rsidR="00055D6D">
        <w:t>in</w:t>
      </w:r>
      <w:r w:rsidR="00235E0F">
        <w:t xml:space="preserve"> protecti</w:t>
      </w:r>
      <w:r w:rsidR="00055D6D">
        <w:t>ng</w:t>
      </w:r>
      <w:r w:rsidR="00235E0F">
        <w:t xml:space="preserve"> their names and acronyms at the second level in </w:t>
      </w:r>
      <w:r w:rsidR="00E02C82">
        <w:t>generic top-level domains (</w:t>
      </w:r>
      <w:proofErr w:type="spellStart"/>
      <w:r w:rsidR="00E02C82">
        <w:t>gTLD</w:t>
      </w:r>
      <w:proofErr w:type="spellEnd"/>
      <w:r w:rsidR="00E02C82">
        <w:t>)</w:t>
      </w:r>
      <w:r w:rsidR="00235E0F">
        <w:t>;</w:t>
      </w:r>
    </w:p>
    <w:p w:rsidR="00235E0F" w:rsidRDefault="00235E0F"/>
    <w:p w:rsidR="00235E0F" w:rsidRDefault="00235E0F">
      <w:r>
        <w:t xml:space="preserve">2. </w:t>
      </w:r>
      <w:r w:rsidR="007F2051">
        <w:t>O</w:t>
      </w:r>
      <w:r>
        <w:t xml:space="preserve">n </w:t>
      </w:r>
      <w:r w:rsidR="007F2051">
        <w:t xml:space="preserve">25 </w:t>
      </w:r>
      <w:r>
        <w:t xml:space="preserve">June 2014 the GNSO Council </w:t>
      </w:r>
      <w:hyperlink r:id="rId6" w:anchor="201406" w:history="1">
        <w:r w:rsidR="007F2051">
          <w:rPr>
            <w:rStyle w:val="Hyperlink"/>
          </w:rPr>
          <w:t>chartered</w:t>
        </w:r>
      </w:hyperlink>
      <w:r w:rsidR="007F2051">
        <w:t xml:space="preserve"> </w:t>
      </w:r>
      <w:r>
        <w:t xml:space="preserve">the IGO-INGO </w:t>
      </w:r>
      <w:r w:rsidR="00313BF4">
        <w:t xml:space="preserve">Access to </w:t>
      </w:r>
      <w:r>
        <w:t xml:space="preserve">Curative Rights Protection </w:t>
      </w:r>
      <w:r w:rsidR="00313BF4">
        <w:t xml:space="preserve">Mechanisms </w:t>
      </w:r>
      <w:r>
        <w:t xml:space="preserve">Working Group to </w:t>
      </w:r>
      <w:r w:rsidR="00055D6D">
        <w:t xml:space="preserve">begin </w:t>
      </w:r>
      <w:r>
        <w:t>work on the PDP</w:t>
      </w:r>
      <w:proofErr w:type="gramStart"/>
      <w:r>
        <w:t>;</w:t>
      </w:r>
      <w:proofErr w:type="gramEnd"/>
    </w:p>
    <w:p w:rsidR="00235E0F" w:rsidRDefault="00235E0F"/>
    <w:p w:rsidR="00032859" w:rsidRDefault="00235E0F">
      <w:r>
        <w:t xml:space="preserve">3. The </w:t>
      </w:r>
      <w:hyperlink r:id="rId7" w:history="1">
        <w:r w:rsidR="007F2051">
          <w:rPr>
            <w:rStyle w:val="Hyperlink"/>
          </w:rPr>
          <w:t>Charter</w:t>
        </w:r>
      </w:hyperlink>
      <w:r w:rsidR="007F2051">
        <w:t xml:space="preserve"> </w:t>
      </w:r>
      <w:r>
        <w:t xml:space="preserve">for </w:t>
      </w:r>
      <w:r w:rsidR="00313BF4">
        <w:t>the</w:t>
      </w:r>
      <w:r>
        <w:t xml:space="preserve"> Working Group </w:t>
      </w:r>
      <w:r w:rsidR="00E02C82">
        <w:t>contemplates</w:t>
      </w:r>
      <w:r>
        <w:t xml:space="preserve"> that</w:t>
      </w:r>
      <w:r w:rsidR="00E02C82">
        <w:t xml:space="preserve"> in relation to IGOs </w:t>
      </w:r>
      <w:r>
        <w:t xml:space="preserve">the Working Group </w:t>
      </w:r>
      <w:r w:rsidR="00313BF4">
        <w:t>is to</w:t>
      </w:r>
      <w:r w:rsidR="00E02C82">
        <w:t xml:space="preserve"> </w:t>
      </w:r>
      <w:r>
        <w:t xml:space="preserve">use the </w:t>
      </w:r>
      <w:hyperlink r:id="rId8" w:history="1">
        <w:r w:rsidR="007959F8">
          <w:rPr>
            <w:rStyle w:val="Hyperlink"/>
          </w:rPr>
          <w:t>IGO List</w:t>
        </w:r>
      </w:hyperlink>
      <w:r w:rsidR="007959F8">
        <w:t xml:space="preserve"> </w:t>
      </w:r>
      <w:r>
        <w:t>provided to ICANN by the Governmental Advisor</w:t>
      </w:r>
      <w:r w:rsidR="00E02C82">
        <w:t xml:space="preserve">y Committee (GAC) in </w:t>
      </w:r>
      <w:r w:rsidR="00313BF4">
        <w:t>March</w:t>
      </w:r>
      <w:r w:rsidR="00E02C82">
        <w:t xml:space="preserve"> 2013, which i</w:t>
      </w:r>
      <w:r w:rsidR="00032859">
        <w:t xml:space="preserve">s based on the </w:t>
      </w:r>
      <w:hyperlink r:id="rId9" w:history="1">
        <w:r w:rsidR="00032859">
          <w:rPr>
            <w:rStyle w:val="Hyperlink"/>
          </w:rPr>
          <w:t>eligibility criteria</w:t>
        </w:r>
      </w:hyperlink>
      <w:r w:rsidR="00032859">
        <w:t xml:space="preserve"> for an IGO to register a domain name in the .</w:t>
      </w:r>
      <w:proofErr w:type="spellStart"/>
      <w:r w:rsidR="00032859">
        <w:t>int</w:t>
      </w:r>
      <w:proofErr w:type="spellEnd"/>
      <w:r w:rsidR="00032859">
        <w:t xml:space="preserve"> </w:t>
      </w:r>
      <w:proofErr w:type="spellStart"/>
      <w:r w:rsidR="00032859">
        <w:t>gTLD</w:t>
      </w:r>
      <w:proofErr w:type="spellEnd"/>
      <w:r w:rsidR="00032859">
        <w:t>;</w:t>
      </w:r>
    </w:p>
    <w:p w:rsidR="00235E0F" w:rsidRDefault="00235E0F"/>
    <w:p w:rsidR="00235E0F" w:rsidRDefault="00E02C82">
      <w:r>
        <w:t>4</w:t>
      </w:r>
      <w:r w:rsidR="00235E0F">
        <w:t xml:space="preserve">. </w:t>
      </w:r>
      <w:r>
        <w:t>After</w:t>
      </w:r>
      <w:r w:rsidR="00235E0F">
        <w:t xml:space="preserve"> analyzing the historical documents, legal texts and research related to the issue of </w:t>
      </w:r>
      <w:r w:rsidR="007F2051">
        <w:t xml:space="preserve">an IGO’s </w:t>
      </w:r>
      <w:r w:rsidR="00235E0F">
        <w:t>standing to file a complaint under the UDRP and URS</w:t>
      </w:r>
      <w:r w:rsidR="007F2051">
        <w:t xml:space="preserve">, the Working Group has reached a </w:t>
      </w:r>
      <w:r>
        <w:t xml:space="preserve">preliminary conclusion that a more </w:t>
      </w:r>
      <w:r w:rsidR="007F2051">
        <w:t xml:space="preserve">appropriate basis for standing </w:t>
      </w:r>
      <w:r>
        <w:t>under any applicable curative rights dispute resolution process may be</w:t>
      </w:r>
      <w:r w:rsidR="007F2051">
        <w:t xml:space="preserve"> the legal protection</w:t>
      </w:r>
      <w:r>
        <w:t xml:space="preserve">s for IGO names and acronyms that are </w:t>
      </w:r>
      <w:r w:rsidR="007F2051">
        <w:t>conferred by Article 6ter of the Paris Convention for the Protection of Industrial Property;</w:t>
      </w:r>
    </w:p>
    <w:p w:rsidR="007F2051" w:rsidRDefault="007F2051"/>
    <w:p w:rsidR="007F2051" w:rsidRDefault="00E02C82">
      <w:r>
        <w:t>5</w:t>
      </w:r>
      <w:r w:rsidR="007F2051">
        <w:t xml:space="preserve">. This preliminary conclusion is supported by the </w:t>
      </w:r>
      <w:r w:rsidR="007959F8">
        <w:t xml:space="preserve">May </w:t>
      </w:r>
      <w:r w:rsidR="007F2051">
        <w:t xml:space="preserve">2002 </w:t>
      </w:r>
      <w:hyperlink r:id="rId10" w:history="1">
        <w:r w:rsidR="007959F8">
          <w:rPr>
            <w:rStyle w:val="Hyperlink"/>
          </w:rPr>
          <w:t>recommendation</w:t>
        </w:r>
      </w:hyperlink>
      <w:r w:rsidR="007959F8">
        <w:t xml:space="preserve"> </w:t>
      </w:r>
      <w:r w:rsidR="007F2051">
        <w:t>of the World Intellectua</w:t>
      </w:r>
      <w:r>
        <w:t>l Property Organization’s</w:t>
      </w:r>
      <w:r w:rsidR="007F2051">
        <w:t xml:space="preserve"> Standing Committee for Trademarks, Industrial Designs and Geographical Indications as well as the December 2011 </w:t>
      </w:r>
      <w:hyperlink r:id="rId11" w:history="1">
        <w:r>
          <w:rPr>
            <w:rStyle w:val="Hyperlink"/>
          </w:rPr>
          <w:t>open letter</w:t>
        </w:r>
      </w:hyperlink>
      <w:r>
        <w:t xml:space="preserve"> </w:t>
      </w:r>
      <w:r w:rsidR="007F2051">
        <w:t xml:space="preserve">sent to ICANN by legal counsel of </w:t>
      </w:r>
      <w:r>
        <w:t>twenty-eight</w:t>
      </w:r>
      <w:r w:rsidR="007F2051">
        <w:t xml:space="preserve"> IGOs;</w:t>
      </w:r>
      <w:r w:rsidR="00D413BC">
        <w:t xml:space="preserve"> and</w:t>
      </w:r>
    </w:p>
    <w:p w:rsidR="00D413BC" w:rsidRDefault="00D413BC"/>
    <w:p w:rsidR="00D413BC" w:rsidRDefault="00E02C82">
      <w:r>
        <w:t>6</w:t>
      </w:r>
      <w:r w:rsidR="00D413BC">
        <w:t xml:space="preserve">. The Working Group has requested that the GNSO Council </w:t>
      </w:r>
      <w:r>
        <w:t xml:space="preserve">approve an </w:t>
      </w:r>
      <w:r w:rsidR="00D413BC">
        <w:t>amend</w:t>
      </w:r>
      <w:r>
        <w:t>ment to</w:t>
      </w:r>
      <w:r w:rsidR="00D413BC">
        <w:t xml:space="preserve"> the Working Group Charter t</w:t>
      </w:r>
      <w:r>
        <w:t>hat will</w:t>
      </w:r>
      <w:r w:rsidR="00D413BC">
        <w:t xml:space="preserve"> include the flexibility to consider all appropriate eligibility options.</w:t>
      </w:r>
    </w:p>
    <w:p w:rsidR="007F2051" w:rsidRDefault="007F2051"/>
    <w:p w:rsidR="007F2051" w:rsidRDefault="007F2051">
      <w:r>
        <w:t>RESOLVED:</w:t>
      </w:r>
    </w:p>
    <w:p w:rsidR="007F2051" w:rsidRDefault="007F2051"/>
    <w:p w:rsidR="00D413BC" w:rsidRDefault="007F2051">
      <w:r>
        <w:t xml:space="preserve">1. </w:t>
      </w:r>
      <w:r w:rsidR="00D413BC">
        <w:t xml:space="preserve">The GNSO Council approves the request from the Working Group to amend its Charter, as follows: </w:t>
      </w:r>
    </w:p>
    <w:p w:rsidR="00D413BC" w:rsidRDefault="00D413BC"/>
    <w:p w:rsidR="00D413BC" w:rsidRDefault="00D413BC">
      <w:r>
        <w:t xml:space="preserve">Where, under “Mission and Scope”, the current Charter reads: </w:t>
      </w:r>
    </w:p>
    <w:p w:rsidR="00D413BC" w:rsidRDefault="00D413BC"/>
    <w:p w:rsidR="00D413BC" w:rsidRDefault="00D413BC" w:rsidP="00D413BC">
      <w:pPr>
        <w:ind w:left="720"/>
        <w:rPr>
          <w:rFonts w:eastAsia="Times New Roman" w:cs="Times New Roman"/>
        </w:rPr>
      </w:pPr>
      <w:r w:rsidRPr="00D413BC">
        <w:rPr>
          <w:i/>
        </w:rPr>
        <w:lastRenderedPageBreak/>
        <w:t>“</w:t>
      </w:r>
      <w:r w:rsidRPr="00D413BC">
        <w:rPr>
          <w:rFonts w:eastAsia="Times New Roman" w:cs="Times New Roman"/>
          <w:i/>
        </w:rPr>
        <w:t xml:space="preserve">For purposes of this PDP, the scope of IGO and INGO identifiers is to be limited to those identifiers previously listed by the GNSO’s PDP WG on the Protection of International Organization Identifiers in All </w:t>
      </w:r>
      <w:proofErr w:type="spellStart"/>
      <w:r w:rsidRPr="00D413BC">
        <w:rPr>
          <w:rFonts w:eastAsia="Times New Roman" w:cs="Times New Roman"/>
          <w:i/>
        </w:rPr>
        <w:t>gTLDs</w:t>
      </w:r>
      <w:proofErr w:type="spellEnd"/>
      <w:r w:rsidRPr="00D413BC">
        <w:rPr>
          <w:rFonts w:eastAsia="Times New Roman" w:cs="Times New Roman"/>
          <w:i/>
        </w:rPr>
        <w:t xml:space="preserve"> as protected by their consensus recommendations (designated by that WG as Scope 1 and Scope 2 identifiers, and listed in Annex 2 of the Final Issue Report)</w:t>
      </w:r>
      <w:r w:rsidR="00E02C82">
        <w:rPr>
          <w:rFonts w:eastAsia="Times New Roman" w:cs="Times New Roman"/>
          <w:i/>
        </w:rPr>
        <w:t>.</w:t>
      </w:r>
      <w:r w:rsidRPr="00D413BC">
        <w:rPr>
          <w:rFonts w:eastAsia="Times New Roman" w:cs="Times New Roman"/>
          <w:i/>
        </w:rPr>
        <w:t>”</w:t>
      </w:r>
      <w:r>
        <w:rPr>
          <w:rFonts w:eastAsia="Times New Roman" w:cs="Times New Roman"/>
        </w:rPr>
        <w:t xml:space="preserve"> </w:t>
      </w:r>
    </w:p>
    <w:p w:rsidR="00D413BC" w:rsidRDefault="00D413BC">
      <w:pPr>
        <w:rPr>
          <w:rFonts w:eastAsia="Times New Roman" w:cs="Times New Roman"/>
        </w:rPr>
      </w:pPr>
    </w:p>
    <w:p w:rsidR="00D413BC" w:rsidRDefault="00D413BC">
      <w:pPr>
        <w:rPr>
          <w:rFonts w:eastAsia="Times New Roman" w:cs="Times New Roman"/>
        </w:rPr>
      </w:pPr>
      <w:r>
        <w:rPr>
          <w:rFonts w:eastAsia="Times New Roman" w:cs="Times New Roman"/>
        </w:rPr>
        <w:t xml:space="preserve">It is hereby amended to read: </w:t>
      </w:r>
    </w:p>
    <w:p w:rsidR="00D413BC" w:rsidRDefault="00D413BC">
      <w:pPr>
        <w:rPr>
          <w:rFonts w:eastAsia="Times New Roman" w:cs="Times New Roman"/>
        </w:rPr>
      </w:pPr>
    </w:p>
    <w:p w:rsidR="007F2051" w:rsidRDefault="00032859" w:rsidP="00032859">
      <w:pPr>
        <w:ind w:left="720"/>
        <w:rPr>
          <w:rFonts w:eastAsia="Times New Roman" w:cs="Times New Roman"/>
          <w:i/>
        </w:rPr>
      </w:pPr>
      <w:r w:rsidRPr="00032859">
        <w:rPr>
          <w:rFonts w:eastAsia="Times New Roman" w:cs="Times New Roman"/>
          <w:i/>
        </w:rPr>
        <w:t xml:space="preserve">“For purposes of </w:t>
      </w:r>
      <w:r w:rsidR="00D413BC" w:rsidRPr="00032859">
        <w:rPr>
          <w:rFonts w:eastAsia="Times New Roman" w:cs="Times New Roman"/>
          <w:i/>
        </w:rPr>
        <w:t xml:space="preserve">this PDP, the WG </w:t>
      </w:r>
      <w:r w:rsidR="00E02C82">
        <w:rPr>
          <w:rFonts w:eastAsia="Times New Roman" w:cs="Times New Roman"/>
          <w:i/>
        </w:rPr>
        <w:t>shall</w:t>
      </w:r>
      <w:r w:rsidRPr="00032859">
        <w:rPr>
          <w:rFonts w:eastAsia="Times New Roman" w:cs="Times New Roman"/>
          <w:i/>
        </w:rPr>
        <w:t xml:space="preserve"> take into account any criteria for IGO or INGO prote</w:t>
      </w:r>
      <w:r>
        <w:rPr>
          <w:rFonts w:eastAsia="Times New Roman" w:cs="Times New Roman"/>
          <w:i/>
        </w:rPr>
        <w:t xml:space="preserve">ction that </w:t>
      </w:r>
      <w:r w:rsidR="00C109E9">
        <w:rPr>
          <w:rFonts w:eastAsia="Times New Roman" w:cs="Times New Roman"/>
          <w:i/>
        </w:rPr>
        <w:t xml:space="preserve">may be appropriate, including any that may </w:t>
      </w:r>
      <w:r>
        <w:rPr>
          <w:rFonts w:eastAsia="Times New Roman" w:cs="Times New Roman"/>
          <w:i/>
        </w:rPr>
        <w:t xml:space="preserve">have been </w:t>
      </w:r>
      <w:r w:rsidRPr="00032859">
        <w:rPr>
          <w:rFonts w:eastAsia="Times New Roman" w:cs="Times New Roman"/>
          <w:i/>
        </w:rPr>
        <w:t>developed</w:t>
      </w:r>
      <w:r>
        <w:rPr>
          <w:rFonts w:eastAsia="Times New Roman" w:cs="Times New Roman"/>
          <w:i/>
        </w:rPr>
        <w:t xml:space="preserve"> previously</w:t>
      </w:r>
      <w:r w:rsidRPr="00032859">
        <w:rPr>
          <w:rFonts w:eastAsia="Times New Roman" w:cs="Times New Roman"/>
          <w:i/>
        </w:rPr>
        <w:t xml:space="preserve">, </w:t>
      </w:r>
      <w:r w:rsidR="00C109E9">
        <w:rPr>
          <w:rFonts w:eastAsia="Times New Roman" w:cs="Times New Roman"/>
          <w:i/>
        </w:rPr>
        <w:t>such as</w:t>
      </w:r>
      <w:r w:rsidRPr="00032859">
        <w:rPr>
          <w:rFonts w:eastAsia="Times New Roman" w:cs="Times New Roman"/>
          <w:i/>
        </w:rPr>
        <w:t xml:space="preserve"> the list of IGO and INGO identifiers</w:t>
      </w:r>
      <w:r w:rsidRPr="00E02C82">
        <w:rPr>
          <w:rFonts w:eastAsia="Times New Roman" w:cs="Times New Roman"/>
          <w:i/>
        </w:rPr>
        <w:t xml:space="preserve"> </w:t>
      </w:r>
      <w:r w:rsidR="00E02C82" w:rsidRPr="00E02C82">
        <w:rPr>
          <w:rFonts w:eastAsia="Times New Roman" w:cs="Times New Roman"/>
          <w:i/>
        </w:rPr>
        <w:t xml:space="preserve">that was </w:t>
      </w:r>
      <w:r>
        <w:rPr>
          <w:rFonts w:eastAsia="Times New Roman" w:cs="Times New Roman"/>
          <w:i/>
        </w:rPr>
        <w:t>used</w:t>
      </w:r>
      <w:r w:rsidRPr="00D413BC">
        <w:rPr>
          <w:rFonts w:eastAsia="Times New Roman" w:cs="Times New Roman"/>
          <w:i/>
        </w:rPr>
        <w:t xml:space="preserve"> by the GNSO’s </w:t>
      </w:r>
      <w:r>
        <w:rPr>
          <w:rFonts w:eastAsia="Times New Roman" w:cs="Times New Roman"/>
          <w:i/>
        </w:rPr>
        <w:t xml:space="preserve">prior </w:t>
      </w:r>
      <w:r w:rsidRPr="00D413BC">
        <w:rPr>
          <w:rFonts w:eastAsia="Times New Roman" w:cs="Times New Roman"/>
          <w:i/>
        </w:rPr>
        <w:t xml:space="preserve">PDP WG on the Protection of International Organization Identifiers in All </w:t>
      </w:r>
      <w:proofErr w:type="spellStart"/>
      <w:r w:rsidRPr="00D413BC">
        <w:rPr>
          <w:rFonts w:eastAsia="Times New Roman" w:cs="Times New Roman"/>
          <w:i/>
        </w:rPr>
        <w:t>gTLDs</w:t>
      </w:r>
      <w:proofErr w:type="spellEnd"/>
      <w:r>
        <w:rPr>
          <w:rFonts w:eastAsia="Times New Roman" w:cs="Times New Roman"/>
          <w:i/>
        </w:rPr>
        <w:t xml:space="preserve"> as the basis for</w:t>
      </w:r>
      <w:r w:rsidRPr="00D413BC">
        <w:rPr>
          <w:rFonts w:eastAsia="Times New Roman" w:cs="Times New Roman"/>
          <w:i/>
        </w:rPr>
        <w:t xml:space="preserve"> their consensus recommendations </w:t>
      </w:r>
      <w:r w:rsidR="00C109E9">
        <w:rPr>
          <w:rFonts w:eastAsia="Times New Roman" w:cs="Times New Roman"/>
          <w:i/>
        </w:rPr>
        <w:t xml:space="preserve">and </w:t>
      </w:r>
      <w:bookmarkStart w:id="0" w:name="_GoBack"/>
      <w:bookmarkEnd w:id="0"/>
      <w:r>
        <w:rPr>
          <w:rFonts w:eastAsia="Times New Roman" w:cs="Times New Roman"/>
          <w:i/>
        </w:rPr>
        <w:t xml:space="preserve">the GAC list of IGOs as provided to ICANN in </w:t>
      </w:r>
      <w:r w:rsidR="00313BF4">
        <w:rPr>
          <w:rFonts w:eastAsia="Times New Roman" w:cs="Times New Roman"/>
          <w:i/>
        </w:rPr>
        <w:t>March</w:t>
      </w:r>
      <w:r>
        <w:rPr>
          <w:rFonts w:eastAsia="Times New Roman" w:cs="Times New Roman"/>
          <w:i/>
        </w:rPr>
        <w:t xml:space="preserve"> 2013.</w:t>
      </w:r>
      <w:r w:rsidR="00E02C82">
        <w:rPr>
          <w:rFonts w:eastAsia="Times New Roman" w:cs="Times New Roman"/>
          <w:i/>
        </w:rPr>
        <w:t>”</w:t>
      </w:r>
      <w:r>
        <w:rPr>
          <w:rFonts w:eastAsia="Times New Roman" w:cs="Times New Roman"/>
          <w:i/>
        </w:rPr>
        <w:t xml:space="preserve"> </w:t>
      </w:r>
    </w:p>
    <w:p w:rsidR="007F2051" w:rsidRDefault="007F2051"/>
    <w:p w:rsidR="00032859" w:rsidRDefault="00032859"/>
    <w:p w:rsidR="007F2051" w:rsidRDefault="007F2051"/>
    <w:sectPr w:rsidR="007F2051"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0F"/>
    <w:rsid w:val="00032859"/>
    <w:rsid w:val="00055D6D"/>
    <w:rsid w:val="00235E0F"/>
    <w:rsid w:val="00313BF4"/>
    <w:rsid w:val="007959F8"/>
    <w:rsid w:val="007F2051"/>
    <w:rsid w:val="00A9584F"/>
    <w:rsid w:val="00C109E9"/>
    <w:rsid w:val="00D16ED3"/>
    <w:rsid w:val="00D413BC"/>
    <w:rsid w:val="00E02C82"/>
    <w:rsid w:val="00EC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5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en/news/correspondence/igo-counsels-to-beckstrom-et-al-13dec11-en.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council/resolutions" TargetMode="External"/><Relationship Id="rId6" Type="http://schemas.openxmlformats.org/officeDocument/2006/relationships/hyperlink" Target="http://gnso.icann.org/en/council/resolutions" TargetMode="External"/><Relationship Id="rId7" Type="http://schemas.openxmlformats.org/officeDocument/2006/relationships/hyperlink" Target="http://gnso.icann.org/en/drafts/igo-ingo-crp-access-charter-24jun14-en.pdf" TargetMode="External"/><Relationship Id="rId8" Type="http://schemas.openxmlformats.org/officeDocument/2006/relationships/hyperlink" Target="https://community.icann.org/download/attachments/48347918/GAC%20List%20of%20Approved%20IGOs%20March%202013.pdf?version=1&amp;modificationDate=1410824319000&amp;api=v2" TargetMode="External"/><Relationship Id="rId9" Type="http://schemas.openxmlformats.org/officeDocument/2006/relationships/hyperlink" Target="http://www.iana.org/domains/int/policy" TargetMode="External"/><Relationship Id="rId10" Type="http://schemas.openxmlformats.org/officeDocument/2006/relationships/hyperlink" Target="https://community.icann.org/download/attachments/48347918/WIPO%20SCT%202002%20Report.pdf?version=1&amp;modificationDate=1412108592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Macintosh Word</Application>
  <DocSecurity>0</DocSecurity>
  <Lines>27</Lines>
  <Paragraphs>7</Paragraphs>
  <ScaleCrop>false</ScaleCrop>
  <Company>ICANN</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2015-03-28T17:13:00Z</dcterms:created>
  <dcterms:modified xsi:type="dcterms:W3CDTF">2015-03-28T17:13:00Z</dcterms:modified>
</cp:coreProperties>
</file>