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AE9CC" w14:textId="6FC3C219" w:rsidR="009D7663" w:rsidRPr="00A13C35" w:rsidRDefault="007C1F0C" w:rsidP="00DD2A6B">
      <w:pPr>
        <w:rPr>
          <w:rFonts w:asciiTheme="minorHAnsi" w:hAnsiTheme="minorHAnsi"/>
          <w:b/>
          <w:sz w:val="22"/>
          <w:szCs w:val="22"/>
        </w:rPr>
      </w:pPr>
      <w:r w:rsidRPr="00A13C35">
        <w:rPr>
          <w:rFonts w:asciiTheme="minorHAnsi" w:hAnsiTheme="minorHAnsi"/>
          <w:b/>
          <w:sz w:val="22"/>
          <w:szCs w:val="22"/>
        </w:rPr>
        <w:t>PROPOSAL FOR DISCU</w:t>
      </w:r>
      <w:r w:rsidR="00A13C35" w:rsidRPr="00A13C35">
        <w:rPr>
          <w:rFonts w:asciiTheme="minorHAnsi" w:hAnsiTheme="minorHAnsi"/>
          <w:b/>
          <w:sz w:val="22"/>
          <w:szCs w:val="22"/>
        </w:rPr>
        <w:t>SSION ON WORKING GROUP CALL OF 7 SEPTEMBER 2017</w:t>
      </w:r>
    </w:p>
    <w:p w14:paraId="2B517A0B" w14:textId="47B7BA33" w:rsidR="00A13C35" w:rsidRPr="00A13C35" w:rsidRDefault="00A13C35" w:rsidP="00DD2A6B">
      <w:pPr>
        <w:rPr>
          <w:rFonts w:asciiTheme="minorHAnsi" w:hAnsiTheme="minorHAnsi"/>
          <w:b/>
          <w:sz w:val="22"/>
          <w:szCs w:val="22"/>
        </w:rPr>
      </w:pPr>
      <w:r w:rsidRPr="00A13C35">
        <w:rPr>
          <w:rFonts w:asciiTheme="minorHAnsi" w:hAnsiTheme="minorHAnsi"/>
          <w:b/>
          <w:sz w:val="22"/>
          <w:szCs w:val="22"/>
        </w:rPr>
        <w:t>Draft as of 6 September 2017</w:t>
      </w:r>
    </w:p>
    <w:p w14:paraId="6F666EDB" w14:textId="77777777" w:rsidR="00A13C35" w:rsidRDefault="00A13C35" w:rsidP="00DD2A6B">
      <w:pPr>
        <w:rPr>
          <w:rFonts w:asciiTheme="minorHAnsi" w:hAnsiTheme="minorHAnsi"/>
          <w:sz w:val="22"/>
          <w:szCs w:val="22"/>
        </w:rPr>
      </w:pPr>
    </w:p>
    <w:p w14:paraId="1F4069D8" w14:textId="7F699640" w:rsidR="006627EA" w:rsidRDefault="00FC2391" w:rsidP="00DD2A6B">
      <w:pPr>
        <w:rPr>
          <w:rFonts w:asciiTheme="minorHAnsi" w:hAnsiTheme="minorHAnsi"/>
          <w:sz w:val="22"/>
          <w:szCs w:val="22"/>
        </w:rPr>
      </w:pPr>
      <w:r>
        <w:rPr>
          <w:rFonts w:asciiTheme="minorHAnsi" w:hAnsiTheme="minorHAnsi"/>
          <w:sz w:val="22"/>
          <w:szCs w:val="22"/>
          <w:u w:val="single"/>
        </w:rPr>
        <w:t xml:space="preserve">PART I: </w:t>
      </w:r>
      <w:r w:rsidR="00406A91">
        <w:rPr>
          <w:rFonts w:asciiTheme="minorHAnsi" w:hAnsiTheme="minorHAnsi"/>
          <w:sz w:val="22"/>
          <w:szCs w:val="22"/>
          <w:u w:val="single"/>
        </w:rPr>
        <w:t>Example Combining Option 2 (Arbitration) with Elements of Other Options</w:t>
      </w:r>
      <w:r>
        <w:rPr>
          <w:rStyle w:val="FootnoteReference"/>
          <w:sz w:val="22"/>
          <w:szCs w:val="22"/>
          <w:u w:val="single"/>
        </w:rPr>
        <w:footnoteReference w:id="1"/>
      </w:r>
      <w:r w:rsidR="006627EA">
        <w:rPr>
          <w:rFonts w:asciiTheme="minorHAnsi" w:hAnsiTheme="minorHAnsi"/>
          <w:sz w:val="22"/>
          <w:szCs w:val="22"/>
        </w:rPr>
        <w:t>:</w:t>
      </w:r>
    </w:p>
    <w:p w14:paraId="05294077" w14:textId="77777777" w:rsidR="006627EA" w:rsidRDefault="006627EA" w:rsidP="00DD2A6B">
      <w:pPr>
        <w:rPr>
          <w:rFonts w:asciiTheme="minorHAnsi" w:hAnsiTheme="minorHAnsi"/>
          <w:sz w:val="22"/>
          <w:szCs w:val="22"/>
        </w:rPr>
      </w:pPr>
      <w:bookmarkStart w:id="0" w:name="_GoBack"/>
      <w:bookmarkEnd w:id="0"/>
    </w:p>
    <w:p w14:paraId="0E15A6B3" w14:textId="77777777" w:rsidR="006E4E94" w:rsidRPr="006E4E94" w:rsidRDefault="00AA124D" w:rsidP="00DD2A6B">
      <w:pPr>
        <w:rPr>
          <w:rFonts w:asciiTheme="minorHAnsi" w:hAnsiTheme="minorHAnsi"/>
          <w:b/>
          <w:sz w:val="22"/>
          <w:szCs w:val="22"/>
        </w:rPr>
      </w:pPr>
      <w:r w:rsidRPr="006E4E94">
        <w:rPr>
          <w:rFonts w:asciiTheme="minorHAnsi" w:hAnsiTheme="minorHAnsi"/>
          <w:b/>
          <w:sz w:val="22"/>
          <w:szCs w:val="22"/>
        </w:rPr>
        <w:t xml:space="preserve">Step #1: IGO decides to file a UDRP or URS complaint </w:t>
      </w:r>
    </w:p>
    <w:p w14:paraId="3442A482" w14:textId="77777777" w:rsidR="00FC2391" w:rsidRDefault="00FC2391" w:rsidP="00DD2A6B">
      <w:pPr>
        <w:rPr>
          <w:rFonts w:asciiTheme="minorHAnsi" w:hAnsiTheme="minorHAnsi"/>
          <w:sz w:val="22"/>
          <w:szCs w:val="22"/>
        </w:rPr>
      </w:pPr>
    </w:p>
    <w:p w14:paraId="69B12E13" w14:textId="1AD06380" w:rsidR="00D124A3" w:rsidRDefault="00D124A3" w:rsidP="00DD2A6B">
      <w:pPr>
        <w:rPr>
          <w:rFonts w:asciiTheme="minorHAnsi" w:hAnsiTheme="minorHAnsi"/>
          <w:sz w:val="22"/>
          <w:szCs w:val="22"/>
        </w:rPr>
      </w:pPr>
      <w:r>
        <w:rPr>
          <w:rFonts w:asciiTheme="minorHAnsi" w:hAnsiTheme="minorHAnsi"/>
          <w:sz w:val="22"/>
          <w:szCs w:val="22"/>
        </w:rPr>
        <w:t xml:space="preserve">IGO </w:t>
      </w:r>
      <w:r w:rsidR="00EB3FBD" w:rsidRPr="00EB3FBD">
        <w:rPr>
          <w:rFonts w:asciiTheme="minorHAnsi" w:hAnsiTheme="minorHAnsi"/>
          <w:sz w:val="22"/>
          <w:szCs w:val="22"/>
          <w:u w:val="single"/>
        </w:rPr>
        <w:t>must</w:t>
      </w:r>
      <w:r>
        <w:rPr>
          <w:rFonts w:asciiTheme="minorHAnsi" w:hAnsiTheme="minorHAnsi"/>
          <w:sz w:val="22"/>
          <w:szCs w:val="22"/>
          <w:u w:val="single"/>
        </w:rPr>
        <w:t xml:space="preserve"> agree</w:t>
      </w:r>
      <w:r w:rsidRPr="00205A17">
        <w:rPr>
          <w:rFonts w:asciiTheme="minorHAnsi" w:hAnsiTheme="minorHAnsi"/>
          <w:sz w:val="22"/>
          <w:szCs w:val="22"/>
          <w:u w:val="single"/>
        </w:rPr>
        <w:t xml:space="preserve"> to binding arbitration</w:t>
      </w:r>
      <w:r>
        <w:rPr>
          <w:rFonts w:asciiTheme="minorHAnsi" w:hAnsiTheme="minorHAnsi"/>
          <w:sz w:val="22"/>
          <w:szCs w:val="22"/>
        </w:rPr>
        <w:t xml:space="preserve"> – </w:t>
      </w:r>
      <w:r w:rsidR="00265BB8">
        <w:rPr>
          <w:rFonts w:asciiTheme="minorHAnsi" w:hAnsiTheme="minorHAnsi"/>
          <w:sz w:val="22"/>
          <w:szCs w:val="22"/>
        </w:rPr>
        <w:t>applicable</w:t>
      </w:r>
      <w:r>
        <w:rPr>
          <w:rFonts w:asciiTheme="minorHAnsi" w:hAnsiTheme="minorHAnsi"/>
          <w:sz w:val="22"/>
          <w:szCs w:val="22"/>
        </w:rPr>
        <w:t xml:space="preserve"> </w:t>
      </w:r>
      <w:r w:rsidR="00265BB8">
        <w:rPr>
          <w:rFonts w:asciiTheme="minorHAnsi" w:hAnsiTheme="minorHAnsi"/>
          <w:sz w:val="22"/>
          <w:szCs w:val="22"/>
        </w:rPr>
        <w:t xml:space="preserve">only </w:t>
      </w:r>
      <w:r w:rsidR="00FC2391">
        <w:rPr>
          <w:rFonts w:asciiTheme="minorHAnsi" w:hAnsiTheme="minorHAnsi"/>
          <w:sz w:val="22"/>
          <w:szCs w:val="22"/>
        </w:rPr>
        <w:t>where</w:t>
      </w:r>
      <w:r w:rsidR="008864B0">
        <w:rPr>
          <w:rFonts w:asciiTheme="minorHAnsi" w:hAnsiTheme="minorHAnsi"/>
          <w:sz w:val="22"/>
          <w:szCs w:val="22"/>
        </w:rPr>
        <w:t xml:space="preserve"> </w:t>
      </w:r>
      <w:r>
        <w:rPr>
          <w:rFonts w:asciiTheme="minorHAnsi" w:hAnsiTheme="minorHAnsi"/>
          <w:sz w:val="22"/>
          <w:szCs w:val="22"/>
        </w:rPr>
        <w:t>(1) the registrant does not agree to the limited Mutual Jurisd</w:t>
      </w:r>
      <w:r w:rsidR="00265BB8">
        <w:rPr>
          <w:rFonts w:asciiTheme="minorHAnsi" w:hAnsiTheme="minorHAnsi"/>
          <w:sz w:val="22"/>
          <w:szCs w:val="22"/>
        </w:rPr>
        <w:t>iction clause (see Step #2);</w:t>
      </w:r>
      <w:r>
        <w:rPr>
          <w:rFonts w:asciiTheme="minorHAnsi" w:hAnsiTheme="minorHAnsi"/>
          <w:sz w:val="22"/>
          <w:szCs w:val="22"/>
        </w:rPr>
        <w:t xml:space="preserve"> (2) the registrant loses the UDRP/URS proceeding and files an action in a national court; and (3) the IGO successfully pleads jurisdictional immunity in that national court. </w:t>
      </w:r>
    </w:p>
    <w:p w14:paraId="2B099A77" w14:textId="0841BEAB" w:rsidR="00FC2391" w:rsidRPr="00FC2391" w:rsidRDefault="00FC2391" w:rsidP="00FC2391">
      <w:pPr>
        <w:pStyle w:val="ListParagraph"/>
        <w:numPr>
          <w:ilvl w:val="0"/>
          <w:numId w:val="5"/>
        </w:numPr>
        <w:rPr>
          <w:rFonts w:asciiTheme="minorHAnsi" w:hAnsiTheme="minorHAnsi"/>
          <w:i/>
          <w:sz w:val="22"/>
          <w:szCs w:val="22"/>
        </w:rPr>
      </w:pPr>
      <w:r w:rsidRPr="00FC2391">
        <w:rPr>
          <w:rFonts w:asciiTheme="minorHAnsi" w:hAnsiTheme="minorHAnsi"/>
          <w:i/>
          <w:sz w:val="22"/>
          <w:szCs w:val="22"/>
        </w:rPr>
        <w:t>Note – this will require an addition/amendment to the UDRP Rules</w:t>
      </w:r>
    </w:p>
    <w:p w14:paraId="4D4176FA" w14:textId="77777777" w:rsidR="00D124A3" w:rsidRDefault="00D124A3" w:rsidP="00DD2A6B">
      <w:pPr>
        <w:rPr>
          <w:rFonts w:asciiTheme="minorHAnsi" w:hAnsiTheme="minorHAnsi"/>
          <w:sz w:val="22"/>
          <w:szCs w:val="22"/>
        </w:rPr>
      </w:pPr>
    </w:p>
    <w:p w14:paraId="3D58D6D7" w14:textId="5FE3D7B5" w:rsidR="00AA124D" w:rsidRDefault="00FC2391" w:rsidP="00DD2A6B">
      <w:pPr>
        <w:rPr>
          <w:rFonts w:asciiTheme="minorHAnsi" w:hAnsiTheme="minorHAnsi"/>
          <w:sz w:val="22"/>
          <w:szCs w:val="22"/>
        </w:rPr>
      </w:pPr>
      <w:r>
        <w:rPr>
          <w:rFonts w:asciiTheme="minorHAnsi" w:hAnsiTheme="minorHAnsi"/>
          <w:sz w:val="22"/>
          <w:szCs w:val="22"/>
        </w:rPr>
        <w:t xml:space="preserve">In addition, </w:t>
      </w:r>
      <w:r w:rsidR="006E4E94">
        <w:rPr>
          <w:rFonts w:asciiTheme="minorHAnsi" w:hAnsiTheme="minorHAnsi"/>
          <w:sz w:val="22"/>
          <w:szCs w:val="22"/>
        </w:rPr>
        <w:t xml:space="preserve">IGO </w:t>
      </w:r>
      <w:r w:rsidR="00205A17">
        <w:rPr>
          <w:rFonts w:asciiTheme="minorHAnsi" w:hAnsiTheme="minorHAnsi"/>
          <w:sz w:val="22"/>
          <w:szCs w:val="22"/>
        </w:rPr>
        <w:t xml:space="preserve">also </w:t>
      </w:r>
      <w:r w:rsidR="00AA124D">
        <w:rPr>
          <w:rFonts w:asciiTheme="minorHAnsi" w:hAnsiTheme="minorHAnsi"/>
          <w:sz w:val="22"/>
          <w:szCs w:val="22"/>
        </w:rPr>
        <w:t xml:space="preserve">has </w:t>
      </w:r>
      <w:r w:rsidR="006E4E94">
        <w:rPr>
          <w:rFonts w:asciiTheme="minorHAnsi" w:hAnsiTheme="minorHAnsi"/>
          <w:sz w:val="22"/>
          <w:szCs w:val="22"/>
        </w:rPr>
        <w:t xml:space="preserve">the </w:t>
      </w:r>
      <w:r w:rsidR="00AA124D" w:rsidRPr="006E4E94">
        <w:rPr>
          <w:rFonts w:asciiTheme="minorHAnsi" w:hAnsiTheme="minorHAnsi"/>
          <w:sz w:val="22"/>
          <w:szCs w:val="22"/>
          <w:u w:val="single"/>
        </w:rPr>
        <w:t>option to agree to a limited Mutual Jurisdiction clause</w:t>
      </w:r>
      <w:r w:rsidR="00AA124D">
        <w:rPr>
          <w:rFonts w:asciiTheme="minorHAnsi" w:hAnsiTheme="minorHAnsi"/>
          <w:sz w:val="22"/>
          <w:szCs w:val="22"/>
        </w:rPr>
        <w:t xml:space="preserve"> </w:t>
      </w:r>
      <w:r w:rsidR="00D124A3">
        <w:rPr>
          <w:rFonts w:asciiTheme="minorHAnsi" w:hAnsiTheme="minorHAnsi"/>
          <w:sz w:val="22"/>
          <w:szCs w:val="22"/>
        </w:rPr>
        <w:t xml:space="preserve">– this option will </w:t>
      </w:r>
      <w:r>
        <w:rPr>
          <w:rFonts w:asciiTheme="minorHAnsi" w:hAnsiTheme="minorHAnsi"/>
          <w:sz w:val="22"/>
          <w:szCs w:val="22"/>
        </w:rPr>
        <w:t xml:space="preserve">only </w:t>
      </w:r>
      <w:r w:rsidR="00D124A3">
        <w:rPr>
          <w:rFonts w:asciiTheme="minorHAnsi" w:hAnsiTheme="minorHAnsi"/>
          <w:sz w:val="22"/>
          <w:szCs w:val="22"/>
        </w:rPr>
        <w:t xml:space="preserve">apply </w:t>
      </w:r>
      <w:r>
        <w:rPr>
          <w:rFonts w:asciiTheme="minorHAnsi" w:hAnsiTheme="minorHAnsi"/>
          <w:sz w:val="22"/>
          <w:szCs w:val="22"/>
        </w:rPr>
        <w:t>where</w:t>
      </w:r>
      <w:r w:rsidR="00D124A3">
        <w:rPr>
          <w:rFonts w:asciiTheme="minorHAnsi" w:hAnsiTheme="minorHAnsi"/>
          <w:sz w:val="22"/>
          <w:szCs w:val="22"/>
        </w:rPr>
        <w:t xml:space="preserve"> (1) the registrant </w:t>
      </w:r>
      <w:r w:rsidR="00305DB0">
        <w:rPr>
          <w:rFonts w:asciiTheme="minorHAnsi" w:hAnsiTheme="minorHAnsi"/>
          <w:sz w:val="22"/>
          <w:szCs w:val="22"/>
        </w:rPr>
        <w:t xml:space="preserve">has </w:t>
      </w:r>
      <w:r w:rsidR="00D124A3">
        <w:rPr>
          <w:rFonts w:asciiTheme="minorHAnsi" w:hAnsiTheme="minorHAnsi"/>
          <w:sz w:val="22"/>
          <w:szCs w:val="22"/>
        </w:rPr>
        <w:t>agree</w:t>
      </w:r>
      <w:r w:rsidR="00305DB0">
        <w:rPr>
          <w:rFonts w:asciiTheme="minorHAnsi" w:hAnsiTheme="minorHAnsi"/>
          <w:sz w:val="22"/>
          <w:szCs w:val="22"/>
        </w:rPr>
        <w:t>d</w:t>
      </w:r>
      <w:r w:rsidR="00D124A3">
        <w:rPr>
          <w:rFonts w:asciiTheme="minorHAnsi" w:hAnsiTheme="minorHAnsi"/>
          <w:sz w:val="22"/>
          <w:szCs w:val="22"/>
        </w:rPr>
        <w:t xml:space="preserve"> to the same limitation (see Step #2); and (2)</w:t>
      </w:r>
      <w:r w:rsidR="00AA124D">
        <w:rPr>
          <w:rFonts w:asciiTheme="minorHAnsi" w:hAnsiTheme="minorHAnsi"/>
          <w:sz w:val="22"/>
          <w:szCs w:val="22"/>
        </w:rPr>
        <w:t xml:space="preserve"> </w:t>
      </w:r>
      <w:r w:rsidR="00D124A3">
        <w:rPr>
          <w:rFonts w:asciiTheme="minorHAnsi" w:hAnsiTheme="minorHAnsi"/>
          <w:sz w:val="22"/>
          <w:szCs w:val="22"/>
        </w:rPr>
        <w:t>the</w:t>
      </w:r>
      <w:r w:rsidR="00AA124D">
        <w:rPr>
          <w:rFonts w:asciiTheme="minorHAnsi" w:hAnsiTheme="minorHAnsi"/>
          <w:sz w:val="22"/>
          <w:szCs w:val="22"/>
        </w:rPr>
        <w:t xml:space="preserve"> registrant </w:t>
      </w:r>
      <w:r w:rsidR="00D124A3">
        <w:rPr>
          <w:rFonts w:asciiTheme="minorHAnsi" w:hAnsiTheme="minorHAnsi"/>
          <w:sz w:val="22"/>
          <w:szCs w:val="22"/>
        </w:rPr>
        <w:t>loses the UDRP/URS proceeding and files an action in a national court. For clarity, the limited Mutual J</w:t>
      </w:r>
      <w:r w:rsidR="00E31C97">
        <w:rPr>
          <w:rFonts w:asciiTheme="minorHAnsi" w:hAnsiTheme="minorHAnsi"/>
          <w:sz w:val="22"/>
          <w:szCs w:val="22"/>
        </w:rPr>
        <w:t xml:space="preserve">urisdiction </w:t>
      </w:r>
      <w:r w:rsidR="00D124A3">
        <w:rPr>
          <w:rFonts w:asciiTheme="minorHAnsi" w:hAnsiTheme="minorHAnsi"/>
          <w:sz w:val="22"/>
          <w:szCs w:val="22"/>
        </w:rPr>
        <w:t xml:space="preserve">clause only applies to </w:t>
      </w:r>
      <w:r w:rsidR="00E31C97">
        <w:rPr>
          <w:rFonts w:asciiTheme="minorHAnsi" w:hAnsiTheme="minorHAnsi"/>
          <w:sz w:val="22"/>
          <w:szCs w:val="22"/>
        </w:rPr>
        <w:t>the limited purpose of deciding the ownership of the disputed domain(s)</w:t>
      </w:r>
      <w:r w:rsidR="006E4E94">
        <w:rPr>
          <w:rFonts w:asciiTheme="minorHAnsi" w:hAnsiTheme="minorHAnsi"/>
          <w:sz w:val="22"/>
          <w:szCs w:val="22"/>
        </w:rPr>
        <w:t>.</w:t>
      </w:r>
    </w:p>
    <w:p w14:paraId="7D42DFC3" w14:textId="337EBCBA" w:rsidR="00FC2391" w:rsidRPr="00FC2391" w:rsidRDefault="00FC2391" w:rsidP="00FC2391">
      <w:pPr>
        <w:pStyle w:val="ListParagraph"/>
        <w:numPr>
          <w:ilvl w:val="0"/>
          <w:numId w:val="5"/>
        </w:numPr>
        <w:rPr>
          <w:rFonts w:asciiTheme="minorHAnsi" w:hAnsiTheme="minorHAnsi"/>
          <w:i/>
          <w:sz w:val="22"/>
          <w:szCs w:val="22"/>
        </w:rPr>
      </w:pPr>
      <w:r w:rsidRPr="00FC2391">
        <w:rPr>
          <w:rFonts w:asciiTheme="minorHAnsi" w:hAnsiTheme="minorHAnsi"/>
          <w:i/>
          <w:sz w:val="22"/>
          <w:szCs w:val="22"/>
        </w:rPr>
        <w:t>Note – this will require an addition/amendment to the UDRP Rules</w:t>
      </w:r>
    </w:p>
    <w:p w14:paraId="162F6A81" w14:textId="77777777" w:rsidR="00E31C97" w:rsidRDefault="00E31C97" w:rsidP="00DD2A6B">
      <w:pPr>
        <w:rPr>
          <w:rFonts w:asciiTheme="minorHAnsi" w:hAnsiTheme="minorHAnsi"/>
          <w:sz w:val="22"/>
          <w:szCs w:val="22"/>
        </w:rPr>
      </w:pPr>
    </w:p>
    <w:p w14:paraId="1EE6E627" w14:textId="1871AB3C" w:rsidR="006E4E94" w:rsidRPr="006E4E94" w:rsidRDefault="00E31C97" w:rsidP="00DD2A6B">
      <w:pPr>
        <w:rPr>
          <w:rFonts w:asciiTheme="minorHAnsi" w:hAnsiTheme="minorHAnsi"/>
          <w:b/>
          <w:sz w:val="22"/>
          <w:szCs w:val="22"/>
        </w:rPr>
      </w:pPr>
      <w:r w:rsidRPr="006E4E94">
        <w:rPr>
          <w:rFonts w:asciiTheme="minorHAnsi" w:hAnsiTheme="minorHAnsi"/>
          <w:b/>
          <w:sz w:val="22"/>
          <w:szCs w:val="22"/>
        </w:rPr>
        <w:t xml:space="preserve">Step #2: </w:t>
      </w:r>
      <w:r w:rsidR="006E4E94" w:rsidRPr="006E4E94">
        <w:rPr>
          <w:rFonts w:asciiTheme="minorHAnsi" w:hAnsiTheme="minorHAnsi"/>
          <w:b/>
          <w:sz w:val="22"/>
          <w:szCs w:val="22"/>
        </w:rPr>
        <w:t>Registrant receives the IGO’s complaint</w:t>
      </w:r>
      <w:r w:rsidR="00FC2391">
        <w:rPr>
          <w:rFonts w:asciiTheme="minorHAnsi" w:hAnsiTheme="minorHAnsi"/>
          <w:b/>
          <w:sz w:val="22"/>
          <w:szCs w:val="22"/>
        </w:rPr>
        <w:t xml:space="preserve"> and decides to respond</w:t>
      </w:r>
    </w:p>
    <w:p w14:paraId="7D36A41B" w14:textId="77777777" w:rsidR="00FC2391" w:rsidRDefault="00FC2391" w:rsidP="00DD2A6B">
      <w:pPr>
        <w:rPr>
          <w:rFonts w:asciiTheme="minorHAnsi" w:hAnsiTheme="minorHAnsi"/>
          <w:sz w:val="22"/>
          <w:szCs w:val="22"/>
        </w:rPr>
      </w:pPr>
    </w:p>
    <w:p w14:paraId="3DBE8B5C" w14:textId="44981D4B" w:rsidR="00E31C97" w:rsidRDefault="006E4E94" w:rsidP="00DD2A6B">
      <w:pPr>
        <w:rPr>
          <w:rFonts w:asciiTheme="minorHAnsi" w:hAnsiTheme="minorHAnsi"/>
          <w:sz w:val="22"/>
          <w:szCs w:val="22"/>
        </w:rPr>
      </w:pPr>
      <w:r>
        <w:rPr>
          <w:rFonts w:asciiTheme="minorHAnsi" w:hAnsiTheme="minorHAnsi"/>
          <w:sz w:val="22"/>
          <w:szCs w:val="22"/>
        </w:rPr>
        <w:t>R</w:t>
      </w:r>
      <w:r w:rsidR="00E31C97">
        <w:rPr>
          <w:rFonts w:asciiTheme="minorHAnsi" w:hAnsiTheme="minorHAnsi"/>
          <w:sz w:val="22"/>
          <w:szCs w:val="22"/>
        </w:rPr>
        <w:t xml:space="preserve">egistrant has </w:t>
      </w:r>
      <w:r w:rsidR="00E31C97" w:rsidRPr="006E4E94">
        <w:rPr>
          <w:rFonts w:asciiTheme="minorHAnsi" w:hAnsiTheme="minorHAnsi"/>
          <w:sz w:val="22"/>
          <w:szCs w:val="22"/>
          <w:u w:val="single"/>
        </w:rPr>
        <w:t>option to agree to the same Mutual Jurisdiction clause</w:t>
      </w:r>
      <w:r w:rsidR="00D124A3" w:rsidRPr="00D124A3">
        <w:rPr>
          <w:rFonts w:asciiTheme="minorHAnsi" w:hAnsiTheme="minorHAnsi"/>
          <w:sz w:val="22"/>
          <w:szCs w:val="22"/>
        </w:rPr>
        <w:t xml:space="preserve"> as the IGO</w:t>
      </w:r>
      <w:r w:rsidR="00D124A3">
        <w:rPr>
          <w:rFonts w:asciiTheme="minorHAnsi" w:hAnsiTheme="minorHAnsi"/>
          <w:sz w:val="22"/>
          <w:szCs w:val="22"/>
        </w:rPr>
        <w:t xml:space="preserve"> in Step #1</w:t>
      </w:r>
      <w:r w:rsidR="00E31C97">
        <w:rPr>
          <w:rFonts w:asciiTheme="minorHAnsi" w:hAnsiTheme="minorHAnsi"/>
          <w:sz w:val="22"/>
          <w:szCs w:val="22"/>
        </w:rPr>
        <w:t>.</w:t>
      </w:r>
    </w:p>
    <w:p w14:paraId="201AF5D4" w14:textId="72BB8152" w:rsidR="00FC2391" w:rsidRPr="00FC2391" w:rsidRDefault="00FC2391" w:rsidP="00FC2391">
      <w:pPr>
        <w:pStyle w:val="ListParagraph"/>
        <w:numPr>
          <w:ilvl w:val="0"/>
          <w:numId w:val="5"/>
        </w:numPr>
        <w:rPr>
          <w:rFonts w:asciiTheme="minorHAnsi" w:hAnsiTheme="minorHAnsi"/>
          <w:i/>
          <w:sz w:val="22"/>
          <w:szCs w:val="22"/>
        </w:rPr>
      </w:pPr>
      <w:r w:rsidRPr="00FC2391">
        <w:rPr>
          <w:rFonts w:asciiTheme="minorHAnsi" w:hAnsiTheme="minorHAnsi"/>
          <w:i/>
          <w:sz w:val="22"/>
          <w:szCs w:val="22"/>
        </w:rPr>
        <w:t>Note – this will require an addition/amendment to the UDRP Rules</w:t>
      </w:r>
    </w:p>
    <w:p w14:paraId="1CCC562E" w14:textId="77777777" w:rsidR="00D124A3" w:rsidRDefault="00D124A3" w:rsidP="00DD2A6B">
      <w:pPr>
        <w:rPr>
          <w:rFonts w:asciiTheme="minorHAnsi" w:hAnsiTheme="minorHAnsi"/>
          <w:sz w:val="22"/>
          <w:szCs w:val="22"/>
        </w:rPr>
      </w:pPr>
    </w:p>
    <w:p w14:paraId="6612D2E3" w14:textId="248FA873" w:rsidR="00D124A3" w:rsidRDefault="00FC2391" w:rsidP="00DD2A6B">
      <w:pPr>
        <w:rPr>
          <w:rFonts w:asciiTheme="minorHAnsi" w:hAnsiTheme="minorHAnsi"/>
          <w:sz w:val="22"/>
          <w:szCs w:val="22"/>
        </w:rPr>
      </w:pPr>
      <w:r>
        <w:rPr>
          <w:rFonts w:asciiTheme="minorHAnsi" w:hAnsiTheme="minorHAnsi"/>
          <w:sz w:val="22"/>
          <w:szCs w:val="22"/>
        </w:rPr>
        <w:t xml:space="preserve">If Registrant does </w:t>
      </w:r>
      <w:r w:rsidRPr="00FC2391">
        <w:rPr>
          <w:rFonts w:asciiTheme="minorHAnsi" w:hAnsiTheme="minorHAnsi"/>
          <w:sz w:val="22"/>
          <w:szCs w:val="22"/>
          <w:u w:val="single"/>
        </w:rPr>
        <w:t>not</w:t>
      </w:r>
      <w:r>
        <w:rPr>
          <w:rFonts w:asciiTheme="minorHAnsi" w:hAnsiTheme="minorHAnsi"/>
          <w:sz w:val="22"/>
          <w:szCs w:val="22"/>
        </w:rPr>
        <w:t xml:space="preserve"> agree to the limited Mutual Jurisdiction, </w:t>
      </w:r>
      <w:r w:rsidR="00D124A3">
        <w:rPr>
          <w:rFonts w:asciiTheme="minorHAnsi" w:hAnsiTheme="minorHAnsi"/>
          <w:sz w:val="22"/>
          <w:szCs w:val="22"/>
        </w:rPr>
        <w:t xml:space="preserve">Registrant has </w:t>
      </w:r>
      <w:r w:rsidR="00D124A3" w:rsidRPr="00D124A3">
        <w:rPr>
          <w:rFonts w:asciiTheme="minorHAnsi" w:hAnsiTheme="minorHAnsi"/>
          <w:sz w:val="22"/>
          <w:szCs w:val="22"/>
          <w:u w:val="single"/>
        </w:rPr>
        <w:t xml:space="preserve">option to agree to </w:t>
      </w:r>
      <w:r>
        <w:rPr>
          <w:rFonts w:asciiTheme="minorHAnsi" w:hAnsiTheme="minorHAnsi"/>
          <w:sz w:val="22"/>
          <w:szCs w:val="22"/>
          <w:u w:val="single"/>
        </w:rPr>
        <w:t xml:space="preserve">the same </w:t>
      </w:r>
      <w:r w:rsidR="00D124A3" w:rsidRPr="00D124A3">
        <w:rPr>
          <w:rFonts w:asciiTheme="minorHAnsi" w:hAnsiTheme="minorHAnsi"/>
          <w:sz w:val="22"/>
          <w:szCs w:val="22"/>
          <w:u w:val="single"/>
        </w:rPr>
        <w:t>binding arbitration</w:t>
      </w:r>
      <w:r w:rsidR="00B376BD">
        <w:rPr>
          <w:rFonts w:asciiTheme="minorHAnsi" w:hAnsiTheme="minorHAnsi"/>
          <w:sz w:val="22"/>
          <w:szCs w:val="22"/>
          <w:u w:val="single"/>
        </w:rPr>
        <w:t xml:space="preserve"> </w:t>
      </w:r>
      <w:r>
        <w:rPr>
          <w:rFonts w:asciiTheme="minorHAnsi" w:hAnsiTheme="minorHAnsi"/>
          <w:sz w:val="22"/>
          <w:szCs w:val="22"/>
          <w:u w:val="single"/>
        </w:rPr>
        <w:t>clause as the IGO in Step #1</w:t>
      </w:r>
      <w:r w:rsidR="00D124A3">
        <w:rPr>
          <w:rFonts w:asciiTheme="minorHAnsi" w:hAnsiTheme="minorHAnsi"/>
          <w:sz w:val="22"/>
          <w:szCs w:val="22"/>
        </w:rPr>
        <w:t>.</w:t>
      </w:r>
    </w:p>
    <w:p w14:paraId="1E5D2844" w14:textId="164CB743" w:rsidR="00FC2391" w:rsidRPr="00FC2391" w:rsidRDefault="00FC2391" w:rsidP="00FC2391">
      <w:pPr>
        <w:pStyle w:val="ListParagraph"/>
        <w:numPr>
          <w:ilvl w:val="0"/>
          <w:numId w:val="5"/>
        </w:numPr>
        <w:rPr>
          <w:rFonts w:asciiTheme="minorHAnsi" w:hAnsiTheme="minorHAnsi"/>
          <w:i/>
          <w:sz w:val="22"/>
          <w:szCs w:val="22"/>
        </w:rPr>
      </w:pPr>
      <w:r w:rsidRPr="00FC2391">
        <w:rPr>
          <w:rFonts w:asciiTheme="minorHAnsi" w:hAnsiTheme="minorHAnsi"/>
          <w:i/>
          <w:sz w:val="22"/>
          <w:szCs w:val="22"/>
        </w:rPr>
        <w:t>Note – this will require an addition/amendment to the UDRP Rules</w:t>
      </w:r>
    </w:p>
    <w:p w14:paraId="5DBE60A1" w14:textId="77777777" w:rsidR="006E4E94" w:rsidRDefault="006E4E94" w:rsidP="00DD2A6B">
      <w:pPr>
        <w:rPr>
          <w:rFonts w:asciiTheme="minorHAnsi" w:hAnsiTheme="minorHAnsi"/>
          <w:sz w:val="22"/>
          <w:szCs w:val="22"/>
        </w:rPr>
      </w:pPr>
    </w:p>
    <w:p w14:paraId="363E136D" w14:textId="067C19AA" w:rsidR="00FC2391" w:rsidRDefault="00FC2391" w:rsidP="00DD2A6B">
      <w:pPr>
        <w:rPr>
          <w:rFonts w:asciiTheme="minorHAnsi" w:hAnsiTheme="minorHAnsi"/>
          <w:b/>
          <w:sz w:val="22"/>
          <w:szCs w:val="22"/>
        </w:rPr>
      </w:pPr>
      <w:r w:rsidRPr="00FC2391">
        <w:rPr>
          <w:rFonts w:asciiTheme="minorHAnsi" w:hAnsiTheme="minorHAnsi"/>
          <w:b/>
          <w:sz w:val="22"/>
          <w:szCs w:val="22"/>
        </w:rPr>
        <w:t>Step #3: Initial UDRP/URS determination stage and subsequent events</w:t>
      </w:r>
    </w:p>
    <w:p w14:paraId="61F132CC" w14:textId="77777777" w:rsidR="00FC2391" w:rsidRPr="00FC2391" w:rsidRDefault="00FC2391" w:rsidP="00DD2A6B">
      <w:pPr>
        <w:rPr>
          <w:rFonts w:asciiTheme="minorHAnsi" w:hAnsiTheme="minorHAnsi"/>
          <w:b/>
          <w:sz w:val="22"/>
          <w:szCs w:val="22"/>
        </w:rPr>
      </w:pPr>
    </w:p>
    <w:p w14:paraId="73B8D381" w14:textId="5807178A" w:rsidR="00D124A3" w:rsidRDefault="00E31C97" w:rsidP="00D124A3">
      <w:pPr>
        <w:ind w:left="360"/>
        <w:rPr>
          <w:rFonts w:asciiTheme="minorHAnsi" w:hAnsiTheme="minorHAnsi"/>
          <w:sz w:val="22"/>
          <w:szCs w:val="22"/>
        </w:rPr>
      </w:pPr>
      <w:r w:rsidRPr="006E4E94">
        <w:rPr>
          <w:rFonts w:asciiTheme="minorHAnsi" w:hAnsiTheme="minorHAnsi"/>
          <w:b/>
          <w:i/>
          <w:sz w:val="22"/>
          <w:szCs w:val="22"/>
        </w:rPr>
        <w:t>If registrant agree</w:t>
      </w:r>
      <w:r w:rsidR="00FC2391">
        <w:rPr>
          <w:rFonts w:asciiTheme="minorHAnsi" w:hAnsiTheme="minorHAnsi"/>
          <w:b/>
          <w:i/>
          <w:sz w:val="22"/>
          <w:szCs w:val="22"/>
        </w:rPr>
        <w:t>d</w:t>
      </w:r>
      <w:r w:rsidRPr="006E4E94">
        <w:rPr>
          <w:rFonts w:asciiTheme="minorHAnsi" w:hAnsiTheme="minorHAnsi"/>
          <w:b/>
          <w:i/>
          <w:sz w:val="22"/>
          <w:szCs w:val="22"/>
        </w:rPr>
        <w:t xml:space="preserve"> </w:t>
      </w:r>
      <w:r w:rsidR="00B376BD">
        <w:rPr>
          <w:rFonts w:asciiTheme="minorHAnsi" w:hAnsiTheme="minorHAnsi"/>
          <w:b/>
          <w:i/>
          <w:sz w:val="22"/>
          <w:szCs w:val="22"/>
        </w:rPr>
        <w:t>to the</w:t>
      </w:r>
      <w:r w:rsidR="006E4E94" w:rsidRPr="006E4E94">
        <w:rPr>
          <w:rFonts w:asciiTheme="minorHAnsi" w:hAnsiTheme="minorHAnsi"/>
          <w:b/>
          <w:i/>
          <w:sz w:val="22"/>
          <w:szCs w:val="22"/>
        </w:rPr>
        <w:t xml:space="preserve"> limited Mutual Jurisdiction clause</w:t>
      </w:r>
      <w:r w:rsidR="00D124A3">
        <w:rPr>
          <w:rFonts w:asciiTheme="minorHAnsi" w:hAnsiTheme="minorHAnsi"/>
          <w:b/>
          <w:i/>
          <w:sz w:val="22"/>
          <w:szCs w:val="22"/>
        </w:rPr>
        <w:t xml:space="preserve">, </w:t>
      </w:r>
      <w:r w:rsidRPr="00D124A3">
        <w:rPr>
          <w:rFonts w:asciiTheme="minorHAnsi" w:hAnsiTheme="minorHAnsi"/>
          <w:sz w:val="22"/>
          <w:szCs w:val="22"/>
        </w:rPr>
        <w:t>loses in the initial UDRP/URS proceeding</w:t>
      </w:r>
      <w:r w:rsidR="003F2803" w:rsidRPr="00D124A3">
        <w:rPr>
          <w:rFonts w:asciiTheme="minorHAnsi" w:hAnsiTheme="minorHAnsi"/>
          <w:sz w:val="22"/>
          <w:szCs w:val="22"/>
        </w:rPr>
        <w:t xml:space="preserve">, </w:t>
      </w:r>
      <w:r w:rsidR="00D124A3">
        <w:rPr>
          <w:rFonts w:asciiTheme="minorHAnsi" w:hAnsiTheme="minorHAnsi"/>
          <w:sz w:val="22"/>
          <w:szCs w:val="22"/>
        </w:rPr>
        <w:t xml:space="preserve">and then </w:t>
      </w:r>
      <w:r w:rsidRPr="00D124A3">
        <w:rPr>
          <w:rFonts w:asciiTheme="minorHAnsi" w:hAnsiTheme="minorHAnsi"/>
          <w:sz w:val="22"/>
          <w:szCs w:val="22"/>
        </w:rPr>
        <w:t>file</w:t>
      </w:r>
      <w:r w:rsidR="003F2803" w:rsidRPr="00D124A3">
        <w:rPr>
          <w:rFonts w:asciiTheme="minorHAnsi" w:hAnsiTheme="minorHAnsi"/>
          <w:sz w:val="22"/>
          <w:szCs w:val="22"/>
        </w:rPr>
        <w:t>s</w:t>
      </w:r>
      <w:r w:rsidRPr="00D124A3">
        <w:rPr>
          <w:rFonts w:asciiTheme="minorHAnsi" w:hAnsiTheme="minorHAnsi"/>
          <w:sz w:val="22"/>
          <w:szCs w:val="22"/>
        </w:rPr>
        <w:t xml:space="preserve"> a court action</w:t>
      </w:r>
      <w:r w:rsidR="00D124A3">
        <w:rPr>
          <w:rFonts w:asciiTheme="minorHAnsi" w:hAnsiTheme="minorHAnsi"/>
          <w:sz w:val="22"/>
          <w:szCs w:val="22"/>
        </w:rPr>
        <w:t>:</w:t>
      </w:r>
    </w:p>
    <w:p w14:paraId="6D77FD28" w14:textId="7734085C" w:rsidR="00E31C97" w:rsidRPr="00D124A3" w:rsidRDefault="00D124A3" w:rsidP="00D124A3">
      <w:pPr>
        <w:pStyle w:val="ListParagraph"/>
        <w:numPr>
          <w:ilvl w:val="0"/>
          <w:numId w:val="4"/>
        </w:numPr>
        <w:rPr>
          <w:rFonts w:asciiTheme="minorHAnsi" w:hAnsiTheme="minorHAnsi"/>
          <w:sz w:val="22"/>
          <w:szCs w:val="22"/>
        </w:rPr>
      </w:pPr>
      <w:r w:rsidRPr="00D124A3">
        <w:rPr>
          <w:rFonts w:asciiTheme="minorHAnsi" w:hAnsiTheme="minorHAnsi"/>
          <w:sz w:val="22"/>
          <w:szCs w:val="22"/>
        </w:rPr>
        <w:t>T</w:t>
      </w:r>
      <w:r w:rsidR="00E31C97" w:rsidRPr="00D124A3">
        <w:rPr>
          <w:rFonts w:asciiTheme="minorHAnsi" w:hAnsiTheme="minorHAnsi"/>
          <w:sz w:val="22"/>
          <w:szCs w:val="22"/>
        </w:rPr>
        <w:t xml:space="preserve">he </w:t>
      </w:r>
      <w:r w:rsidR="00E31C97" w:rsidRPr="00D124A3">
        <w:rPr>
          <w:rFonts w:asciiTheme="minorHAnsi" w:hAnsiTheme="minorHAnsi"/>
          <w:sz w:val="22"/>
          <w:szCs w:val="22"/>
          <w:u w:val="single"/>
        </w:rPr>
        <w:t>court action proceeds in accordance with the limited jurisdiction/scope</w:t>
      </w:r>
      <w:r w:rsidR="00E31C97" w:rsidRPr="00D124A3">
        <w:rPr>
          <w:rFonts w:asciiTheme="minorHAnsi" w:hAnsiTheme="minorHAnsi"/>
          <w:sz w:val="22"/>
          <w:szCs w:val="22"/>
        </w:rPr>
        <w:t xml:space="preserve"> (as mutually agreed)</w:t>
      </w:r>
      <w:r w:rsidR="006E4E94" w:rsidRPr="00D124A3">
        <w:rPr>
          <w:rFonts w:asciiTheme="minorHAnsi" w:hAnsiTheme="minorHAnsi"/>
          <w:sz w:val="22"/>
          <w:szCs w:val="22"/>
        </w:rPr>
        <w:t>.</w:t>
      </w:r>
    </w:p>
    <w:p w14:paraId="039AD580" w14:textId="77777777" w:rsidR="00E31C97" w:rsidRDefault="00E31C97" w:rsidP="00DD2A6B">
      <w:pPr>
        <w:rPr>
          <w:rFonts w:asciiTheme="minorHAnsi" w:hAnsiTheme="minorHAnsi"/>
          <w:sz w:val="22"/>
          <w:szCs w:val="22"/>
        </w:rPr>
      </w:pPr>
    </w:p>
    <w:p w14:paraId="362FE425" w14:textId="50211E2F" w:rsidR="00D124A3" w:rsidRDefault="00FC2391" w:rsidP="00D124A3">
      <w:pPr>
        <w:ind w:left="360"/>
        <w:rPr>
          <w:rFonts w:asciiTheme="minorHAnsi" w:hAnsiTheme="minorHAnsi"/>
          <w:sz w:val="22"/>
          <w:szCs w:val="22"/>
        </w:rPr>
      </w:pPr>
      <w:r>
        <w:rPr>
          <w:rFonts w:asciiTheme="minorHAnsi" w:hAnsiTheme="minorHAnsi"/>
          <w:b/>
          <w:i/>
          <w:sz w:val="22"/>
          <w:szCs w:val="22"/>
        </w:rPr>
        <w:t>If registrant did</w:t>
      </w:r>
      <w:r w:rsidR="00E31C97" w:rsidRPr="006E4E94">
        <w:rPr>
          <w:rFonts w:asciiTheme="minorHAnsi" w:hAnsiTheme="minorHAnsi"/>
          <w:b/>
          <w:i/>
          <w:sz w:val="22"/>
          <w:szCs w:val="22"/>
        </w:rPr>
        <w:t xml:space="preserve"> </w:t>
      </w:r>
      <w:r w:rsidR="00E31C97" w:rsidRPr="00FC2391">
        <w:rPr>
          <w:rFonts w:asciiTheme="minorHAnsi" w:hAnsiTheme="minorHAnsi"/>
          <w:b/>
          <w:i/>
          <w:sz w:val="22"/>
          <w:szCs w:val="22"/>
          <w:u w:val="single"/>
        </w:rPr>
        <w:t>not</w:t>
      </w:r>
      <w:r w:rsidR="00E31C97" w:rsidRPr="006E4E94">
        <w:rPr>
          <w:rFonts w:asciiTheme="minorHAnsi" w:hAnsiTheme="minorHAnsi"/>
          <w:b/>
          <w:i/>
          <w:sz w:val="22"/>
          <w:szCs w:val="22"/>
        </w:rPr>
        <w:t xml:space="preserve"> agree</w:t>
      </w:r>
      <w:r w:rsidR="00D124A3">
        <w:rPr>
          <w:rFonts w:asciiTheme="minorHAnsi" w:hAnsiTheme="minorHAnsi"/>
          <w:b/>
          <w:i/>
          <w:sz w:val="22"/>
          <w:szCs w:val="22"/>
        </w:rPr>
        <w:t xml:space="preserve"> to limited Mutual Jurisdiction clause</w:t>
      </w:r>
      <w:r w:rsidR="00B376BD">
        <w:rPr>
          <w:rFonts w:asciiTheme="minorHAnsi" w:hAnsiTheme="minorHAnsi"/>
          <w:b/>
          <w:i/>
          <w:sz w:val="22"/>
          <w:szCs w:val="22"/>
        </w:rPr>
        <w:t xml:space="preserve"> but agree</w:t>
      </w:r>
      <w:r w:rsidR="00305DB0">
        <w:rPr>
          <w:rFonts w:asciiTheme="minorHAnsi" w:hAnsiTheme="minorHAnsi"/>
          <w:b/>
          <w:i/>
          <w:sz w:val="22"/>
          <w:szCs w:val="22"/>
        </w:rPr>
        <w:t>d</w:t>
      </w:r>
      <w:r w:rsidR="00B376BD">
        <w:rPr>
          <w:rFonts w:asciiTheme="minorHAnsi" w:hAnsiTheme="minorHAnsi"/>
          <w:b/>
          <w:i/>
          <w:sz w:val="22"/>
          <w:szCs w:val="22"/>
        </w:rPr>
        <w:t xml:space="preserve"> to binding arbitration</w:t>
      </w:r>
      <w:r w:rsidR="00D124A3">
        <w:rPr>
          <w:rFonts w:asciiTheme="minorHAnsi" w:hAnsiTheme="minorHAnsi"/>
          <w:b/>
          <w:i/>
          <w:sz w:val="22"/>
          <w:szCs w:val="22"/>
        </w:rPr>
        <w:t xml:space="preserve">, </w:t>
      </w:r>
      <w:r w:rsidR="006E4E94" w:rsidRPr="00D124A3">
        <w:rPr>
          <w:rFonts w:asciiTheme="minorHAnsi" w:hAnsiTheme="minorHAnsi"/>
          <w:sz w:val="22"/>
          <w:szCs w:val="22"/>
        </w:rPr>
        <w:t>loses in the initial UDRP/URS proceeding</w:t>
      </w:r>
      <w:r w:rsidR="00D124A3">
        <w:rPr>
          <w:rFonts w:asciiTheme="minorHAnsi" w:hAnsiTheme="minorHAnsi"/>
          <w:sz w:val="22"/>
          <w:szCs w:val="22"/>
        </w:rPr>
        <w:t>,</w:t>
      </w:r>
      <w:r w:rsidR="006E4E94" w:rsidRPr="00D124A3">
        <w:rPr>
          <w:rFonts w:asciiTheme="minorHAnsi" w:hAnsiTheme="minorHAnsi"/>
          <w:sz w:val="22"/>
          <w:szCs w:val="22"/>
        </w:rPr>
        <w:t xml:space="preserve"> files a court action and the </w:t>
      </w:r>
      <w:r w:rsidR="006E4E94" w:rsidRPr="00D124A3">
        <w:rPr>
          <w:rFonts w:asciiTheme="minorHAnsi" w:hAnsiTheme="minorHAnsi"/>
          <w:sz w:val="22"/>
          <w:szCs w:val="22"/>
          <w:u w:val="single"/>
        </w:rPr>
        <w:t>IGO succeeds in claiming immunity</w:t>
      </w:r>
      <w:r w:rsidR="00D124A3">
        <w:rPr>
          <w:rFonts w:asciiTheme="minorHAnsi" w:hAnsiTheme="minorHAnsi"/>
          <w:sz w:val="22"/>
          <w:szCs w:val="22"/>
          <w:u w:val="single"/>
        </w:rPr>
        <w:t>:</w:t>
      </w:r>
      <w:r w:rsidR="006E4E94" w:rsidRPr="00D124A3">
        <w:rPr>
          <w:rFonts w:asciiTheme="minorHAnsi" w:hAnsiTheme="minorHAnsi"/>
          <w:sz w:val="22"/>
          <w:szCs w:val="22"/>
        </w:rPr>
        <w:t xml:space="preserve"> </w:t>
      </w:r>
    </w:p>
    <w:p w14:paraId="22003EAE" w14:textId="77777777" w:rsidR="00B376BD" w:rsidRDefault="00B376BD" w:rsidP="00B376BD">
      <w:pPr>
        <w:pStyle w:val="ListParagraph"/>
        <w:numPr>
          <w:ilvl w:val="0"/>
          <w:numId w:val="4"/>
        </w:numPr>
        <w:rPr>
          <w:rFonts w:asciiTheme="minorHAnsi" w:hAnsiTheme="minorHAnsi"/>
          <w:b/>
          <w:i/>
          <w:sz w:val="22"/>
          <w:szCs w:val="22"/>
        </w:rPr>
      </w:pPr>
      <w:r>
        <w:rPr>
          <w:rFonts w:asciiTheme="minorHAnsi" w:hAnsiTheme="minorHAnsi"/>
          <w:sz w:val="22"/>
          <w:szCs w:val="22"/>
        </w:rPr>
        <w:t xml:space="preserve">The </w:t>
      </w:r>
      <w:r w:rsidRPr="00B376BD">
        <w:rPr>
          <w:rFonts w:asciiTheme="minorHAnsi" w:hAnsiTheme="minorHAnsi"/>
          <w:sz w:val="22"/>
          <w:szCs w:val="22"/>
          <w:u w:val="single"/>
        </w:rPr>
        <w:t xml:space="preserve">dispute proceeds to </w:t>
      </w:r>
      <w:r>
        <w:rPr>
          <w:rFonts w:asciiTheme="minorHAnsi" w:hAnsiTheme="minorHAnsi"/>
          <w:sz w:val="22"/>
          <w:szCs w:val="22"/>
          <w:u w:val="single"/>
        </w:rPr>
        <w:t xml:space="preserve">binding </w:t>
      </w:r>
      <w:r w:rsidRPr="00B376BD">
        <w:rPr>
          <w:rFonts w:asciiTheme="minorHAnsi" w:hAnsiTheme="minorHAnsi"/>
          <w:sz w:val="22"/>
          <w:szCs w:val="22"/>
          <w:u w:val="single"/>
        </w:rPr>
        <w:t>arbitration</w:t>
      </w:r>
      <w:r>
        <w:rPr>
          <w:rFonts w:asciiTheme="minorHAnsi" w:hAnsiTheme="minorHAnsi"/>
          <w:sz w:val="22"/>
          <w:szCs w:val="22"/>
        </w:rPr>
        <w:t xml:space="preserve"> in accordance with the criteria/requirements noted below</w:t>
      </w:r>
      <w:r w:rsidR="006E4E94" w:rsidRPr="00D124A3">
        <w:rPr>
          <w:rFonts w:asciiTheme="minorHAnsi" w:hAnsiTheme="minorHAnsi"/>
          <w:sz w:val="22"/>
          <w:szCs w:val="22"/>
        </w:rPr>
        <w:t>.</w:t>
      </w:r>
    </w:p>
    <w:p w14:paraId="27971BFD" w14:textId="77777777" w:rsidR="00B376BD" w:rsidRDefault="00B376BD" w:rsidP="00B376BD">
      <w:pPr>
        <w:ind w:left="360"/>
        <w:rPr>
          <w:rFonts w:asciiTheme="minorHAnsi" w:hAnsiTheme="minorHAnsi"/>
          <w:b/>
          <w:i/>
          <w:sz w:val="22"/>
          <w:szCs w:val="22"/>
        </w:rPr>
      </w:pPr>
    </w:p>
    <w:p w14:paraId="23D6C79C" w14:textId="2D537ECB" w:rsidR="00B376BD" w:rsidRDefault="00FC2391" w:rsidP="00B376BD">
      <w:pPr>
        <w:ind w:left="360"/>
        <w:rPr>
          <w:rFonts w:asciiTheme="minorHAnsi" w:hAnsiTheme="minorHAnsi"/>
          <w:sz w:val="22"/>
          <w:szCs w:val="22"/>
        </w:rPr>
      </w:pPr>
      <w:r>
        <w:rPr>
          <w:rFonts w:asciiTheme="minorHAnsi" w:hAnsiTheme="minorHAnsi"/>
          <w:b/>
          <w:i/>
          <w:sz w:val="22"/>
          <w:szCs w:val="22"/>
        </w:rPr>
        <w:t>If registrant did</w:t>
      </w:r>
      <w:r w:rsidR="00B376BD" w:rsidRPr="00B376BD">
        <w:rPr>
          <w:rFonts w:asciiTheme="minorHAnsi" w:hAnsiTheme="minorHAnsi"/>
          <w:b/>
          <w:i/>
          <w:sz w:val="22"/>
          <w:szCs w:val="22"/>
        </w:rPr>
        <w:t xml:space="preserve"> </w:t>
      </w:r>
      <w:r w:rsidR="00B376BD" w:rsidRPr="00FC2391">
        <w:rPr>
          <w:rFonts w:asciiTheme="minorHAnsi" w:hAnsiTheme="minorHAnsi"/>
          <w:b/>
          <w:i/>
          <w:sz w:val="22"/>
          <w:szCs w:val="22"/>
          <w:u w:val="single"/>
        </w:rPr>
        <w:t>not</w:t>
      </w:r>
      <w:r w:rsidR="00B376BD" w:rsidRPr="00B376BD">
        <w:rPr>
          <w:rFonts w:asciiTheme="minorHAnsi" w:hAnsiTheme="minorHAnsi"/>
          <w:b/>
          <w:i/>
          <w:sz w:val="22"/>
          <w:szCs w:val="22"/>
        </w:rPr>
        <w:t xml:space="preserve"> agree to limited Mutual Jurisdiction clause </w:t>
      </w:r>
      <w:r w:rsidR="00B376BD">
        <w:rPr>
          <w:rFonts w:asciiTheme="minorHAnsi" w:hAnsiTheme="minorHAnsi"/>
          <w:b/>
          <w:i/>
          <w:sz w:val="22"/>
          <w:szCs w:val="22"/>
        </w:rPr>
        <w:t>and</w:t>
      </w:r>
      <w:r>
        <w:rPr>
          <w:rFonts w:asciiTheme="minorHAnsi" w:hAnsiTheme="minorHAnsi"/>
          <w:b/>
          <w:i/>
          <w:sz w:val="22"/>
          <w:szCs w:val="22"/>
        </w:rPr>
        <w:t xml:space="preserve"> also</w:t>
      </w:r>
      <w:r w:rsidR="00B376BD">
        <w:rPr>
          <w:rFonts w:asciiTheme="minorHAnsi" w:hAnsiTheme="minorHAnsi"/>
          <w:b/>
          <w:i/>
          <w:sz w:val="22"/>
          <w:szCs w:val="22"/>
        </w:rPr>
        <w:t xml:space="preserve"> d</w:t>
      </w:r>
      <w:r>
        <w:rPr>
          <w:rFonts w:asciiTheme="minorHAnsi" w:hAnsiTheme="minorHAnsi"/>
          <w:b/>
          <w:i/>
          <w:sz w:val="22"/>
          <w:szCs w:val="22"/>
        </w:rPr>
        <w:t>id</w:t>
      </w:r>
      <w:r w:rsidR="00B376BD">
        <w:rPr>
          <w:rFonts w:asciiTheme="minorHAnsi" w:hAnsiTheme="minorHAnsi"/>
          <w:b/>
          <w:i/>
          <w:sz w:val="22"/>
          <w:szCs w:val="22"/>
        </w:rPr>
        <w:t xml:space="preserve"> </w:t>
      </w:r>
      <w:r w:rsidRPr="00FC2391">
        <w:rPr>
          <w:rFonts w:asciiTheme="minorHAnsi" w:hAnsiTheme="minorHAnsi"/>
          <w:b/>
          <w:i/>
          <w:sz w:val="22"/>
          <w:szCs w:val="22"/>
          <w:u w:val="single"/>
        </w:rPr>
        <w:t>not</w:t>
      </w:r>
      <w:r w:rsidR="00B376BD">
        <w:rPr>
          <w:rFonts w:asciiTheme="minorHAnsi" w:hAnsiTheme="minorHAnsi"/>
          <w:b/>
          <w:i/>
          <w:sz w:val="22"/>
          <w:szCs w:val="22"/>
        </w:rPr>
        <w:t xml:space="preserve"> agree</w:t>
      </w:r>
      <w:r w:rsidR="00B376BD" w:rsidRPr="00B376BD">
        <w:rPr>
          <w:rFonts w:asciiTheme="minorHAnsi" w:hAnsiTheme="minorHAnsi"/>
          <w:b/>
          <w:i/>
          <w:sz w:val="22"/>
          <w:szCs w:val="22"/>
        </w:rPr>
        <w:t xml:space="preserve"> to binding arbitration</w:t>
      </w:r>
      <w:r w:rsidR="00B376BD">
        <w:rPr>
          <w:rFonts w:asciiTheme="minorHAnsi" w:hAnsiTheme="minorHAnsi"/>
          <w:b/>
          <w:i/>
          <w:sz w:val="22"/>
          <w:szCs w:val="22"/>
        </w:rPr>
        <w:t>,</w:t>
      </w:r>
      <w:r w:rsidR="00B376BD" w:rsidRPr="00B376BD">
        <w:rPr>
          <w:rFonts w:asciiTheme="minorHAnsi" w:hAnsiTheme="minorHAnsi"/>
          <w:sz w:val="22"/>
          <w:szCs w:val="22"/>
        </w:rPr>
        <w:t xml:space="preserve"> loses in the initial UDRP/URS proceeding, files a court action and the </w:t>
      </w:r>
      <w:r w:rsidR="00B376BD" w:rsidRPr="00B376BD">
        <w:rPr>
          <w:rFonts w:asciiTheme="minorHAnsi" w:hAnsiTheme="minorHAnsi"/>
          <w:sz w:val="22"/>
          <w:szCs w:val="22"/>
          <w:u w:val="single"/>
        </w:rPr>
        <w:t>IGO succeed</w:t>
      </w:r>
      <w:r w:rsidR="00B376BD">
        <w:rPr>
          <w:rFonts w:asciiTheme="minorHAnsi" w:hAnsiTheme="minorHAnsi"/>
          <w:sz w:val="22"/>
          <w:szCs w:val="22"/>
          <w:u w:val="single"/>
        </w:rPr>
        <w:t>s</w:t>
      </w:r>
      <w:r w:rsidR="00B376BD" w:rsidRPr="00B376BD">
        <w:rPr>
          <w:rFonts w:asciiTheme="minorHAnsi" w:hAnsiTheme="minorHAnsi"/>
          <w:sz w:val="22"/>
          <w:szCs w:val="22"/>
          <w:u w:val="single"/>
        </w:rPr>
        <w:t xml:space="preserve"> in claiming immunity</w:t>
      </w:r>
      <w:r w:rsidR="00B376BD">
        <w:rPr>
          <w:rFonts w:asciiTheme="minorHAnsi" w:hAnsiTheme="minorHAnsi"/>
          <w:sz w:val="22"/>
          <w:szCs w:val="22"/>
          <w:u w:val="single"/>
        </w:rPr>
        <w:t>:</w:t>
      </w:r>
    </w:p>
    <w:p w14:paraId="75DAED3B" w14:textId="41DB2C1D" w:rsidR="00B376BD" w:rsidRPr="00B376BD" w:rsidRDefault="00B376BD" w:rsidP="00B376BD">
      <w:pPr>
        <w:pStyle w:val="ListParagraph"/>
        <w:numPr>
          <w:ilvl w:val="0"/>
          <w:numId w:val="4"/>
        </w:numPr>
        <w:rPr>
          <w:rFonts w:asciiTheme="minorHAnsi" w:hAnsiTheme="minorHAnsi"/>
          <w:sz w:val="22"/>
          <w:szCs w:val="22"/>
        </w:rPr>
      </w:pPr>
      <w:r>
        <w:rPr>
          <w:rFonts w:asciiTheme="minorHAnsi" w:hAnsiTheme="minorHAnsi"/>
          <w:sz w:val="22"/>
          <w:szCs w:val="22"/>
        </w:rPr>
        <w:t xml:space="preserve">The dispute concludes; the </w:t>
      </w:r>
      <w:r w:rsidRPr="00B376BD">
        <w:rPr>
          <w:rFonts w:asciiTheme="minorHAnsi" w:hAnsiTheme="minorHAnsi"/>
          <w:sz w:val="22"/>
          <w:szCs w:val="22"/>
          <w:u w:val="single"/>
        </w:rPr>
        <w:t>original UDRP/URS decision stands</w:t>
      </w:r>
      <w:r>
        <w:rPr>
          <w:rFonts w:asciiTheme="minorHAnsi" w:hAnsiTheme="minorHAnsi"/>
          <w:sz w:val="22"/>
          <w:szCs w:val="22"/>
        </w:rPr>
        <w:t>.</w:t>
      </w:r>
    </w:p>
    <w:p w14:paraId="01B480F2" w14:textId="77777777" w:rsidR="00B376BD" w:rsidRDefault="00B376BD" w:rsidP="00B376BD">
      <w:pPr>
        <w:ind w:left="360"/>
        <w:rPr>
          <w:rFonts w:asciiTheme="minorHAnsi" w:hAnsiTheme="minorHAnsi"/>
          <w:b/>
          <w:i/>
          <w:sz w:val="22"/>
          <w:szCs w:val="22"/>
        </w:rPr>
      </w:pPr>
    </w:p>
    <w:p w14:paraId="31DCE42E" w14:textId="158278B8" w:rsidR="006E4E94" w:rsidRPr="006E4E94" w:rsidRDefault="008864B0" w:rsidP="00B376BD">
      <w:pPr>
        <w:ind w:left="360"/>
        <w:rPr>
          <w:rFonts w:asciiTheme="minorHAnsi" w:hAnsiTheme="minorHAnsi"/>
          <w:sz w:val="22"/>
          <w:szCs w:val="22"/>
        </w:rPr>
      </w:pPr>
      <w:r>
        <w:rPr>
          <w:rFonts w:asciiTheme="minorHAnsi" w:hAnsiTheme="minorHAnsi"/>
          <w:b/>
          <w:i/>
          <w:sz w:val="22"/>
          <w:szCs w:val="22"/>
        </w:rPr>
        <w:t>If registrant did</w:t>
      </w:r>
      <w:r w:rsidR="00B376BD" w:rsidRPr="00B376BD">
        <w:rPr>
          <w:rFonts w:asciiTheme="minorHAnsi" w:hAnsiTheme="minorHAnsi"/>
          <w:b/>
          <w:i/>
          <w:sz w:val="22"/>
          <w:szCs w:val="22"/>
        </w:rPr>
        <w:t xml:space="preserve"> </w:t>
      </w:r>
      <w:r w:rsidR="00B376BD" w:rsidRPr="008864B0">
        <w:rPr>
          <w:rFonts w:asciiTheme="minorHAnsi" w:hAnsiTheme="minorHAnsi"/>
          <w:b/>
          <w:i/>
          <w:sz w:val="22"/>
          <w:szCs w:val="22"/>
          <w:u w:val="single"/>
        </w:rPr>
        <w:t>not</w:t>
      </w:r>
      <w:r w:rsidR="00B376BD" w:rsidRPr="00B376BD">
        <w:rPr>
          <w:rFonts w:asciiTheme="minorHAnsi" w:hAnsiTheme="minorHAnsi"/>
          <w:b/>
          <w:i/>
          <w:sz w:val="22"/>
          <w:szCs w:val="22"/>
        </w:rPr>
        <w:t xml:space="preserve"> agree to limited Mutual Jurisdiction clause </w:t>
      </w:r>
      <w:r>
        <w:rPr>
          <w:rFonts w:asciiTheme="minorHAnsi" w:hAnsiTheme="minorHAnsi"/>
          <w:b/>
          <w:i/>
          <w:sz w:val="22"/>
          <w:szCs w:val="22"/>
        </w:rPr>
        <w:t>and also did</w:t>
      </w:r>
      <w:r w:rsidR="00B376BD">
        <w:rPr>
          <w:rFonts w:asciiTheme="minorHAnsi" w:hAnsiTheme="minorHAnsi"/>
          <w:b/>
          <w:i/>
          <w:sz w:val="22"/>
          <w:szCs w:val="22"/>
        </w:rPr>
        <w:t xml:space="preserve"> </w:t>
      </w:r>
      <w:r w:rsidRPr="008864B0">
        <w:rPr>
          <w:rFonts w:asciiTheme="minorHAnsi" w:hAnsiTheme="minorHAnsi"/>
          <w:b/>
          <w:i/>
          <w:sz w:val="22"/>
          <w:szCs w:val="22"/>
          <w:u w:val="single"/>
        </w:rPr>
        <w:t>not</w:t>
      </w:r>
      <w:r w:rsidR="00B376BD">
        <w:rPr>
          <w:rFonts w:asciiTheme="minorHAnsi" w:hAnsiTheme="minorHAnsi"/>
          <w:b/>
          <w:i/>
          <w:sz w:val="22"/>
          <w:szCs w:val="22"/>
        </w:rPr>
        <w:t xml:space="preserve"> agree</w:t>
      </w:r>
      <w:r w:rsidR="00B376BD" w:rsidRPr="00B376BD">
        <w:rPr>
          <w:rFonts w:asciiTheme="minorHAnsi" w:hAnsiTheme="minorHAnsi"/>
          <w:b/>
          <w:i/>
          <w:sz w:val="22"/>
          <w:szCs w:val="22"/>
        </w:rPr>
        <w:t xml:space="preserve"> to binding arbitration</w:t>
      </w:r>
      <w:r w:rsidR="00B376BD">
        <w:rPr>
          <w:rFonts w:asciiTheme="minorHAnsi" w:hAnsiTheme="minorHAnsi"/>
          <w:b/>
          <w:i/>
          <w:sz w:val="22"/>
          <w:szCs w:val="22"/>
        </w:rPr>
        <w:t>,</w:t>
      </w:r>
      <w:r w:rsidR="00B376BD" w:rsidRPr="00B376BD">
        <w:rPr>
          <w:rFonts w:asciiTheme="minorHAnsi" w:hAnsiTheme="minorHAnsi"/>
          <w:sz w:val="22"/>
          <w:szCs w:val="22"/>
        </w:rPr>
        <w:t xml:space="preserve"> </w:t>
      </w:r>
      <w:r w:rsidR="006E4E94" w:rsidRPr="00B376BD">
        <w:rPr>
          <w:rFonts w:asciiTheme="minorHAnsi" w:hAnsiTheme="minorHAnsi"/>
          <w:sz w:val="22"/>
          <w:szCs w:val="22"/>
        </w:rPr>
        <w:t xml:space="preserve">loses in the initial UDRP/URS proceeding, files a court action and the </w:t>
      </w:r>
      <w:r w:rsidR="006E4E94" w:rsidRPr="00B376BD">
        <w:rPr>
          <w:rFonts w:asciiTheme="minorHAnsi" w:hAnsiTheme="minorHAnsi"/>
          <w:sz w:val="22"/>
          <w:szCs w:val="22"/>
          <w:u w:val="single"/>
        </w:rPr>
        <w:t xml:space="preserve">IGO does </w:t>
      </w:r>
      <w:r w:rsidR="00B376BD">
        <w:rPr>
          <w:rFonts w:asciiTheme="minorHAnsi" w:hAnsiTheme="minorHAnsi"/>
          <w:sz w:val="22"/>
          <w:szCs w:val="22"/>
          <w:u w:val="single"/>
        </w:rPr>
        <w:t>NOT</w:t>
      </w:r>
      <w:r w:rsidR="006E4E94" w:rsidRPr="00B376BD">
        <w:rPr>
          <w:rFonts w:asciiTheme="minorHAnsi" w:hAnsiTheme="minorHAnsi"/>
          <w:sz w:val="22"/>
          <w:szCs w:val="22"/>
          <w:u w:val="single"/>
        </w:rPr>
        <w:t xml:space="preserve"> succeed in claiming immunity</w:t>
      </w:r>
      <w:r w:rsidR="00B376BD">
        <w:rPr>
          <w:rFonts w:asciiTheme="minorHAnsi" w:hAnsiTheme="minorHAnsi"/>
          <w:sz w:val="22"/>
          <w:szCs w:val="22"/>
        </w:rPr>
        <w:t>:</w:t>
      </w:r>
    </w:p>
    <w:p w14:paraId="0FA6B8D4" w14:textId="77777777" w:rsidR="006E4E94" w:rsidRDefault="006E4E94" w:rsidP="00DD2A6B">
      <w:pPr>
        <w:rPr>
          <w:rFonts w:asciiTheme="minorHAnsi" w:hAnsiTheme="minorHAnsi"/>
          <w:sz w:val="22"/>
          <w:szCs w:val="22"/>
        </w:rPr>
      </w:pPr>
    </w:p>
    <w:p w14:paraId="0A0D5B96" w14:textId="411FEA19" w:rsidR="006E4E94" w:rsidRPr="006E4E94" w:rsidRDefault="00B376BD" w:rsidP="006E4E94">
      <w:pPr>
        <w:pStyle w:val="ListParagraph"/>
        <w:numPr>
          <w:ilvl w:val="0"/>
          <w:numId w:val="3"/>
        </w:numPr>
        <w:rPr>
          <w:rFonts w:asciiTheme="minorHAnsi" w:hAnsiTheme="minorHAnsi"/>
          <w:sz w:val="22"/>
          <w:szCs w:val="22"/>
        </w:rPr>
      </w:pPr>
      <w:r>
        <w:rPr>
          <w:rFonts w:asciiTheme="minorHAnsi" w:hAnsiTheme="minorHAnsi"/>
          <w:sz w:val="22"/>
          <w:szCs w:val="22"/>
        </w:rPr>
        <w:t>The</w:t>
      </w:r>
      <w:r w:rsidR="006E4E94" w:rsidRPr="006E4E94">
        <w:rPr>
          <w:rFonts w:asciiTheme="minorHAnsi" w:hAnsiTheme="minorHAnsi"/>
          <w:sz w:val="22"/>
          <w:szCs w:val="22"/>
        </w:rPr>
        <w:t xml:space="preserve"> dispute proceeds to be </w:t>
      </w:r>
      <w:r w:rsidR="006E4E94" w:rsidRPr="00FC2391">
        <w:rPr>
          <w:rFonts w:asciiTheme="minorHAnsi" w:hAnsiTheme="minorHAnsi"/>
          <w:sz w:val="22"/>
          <w:szCs w:val="22"/>
          <w:u w:val="single"/>
        </w:rPr>
        <w:t>decided by the national court in accordance with applicable law</w:t>
      </w:r>
      <w:r w:rsidR="00FC2391">
        <w:rPr>
          <w:rFonts w:asciiTheme="minorHAnsi" w:hAnsiTheme="minorHAnsi"/>
          <w:sz w:val="22"/>
          <w:szCs w:val="22"/>
        </w:rPr>
        <w:t xml:space="preserve"> (i.e. status quo)</w:t>
      </w:r>
      <w:r w:rsidR="006E4E94" w:rsidRPr="006E4E94">
        <w:rPr>
          <w:rFonts w:asciiTheme="minorHAnsi" w:hAnsiTheme="minorHAnsi"/>
          <w:sz w:val="22"/>
          <w:szCs w:val="22"/>
        </w:rPr>
        <w:t>.</w:t>
      </w:r>
    </w:p>
    <w:p w14:paraId="1436CDB3" w14:textId="77777777" w:rsidR="00AA124D" w:rsidRDefault="00AA124D" w:rsidP="00DD2A6B">
      <w:pPr>
        <w:rPr>
          <w:rFonts w:asciiTheme="minorHAnsi" w:hAnsiTheme="minorHAnsi"/>
          <w:sz w:val="22"/>
          <w:szCs w:val="22"/>
        </w:rPr>
      </w:pPr>
    </w:p>
    <w:p w14:paraId="7FC0E622" w14:textId="6F4AAB78" w:rsidR="005539A2" w:rsidRDefault="00FC2391" w:rsidP="00DD2A6B">
      <w:pPr>
        <w:rPr>
          <w:rFonts w:asciiTheme="minorHAnsi" w:hAnsiTheme="minorHAnsi"/>
          <w:sz w:val="22"/>
          <w:szCs w:val="22"/>
        </w:rPr>
      </w:pPr>
      <w:r>
        <w:rPr>
          <w:rFonts w:asciiTheme="minorHAnsi" w:hAnsiTheme="minorHAnsi"/>
          <w:sz w:val="22"/>
          <w:szCs w:val="22"/>
          <w:u w:val="single"/>
        </w:rPr>
        <w:t xml:space="preserve">PART II: </w:t>
      </w:r>
      <w:r w:rsidR="003F2803" w:rsidRPr="003F2803">
        <w:rPr>
          <w:rFonts w:asciiTheme="minorHAnsi" w:hAnsiTheme="minorHAnsi"/>
          <w:sz w:val="22"/>
          <w:szCs w:val="22"/>
          <w:u w:val="single"/>
        </w:rPr>
        <w:t>General Principles for Binding Arbitration</w:t>
      </w:r>
      <w:r w:rsidR="003F2803">
        <w:rPr>
          <w:rFonts w:asciiTheme="minorHAnsi" w:hAnsiTheme="minorHAnsi"/>
          <w:sz w:val="22"/>
          <w:szCs w:val="22"/>
        </w:rPr>
        <w:t>:</w:t>
      </w:r>
    </w:p>
    <w:p w14:paraId="0F4B81FB" w14:textId="77777777" w:rsidR="003F2803" w:rsidRDefault="003F2803" w:rsidP="00DD2A6B">
      <w:pPr>
        <w:rPr>
          <w:rFonts w:asciiTheme="minorHAnsi" w:hAnsiTheme="minorHAnsi"/>
          <w:sz w:val="22"/>
          <w:szCs w:val="22"/>
        </w:rPr>
      </w:pPr>
    </w:p>
    <w:p w14:paraId="5B9637C0" w14:textId="5DA70094" w:rsidR="00FC2391" w:rsidRPr="00FC2391" w:rsidRDefault="00FC2391" w:rsidP="00FC2391">
      <w:pPr>
        <w:rPr>
          <w:rFonts w:asciiTheme="minorHAnsi" w:hAnsiTheme="minorHAnsi"/>
          <w:sz w:val="22"/>
          <w:szCs w:val="22"/>
        </w:rPr>
      </w:pPr>
      <w:r w:rsidRPr="00FC2391">
        <w:rPr>
          <w:rFonts w:asciiTheme="minorHAnsi" w:hAnsiTheme="minorHAnsi"/>
          <w:b/>
          <w:bCs/>
          <w:sz w:val="22"/>
          <w:szCs w:val="22"/>
        </w:rPr>
        <w:t>Substantive law </w:t>
      </w:r>
      <w:r w:rsidRPr="00FC2391">
        <w:rPr>
          <w:rFonts w:asciiTheme="minorHAnsi" w:hAnsiTheme="minorHAnsi"/>
          <w:sz w:val="22"/>
          <w:szCs w:val="22"/>
        </w:rPr>
        <w:t>– arbitrator decides dispute under the national law under</w:t>
      </w:r>
      <w:r>
        <w:rPr>
          <w:rFonts w:asciiTheme="minorHAnsi" w:hAnsiTheme="minorHAnsi"/>
          <w:sz w:val="22"/>
          <w:szCs w:val="22"/>
        </w:rPr>
        <w:t xml:space="preserve"> </w:t>
      </w:r>
      <w:r w:rsidRPr="00FC2391">
        <w:rPr>
          <w:rFonts w:asciiTheme="minorHAnsi" w:hAnsiTheme="minorHAnsi"/>
          <w:sz w:val="22"/>
          <w:szCs w:val="22"/>
        </w:rPr>
        <w:t>which the judicial appeal was originally brought, not the UDRP / both parties can mutually agree to proceed under another</w:t>
      </w:r>
      <w:r>
        <w:rPr>
          <w:rFonts w:asciiTheme="minorHAnsi" w:hAnsiTheme="minorHAnsi"/>
          <w:sz w:val="22"/>
          <w:szCs w:val="22"/>
        </w:rPr>
        <w:t xml:space="preserve"> national </w:t>
      </w:r>
      <w:r w:rsidRPr="00FC2391">
        <w:rPr>
          <w:rFonts w:asciiTheme="minorHAnsi" w:hAnsiTheme="minorHAnsi"/>
          <w:sz w:val="22"/>
          <w:szCs w:val="22"/>
        </w:rPr>
        <w:t>law (this is the normal practice in arbitration cases)</w:t>
      </w:r>
      <w:r>
        <w:rPr>
          <w:rFonts w:asciiTheme="minorHAnsi" w:hAnsiTheme="minorHAnsi"/>
          <w:sz w:val="22"/>
          <w:szCs w:val="22"/>
        </w:rPr>
        <w:t>.</w:t>
      </w:r>
      <w:r w:rsidRPr="00FC2391">
        <w:rPr>
          <w:rFonts w:asciiTheme="minorHAnsi" w:hAnsiTheme="minorHAnsi"/>
          <w:sz w:val="22"/>
          <w:szCs w:val="22"/>
        </w:rPr>
        <w:t> </w:t>
      </w:r>
    </w:p>
    <w:p w14:paraId="2BE25565" w14:textId="77777777" w:rsidR="00FC2391" w:rsidRDefault="00FC2391" w:rsidP="00FC2391">
      <w:pPr>
        <w:rPr>
          <w:rFonts w:asciiTheme="minorHAnsi" w:hAnsiTheme="minorHAnsi"/>
          <w:b/>
          <w:bCs/>
          <w:sz w:val="22"/>
          <w:szCs w:val="22"/>
        </w:rPr>
      </w:pPr>
    </w:p>
    <w:p w14:paraId="2CE59F03" w14:textId="2A9628C6" w:rsidR="00FC2391" w:rsidRDefault="00FC2391" w:rsidP="00FC2391">
      <w:pPr>
        <w:rPr>
          <w:rFonts w:asciiTheme="minorHAnsi" w:hAnsiTheme="minorHAnsi"/>
          <w:sz w:val="22"/>
          <w:szCs w:val="22"/>
        </w:rPr>
      </w:pPr>
      <w:r w:rsidRPr="00FC2391">
        <w:rPr>
          <w:rFonts w:asciiTheme="minorHAnsi" w:hAnsiTheme="minorHAnsi"/>
          <w:b/>
          <w:bCs/>
          <w:sz w:val="22"/>
          <w:szCs w:val="22"/>
        </w:rPr>
        <w:t>Procedural rules</w:t>
      </w:r>
      <w:r w:rsidRPr="00FC2391">
        <w:rPr>
          <w:rFonts w:asciiTheme="minorHAnsi" w:hAnsiTheme="minorHAnsi"/>
          <w:sz w:val="22"/>
          <w:szCs w:val="22"/>
        </w:rPr>
        <w:t xml:space="preserve"> – same as in the applicable judicial system / different rules can be mutually agreed to </w:t>
      </w:r>
      <w:r>
        <w:rPr>
          <w:rFonts w:asciiTheme="minorHAnsi" w:hAnsiTheme="minorHAnsi"/>
          <w:sz w:val="22"/>
          <w:szCs w:val="22"/>
        </w:rPr>
        <w:t>by both parties.</w:t>
      </w:r>
    </w:p>
    <w:p w14:paraId="2F365140" w14:textId="77777777" w:rsidR="00FC2391" w:rsidRPr="00FC2391" w:rsidRDefault="00FC2391" w:rsidP="00FC2391">
      <w:pPr>
        <w:rPr>
          <w:rFonts w:asciiTheme="minorHAnsi" w:hAnsiTheme="minorHAnsi"/>
          <w:sz w:val="22"/>
          <w:szCs w:val="22"/>
        </w:rPr>
      </w:pPr>
    </w:p>
    <w:p w14:paraId="001213E7" w14:textId="77777777" w:rsidR="00FC2391" w:rsidRDefault="00FC2391" w:rsidP="00FC2391">
      <w:pPr>
        <w:rPr>
          <w:rFonts w:asciiTheme="minorHAnsi" w:hAnsiTheme="minorHAnsi"/>
          <w:sz w:val="22"/>
          <w:szCs w:val="22"/>
        </w:rPr>
      </w:pPr>
      <w:r w:rsidRPr="00FC2391">
        <w:rPr>
          <w:rFonts w:asciiTheme="minorHAnsi" w:hAnsiTheme="minorHAnsi"/>
          <w:b/>
          <w:bCs/>
          <w:sz w:val="22"/>
          <w:szCs w:val="22"/>
        </w:rPr>
        <w:t>Venue</w:t>
      </w:r>
      <w:r w:rsidRPr="00FC2391">
        <w:rPr>
          <w:rFonts w:asciiTheme="minorHAnsi" w:hAnsiTheme="minorHAnsi"/>
          <w:sz w:val="22"/>
          <w:szCs w:val="22"/>
        </w:rPr>
        <w:t xml:space="preserve"> – to be conducted in an arbitration forum certified to meet certain basic criteria, and cannot be an IGO (e.g., WIPO) or the arbitration forum that decided the underlying UDRP, to assure lack of bias and de novo review. </w:t>
      </w:r>
    </w:p>
    <w:p w14:paraId="51D7CDE7" w14:textId="77777777" w:rsidR="00FC2391" w:rsidRPr="00FC2391" w:rsidRDefault="00FC2391" w:rsidP="00FC2391">
      <w:pPr>
        <w:rPr>
          <w:rFonts w:asciiTheme="minorHAnsi" w:hAnsiTheme="minorHAnsi"/>
          <w:sz w:val="22"/>
          <w:szCs w:val="22"/>
        </w:rPr>
      </w:pPr>
    </w:p>
    <w:p w14:paraId="50924847" w14:textId="6ACE26FF" w:rsidR="00FC2391" w:rsidRDefault="00FC2391" w:rsidP="00FC2391">
      <w:pPr>
        <w:rPr>
          <w:rFonts w:asciiTheme="minorHAnsi" w:hAnsiTheme="minorHAnsi"/>
          <w:sz w:val="22"/>
          <w:szCs w:val="22"/>
        </w:rPr>
      </w:pPr>
      <w:r w:rsidRPr="00FC2391">
        <w:rPr>
          <w:rFonts w:asciiTheme="minorHAnsi" w:hAnsiTheme="minorHAnsi"/>
          <w:b/>
          <w:sz w:val="22"/>
          <w:szCs w:val="22"/>
        </w:rPr>
        <w:t>Panelist(s)</w:t>
      </w:r>
      <w:r w:rsidRPr="00FC2391">
        <w:rPr>
          <w:rFonts w:asciiTheme="minorHAnsi" w:hAnsiTheme="minorHAnsi"/>
          <w:sz w:val="22"/>
          <w:szCs w:val="22"/>
        </w:rPr>
        <w:t xml:space="preserve"> – Default option is a three-member panel, the chair of which must be a retired judge from that jurisdiction; explore possibility of creating a standing panel from which to choose the two panelists other than the chair (i.e. parties cannot choose the chair of the panel</w:t>
      </w:r>
      <w:r>
        <w:rPr>
          <w:rFonts w:asciiTheme="minorHAnsi" w:hAnsiTheme="minorHAnsi"/>
          <w:sz w:val="22"/>
          <w:szCs w:val="22"/>
        </w:rPr>
        <w:t>.</w:t>
      </w:r>
      <w:r w:rsidRPr="00FC2391">
        <w:rPr>
          <w:rFonts w:asciiTheme="minorHAnsi" w:hAnsiTheme="minorHAnsi"/>
          <w:sz w:val="22"/>
          <w:szCs w:val="22"/>
        </w:rPr>
        <w:t>)</w:t>
      </w:r>
    </w:p>
    <w:p w14:paraId="5F0305F6" w14:textId="77777777" w:rsidR="00FC2391" w:rsidRPr="00FC2391" w:rsidRDefault="00FC2391" w:rsidP="00FC2391">
      <w:pPr>
        <w:rPr>
          <w:rFonts w:asciiTheme="minorHAnsi" w:hAnsiTheme="minorHAnsi"/>
          <w:sz w:val="22"/>
          <w:szCs w:val="22"/>
        </w:rPr>
      </w:pPr>
    </w:p>
    <w:p w14:paraId="16EBB0F3" w14:textId="50CF9E75" w:rsidR="00FC2391" w:rsidRDefault="00FC2391" w:rsidP="00FC2391">
      <w:pPr>
        <w:rPr>
          <w:rFonts w:asciiTheme="minorHAnsi" w:hAnsiTheme="minorHAnsi"/>
          <w:sz w:val="22"/>
          <w:szCs w:val="22"/>
        </w:rPr>
      </w:pPr>
      <w:r w:rsidRPr="00FC2391">
        <w:rPr>
          <w:rFonts w:asciiTheme="minorHAnsi" w:hAnsiTheme="minorHAnsi"/>
          <w:b/>
          <w:bCs/>
          <w:sz w:val="22"/>
          <w:szCs w:val="22"/>
        </w:rPr>
        <w:t>Language</w:t>
      </w:r>
      <w:r w:rsidRPr="00FC2391">
        <w:rPr>
          <w:rFonts w:asciiTheme="minorHAnsi" w:hAnsiTheme="minorHAnsi"/>
          <w:sz w:val="22"/>
          <w:szCs w:val="22"/>
        </w:rPr>
        <w:t> – same language to be used as in national judicial forum (alternate language can be selected by m</w:t>
      </w:r>
      <w:r>
        <w:rPr>
          <w:rFonts w:asciiTheme="minorHAnsi" w:hAnsiTheme="minorHAnsi"/>
          <w:sz w:val="22"/>
          <w:szCs w:val="22"/>
        </w:rPr>
        <w:t>utual agreement of the parties).</w:t>
      </w:r>
    </w:p>
    <w:p w14:paraId="7E1A44D5" w14:textId="77777777" w:rsidR="00FC2391" w:rsidRPr="00FC2391" w:rsidRDefault="00FC2391" w:rsidP="00FC2391">
      <w:pPr>
        <w:rPr>
          <w:rFonts w:asciiTheme="minorHAnsi" w:hAnsiTheme="minorHAnsi"/>
          <w:sz w:val="22"/>
          <w:szCs w:val="22"/>
        </w:rPr>
      </w:pPr>
    </w:p>
    <w:p w14:paraId="1829FDAC" w14:textId="77777777" w:rsidR="00FC2391" w:rsidRDefault="00FC2391" w:rsidP="00FC2391">
      <w:pPr>
        <w:rPr>
          <w:rFonts w:asciiTheme="minorHAnsi" w:hAnsiTheme="minorHAnsi"/>
          <w:sz w:val="22"/>
          <w:szCs w:val="22"/>
        </w:rPr>
      </w:pPr>
      <w:r w:rsidRPr="00FC2391">
        <w:rPr>
          <w:rFonts w:asciiTheme="minorHAnsi" w:hAnsiTheme="minorHAnsi"/>
          <w:b/>
          <w:bCs/>
          <w:sz w:val="22"/>
          <w:szCs w:val="22"/>
        </w:rPr>
        <w:t>Discovery</w:t>
      </w:r>
      <w:r w:rsidRPr="00FC2391">
        <w:rPr>
          <w:rFonts w:asciiTheme="minorHAnsi" w:hAnsiTheme="minorHAnsi"/>
          <w:sz w:val="22"/>
          <w:szCs w:val="22"/>
        </w:rPr>
        <w:t> – same as in judicial case</w:t>
      </w:r>
      <w:r>
        <w:rPr>
          <w:rFonts w:asciiTheme="minorHAnsi" w:hAnsiTheme="minorHAnsi"/>
          <w:sz w:val="22"/>
          <w:szCs w:val="22"/>
        </w:rPr>
        <w:t>.</w:t>
      </w:r>
    </w:p>
    <w:p w14:paraId="6AF023A1" w14:textId="1DF574CC" w:rsidR="00FC2391" w:rsidRPr="00FC2391" w:rsidRDefault="00FC2391" w:rsidP="00FC2391">
      <w:pPr>
        <w:rPr>
          <w:rFonts w:asciiTheme="minorHAnsi" w:hAnsiTheme="minorHAnsi"/>
          <w:sz w:val="22"/>
          <w:szCs w:val="22"/>
        </w:rPr>
      </w:pPr>
      <w:r w:rsidRPr="00FC2391">
        <w:rPr>
          <w:rFonts w:asciiTheme="minorHAnsi" w:hAnsiTheme="minorHAnsi"/>
          <w:sz w:val="22"/>
          <w:szCs w:val="22"/>
        </w:rPr>
        <w:t xml:space="preserve"> </w:t>
      </w:r>
    </w:p>
    <w:p w14:paraId="6C8E6A42" w14:textId="77777777" w:rsidR="00FC2391" w:rsidRDefault="00FC2391" w:rsidP="00FC2391">
      <w:pPr>
        <w:rPr>
          <w:rFonts w:asciiTheme="minorHAnsi" w:hAnsiTheme="minorHAnsi"/>
          <w:sz w:val="22"/>
          <w:szCs w:val="22"/>
        </w:rPr>
      </w:pPr>
      <w:r w:rsidRPr="00FC2391">
        <w:rPr>
          <w:rFonts w:asciiTheme="minorHAnsi" w:hAnsiTheme="minorHAnsi"/>
          <w:b/>
          <w:bCs/>
          <w:sz w:val="22"/>
          <w:szCs w:val="22"/>
        </w:rPr>
        <w:t>Interim remedies</w:t>
      </w:r>
      <w:r w:rsidRPr="00FC2391">
        <w:rPr>
          <w:rFonts w:asciiTheme="minorHAnsi" w:hAnsiTheme="minorHAnsi"/>
          <w:sz w:val="22"/>
          <w:szCs w:val="22"/>
        </w:rPr>
        <w:t> </w:t>
      </w:r>
      <w:r w:rsidRPr="00FC2391">
        <w:rPr>
          <w:rFonts w:asciiTheme="minorHAnsi" w:hAnsiTheme="minorHAnsi"/>
          <w:b/>
          <w:bCs/>
          <w:sz w:val="22"/>
          <w:szCs w:val="22"/>
        </w:rPr>
        <w:t>(e.g., domain locking)?</w:t>
      </w:r>
      <w:r w:rsidRPr="00FC2391">
        <w:rPr>
          <w:rFonts w:asciiTheme="minorHAnsi" w:hAnsiTheme="minorHAnsi"/>
          <w:sz w:val="22"/>
          <w:szCs w:val="22"/>
        </w:rPr>
        <w:t> – same as if court case had continued</w:t>
      </w:r>
      <w:r>
        <w:rPr>
          <w:rFonts w:asciiTheme="minorHAnsi" w:hAnsiTheme="minorHAnsi"/>
          <w:sz w:val="22"/>
          <w:szCs w:val="22"/>
        </w:rPr>
        <w:t>.</w:t>
      </w:r>
    </w:p>
    <w:p w14:paraId="1993D106" w14:textId="2E8F5000" w:rsidR="00FC2391" w:rsidRPr="00FC2391" w:rsidRDefault="00FC2391" w:rsidP="00FC2391">
      <w:pPr>
        <w:rPr>
          <w:rFonts w:asciiTheme="minorHAnsi" w:hAnsiTheme="minorHAnsi"/>
          <w:sz w:val="22"/>
          <w:szCs w:val="22"/>
        </w:rPr>
      </w:pPr>
      <w:r w:rsidRPr="00FC2391">
        <w:rPr>
          <w:rFonts w:asciiTheme="minorHAnsi" w:hAnsiTheme="minorHAnsi"/>
          <w:sz w:val="22"/>
          <w:szCs w:val="22"/>
        </w:rPr>
        <w:t xml:space="preserve"> </w:t>
      </w:r>
    </w:p>
    <w:p w14:paraId="63C62D39" w14:textId="77777777" w:rsidR="00FC2391" w:rsidRDefault="00FC2391" w:rsidP="00FC2391">
      <w:pPr>
        <w:rPr>
          <w:rFonts w:asciiTheme="minorHAnsi" w:hAnsiTheme="minorHAnsi"/>
          <w:sz w:val="22"/>
          <w:szCs w:val="22"/>
        </w:rPr>
      </w:pPr>
      <w:r w:rsidRPr="00FC2391">
        <w:rPr>
          <w:rFonts w:asciiTheme="minorHAnsi" w:hAnsiTheme="minorHAnsi"/>
          <w:b/>
          <w:bCs/>
          <w:sz w:val="22"/>
          <w:szCs w:val="22"/>
        </w:rPr>
        <w:t>Remedies</w:t>
      </w:r>
      <w:r w:rsidRPr="00FC2391">
        <w:rPr>
          <w:rFonts w:asciiTheme="minorHAnsi" w:hAnsiTheme="minorHAnsi"/>
          <w:sz w:val="22"/>
          <w:szCs w:val="22"/>
        </w:rPr>
        <w:t> – same as in judicial case</w:t>
      </w:r>
      <w:r>
        <w:rPr>
          <w:rFonts w:asciiTheme="minorHAnsi" w:hAnsiTheme="minorHAnsi"/>
          <w:sz w:val="22"/>
          <w:szCs w:val="22"/>
        </w:rPr>
        <w:t>.</w:t>
      </w:r>
    </w:p>
    <w:p w14:paraId="56C69EA2" w14:textId="44C1D85F" w:rsidR="00FC2391" w:rsidRPr="00FC2391" w:rsidRDefault="00FC2391" w:rsidP="00FC2391">
      <w:pPr>
        <w:rPr>
          <w:rFonts w:asciiTheme="minorHAnsi" w:hAnsiTheme="minorHAnsi"/>
          <w:sz w:val="22"/>
          <w:szCs w:val="22"/>
        </w:rPr>
      </w:pPr>
      <w:r w:rsidRPr="00FC2391">
        <w:rPr>
          <w:rFonts w:asciiTheme="minorHAnsi" w:hAnsiTheme="minorHAnsi"/>
          <w:sz w:val="22"/>
          <w:szCs w:val="22"/>
        </w:rPr>
        <w:t xml:space="preserve"> </w:t>
      </w:r>
    </w:p>
    <w:p w14:paraId="5B96873B" w14:textId="77777777" w:rsidR="00FC2391" w:rsidRDefault="00FC2391" w:rsidP="00FC2391">
      <w:pPr>
        <w:rPr>
          <w:rFonts w:asciiTheme="minorHAnsi" w:hAnsiTheme="minorHAnsi"/>
          <w:sz w:val="22"/>
          <w:szCs w:val="22"/>
        </w:rPr>
      </w:pPr>
      <w:r w:rsidRPr="00FC2391">
        <w:rPr>
          <w:rFonts w:asciiTheme="minorHAnsi" w:hAnsiTheme="minorHAnsi"/>
          <w:b/>
          <w:bCs/>
          <w:sz w:val="22"/>
          <w:szCs w:val="22"/>
        </w:rPr>
        <w:t>Costs </w:t>
      </w:r>
      <w:r w:rsidRPr="00FC2391">
        <w:rPr>
          <w:rFonts w:asciiTheme="minorHAnsi" w:hAnsiTheme="minorHAnsi"/>
          <w:sz w:val="22"/>
          <w:szCs w:val="22"/>
        </w:rPr>
        <w:t>– seek to be the same as or lower than in a judicial case</w:t>
      </w:r>
      <w:r>
        <w:rPr>
          <w:rFonts w:asciiTheme="minorHAnsi" w:hAnsiTheme="minorHAnsi"/>
          <w:sz w:val="22"/>
          <w:szCs w:val="22"/>
        </w:rPr>
        <w:t>.</w:t>
      </w:r>
    </w:p>
    <w:p w14:paraId="1CC08352" w14:textId="38CED0A7" w:rsidR="00FC2391" w:rsidRPr="00FC2391" w:rsidRDefault="00FC2391" w:rsidP="00FC2391">
      <w:pPr>
        <w:rPr>
          <w:rFonts w:asciiTheme="minorHAnsi" w:hAnsiTheme="minorHAnsi"/>
          <w:sz w:val="22"/>
          <w:szCs w:val="22"/>
        </w:rPr>
      </w:pPr>
      <w:r w:rsidRPr="00FC2391">
        <w:rPr>
          <w:rFonts w:asciiTheme="minorHAnsi" w:hAnsiTheme="minorHAnsi"/>
          <w:sz w:val="22"/>
          <w:szCs w:val="22"/>
        </w:rPr>
        <w:t xml:space="preserve"> </w:t>
      </w:r>
    </w:p>
    <w:p w14:paraId="207AABCB" w14:textId="712777EC" w:rsidR="00FC2391" w:rsidRDefault="00FC2391" w:rsidP="00FC2391">
      <w:pPr>
        <w:rPr>
          <w:rFonts w:asciiTheme="minorHAnsi" w:hAnsiTheme="minorHAnsi"/>
          <w:sz w:val="22"/>
          <w:szCs w:val="22"/>
        </w:rPr>
      </w:pPr>
      <w:r w:rsidRPr="00FC2391">
        <w:rPr>
          <w:rFonts w:asciiTheme="minorHAnsi" w:hAnsiTheme="minorHAnsi"/>
          <w:b/>
          <w:bCs/>
          <w:sz w:val="22"/>
          <w:szCs w:val="22"/>
        </w:rPr>
        <w:t>Enforcement of award </w:t>
      </w:r>
      <w:r w:rsidRPr="00FC2391">
        <w:rPr>
          <w:rFonts w:asciiTheme="minorHAnsi" w:hAnsiTheme="minorHAnsi"/>
          <w:sz w:val="22"/>
          <w:szCs w:val="22"/>
        </w:rPr>
        <w:t>– decision to uphold UDRP determination would result in domain transfer or extinguishment; enforcement of any available monetary award against IGO needs to be considered, but at a minimum failure to pay could bar it from any future ability to file a UDRP or URS</w:t>
      </w:r>
      <w:r>
        <w:rPr>
          <w:rFonts w:asciiTheme="minorHAnsi" w:hAnsiTheme="minorHAnsi"/>
          <w:sz w:val="22"/>
          <w:szCs w:val="22"/>
        </w:rPr>
        <w:t>.</w:t>
      </w:r>
    </w:p>
    <w:p w14:paraId="12309019" w14:textId="77777777" w:rsidR="00FC2391" w:rsidRPr="00FC2391" w:rsidRDefault="00FC2391" w:rsidP="00FC2391">
      <w:pPr>
        <w:rPr>
          <w:rFonts w:asciiTheme="minorHAnsi" w:hAnsiTheme="minorHAnsi"/>
          <w:sz w:val="22"/>
          <w:szCs w:val="22"/>
        </w:rPr>
      </w:pPr>
    </w:p>
    <w:p w14:paraId="1D1D5DC5" w14:textId="5F852A40" w:rsidR="00FC2391" w:rsidRPr="00FC2391" w:rsidRDefault="00FC2391" w:rsidP="00FC2391">
      <w:pPr>
        <w:rPr>
          <w:rFonts w:asciiTheme="minorHAnsi" w:hAnsiTheme="minorHAnsi"/>
          <w:sz w:val="22"/>
          <w:szCs w:val="22"/>
        </w:rPr>
      </w:pPr>
      <w:r w:rsidRPr="00FC2391">
        <w:rPr>
          <w:rFonts w:asciiTheme="minorHAnsi" w:hAnsiTheme="minorHAnsi"/>
          <w:b/>
          <w:bCs/>
          <w:sz w:val="22"/>
          <w:szCs w:val="22"/>
        </w:rPr>
        <w:t>Precedential value of decision –</w:t>
      </w:r>
      <w:r w:rsidRPr="00FC2391">
        <w:rPr>
          <w:rFonts w:asciiTheme="minorHAnsi" w:hAnsiTheme="minorHAnsi"/>
          <w:sz w:val="22"/>
          <w:szCs w:val="22"/>
        </w:rPr>
        <w:t> While there’s no way to fully replicate the precedent of a court decision, policy could state a distinct recommendation that any case shifted to arbitration should consider and seek to follow judicial precedent on similar cases brought under the same law, and also be consistent with prior arbitrations under that law</w:t>
      </w:r>
      <w:r>
        <w:rPr>
          <w:rFonts w:asciiTheme="minorHAnsi" w:hAnsiTheme="minorHAnsi"/>
          <w:sz w:val="22"/>
          <w:szCs w:val="22"/>
        </w:rPr>
        <w:t xml:space="preserve"> (if any).</w:t>
      </w:r>
    </w:p>
    <w:p w14:paraId="5B07FA52" w14:textId="77777777" w:rsidR="00DD2A6B" w:rsidRDefault="00DD2A6B" w:rsidP="00DD2A6B">
      <w:pPr>
        <w:rPr>
          <w:rFonts w:asciiTheme="minorHAnsi" w:hAnsiTheme="minorHAnsi"/>
          <w:sz w:val="22"/>
          <w:szCs w:val="22"/>
        </w:rPr>
      </w:pPr>
    </w:p>
    <w:p w14:paraId="5C1AF301" w14:textId="1EA11242" w:rsidR="00DD2A6B" w:rsidRPr="00DD2A6B" w:rsidRDefault="00FC2391" w:rsidP="00DD2A6B">
      <w:pPr>
        <w:rPr>
          <w:rFonts w:asciiTheme="minorHAnsi" w:hAnsiTheme="minorHAnsi"/>
          <w:sz w:val="22"/>
          <w:szCs w:val="22"/>
        </w:rPr>
      </w:pPr>
      <w:r>
        <w:rPr>
          <w:rFonts w:asciiTheme="minorHAnsi" w:hAnsiTheme="minorHAnsi"/>
          <w:sz w:val="22"/>
          <w:szCs w:val="22"/>
          <w:u w:val="single"/>
        </w:rPr>
        <w:t xml:space="preserve">PART III: </w:t>
      </w:r>
      <w:r w:rsidR="00DD2A6B" w:rsidRPr="00DD2A6B">
        <w:rPr>
          <w:rFonts w:asciiTheme="minorHAnsi" w:hAnsiTheme="minorHAnsi"/>
          <w:sz w:val="22"/>
          <w:szCs w:val="22"/>
          <w:u w:val="single"/>
        </w:rPr>
        <w:t>Original Text of Working Group Preliminary Recommendation #4 (as it appeared in the Initial Report, January 2017)</w:t>
      </w:r>
      <w:r w:rsidR="00DD2A6B" w:rsidRPr="00DD2A6B">
        <w:rPr>
          <w:rFonts w:asciiTheme="minorHAnsi" w:hAnsiTheme="minorHAnsi"/>
          <w:sz w:val="22"/>
          <w:szCs w:val="22"/>
          <w:u w:val="single"/>
          <w:vertAlign w:val="superscript"/>
        </w:rPr>
        <w:footnoteReference w:id="2"/>
      </w:r>
      <w:r w:rsidR="00DD2A6B" w:rsidRPr="00DD2A6B">
        <w:rPr>
          <w:rFonts w:asciiTheme="minorHAnsi" w:hAnsiTheme="minorHAnsi"/>
          <w:sz w:val="22"/>
          <w:szCs w:val="22"/>
        </w:rPr>
        <w:t>:</w:t>
      </w:r>
    </w:p>
    <w:p w14:paraId="10E957B1" w14:textId="77777777" w:rsidR="00DD2A6B" w:rsidRPr="00DD2A6B" w:rsidRDefault="00DD2A6B" w:rsidP="00DD2A6B">
      <w:pPr>
        <w:rPr>
          <w:rFonts w:asciiTheme="minorHAnsi" w:hAnsiTheme="minorHAnsi"/>
          <w:sz w:val="22"/>
          <w:szCs w:val="22"/>
        </w:rPr>
      </w:pPr>
    </w:p>
    <w:p w14:paraId="3EDDD8A6" w14:textId="1059735B" w:rsidR="00DD2A6B" w:rsidRPr="00DD2A6B" w:rsidRDefault="00DD2A6B" w:rsidP="00DD2A6B">
      <w:pPr>
        <w:rPr>
          <w:rFonts w:asciiTheme="minorHAnsi" w:hAnsiTheme="minorHAnsi"/>
          <w:i/>
          <w:sz w:val="22"/>
          <w:szCs w:val="22"/>
        </w:rPr>
      </w:pPr>
      <w:r w:rsidRPr="00DD2A6B">
        <w:rPr>
          <w:rFonts w:asciiTheme="minorHAnsi" w:hAnsiTheme="minorHAnsi"/>
          <w:i/>
          <w:sz w:val="22"/>
          <w:szCs w:val="22"/>
        </w:rPr>
        <w:t xml:space="preserve">“In relation to the issue of jurisdictional immunity, which IGOs (but not INGOs) may claim successfully in certain circumstances, the WG recommends that: </w:t>
      </w:r>
    </w:p>
    <w:p w14:paraId="5FCD2C39" w14:textId="77777777" w:rsidR="00DD2A6B" w:rsidRPr="00DD2A6B" w:rsidRDefault="00DD2A6B" w:rsidP="0050093E">
      <w:pPr>
        <w:ind w:left="720"/>
        <w:rPr>
          <w:rFonts w:asciiTheme="minorHAnsi" w:hAnsiTheme="minorHAnsi"/>
          <w:i/>
          <w:sz w:val="22"/>
          <w:szCs w:val="22"/>
        </w:rPr>
      </w:pPr>
      <w:r w:rsidRPr="00DD2A6B">
        <w:rPr>
          <w:rFonts w:asciiTheme="minorHAnsi" w:hAnsiTheme="minorHAnsi"/>
          <w:i/>
          <w:sz w:val="22"/>
          <w:szCs w:val="22"/>
        </w:rPr>
        <w:t xml:space="preserve">(a) no change be made to the Mutual Jurisdiction clause of the UDRP and URS; </w:t>
      </w:r>
    </w:p>
    <w:p w14:paraId="5D267154" w14:textId="77777777" w:rsidR="00DD2A6B" w:rsidRPr="00DD2A6B" w:rsidRDefault="00DD2A6B" w:rsidP="0050093E">
      <w:pPr>
        <w:ind w:left="720"/>
        <w:rPr>
          <w:rFonts w:asciiTheme="minorHAnsi" w:hAnsiTheme="minorHAnsi"/>
          <w:i/>
          <w:sz w:val="22"/>
          <w:szCs w:val="22"/>
        </w:rPr>
      </w:pPr>
      <w:r w:rsidRPr="00DD2A6B">
        <w:rPr>
          <w:rFonts w:asciiTheme="minorHAnsi" w:hAnsiTheme="minorHAnsi"/>
          <w:i/>
          <w:sz w:val="22"/>
          <w:szCs w:val="22"/>
        </w:rPr>
        <w:t xml:space="preserve">(b)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w:t>
      </w:r>
    </w:p>
    <w:p w14:paraId="26D68F90" w14:textId="77777777" w:rsidR="00DD2A6B" w:rsidRPr="00DD2A6B" w:rsidRDefault="00DD2A6B" w:rsidP="0050093E">
      <w:pPr>
        <w:ind w:left="720"/>
        <w:rPr>
          <w:rFonts w:asciiTheme="minorHAnsi" w:hAnsiTheme="minorHAnsi"/>
          <w:i/>
          <w:sz w:val="22"/>
          <w:szCs w:val="22"/>
        </w:rPr>
      </w:pPr>
      <w:r w:rsidRPr="00DD2A6B">
        <w:rPr>
          <w:rFonts w:asciiTheme="minorHAnsi" w:hAnsiTheme="minorHAnsi"/>
          <w:i/>
          <w:sz w:val="22"/>
          <w:szCs w:val="22"/>
        </w:rPr>
        <w:t xml:space="preserve">(c) claims of jurisdictional immunity made by an IGO in respect of a particular jurisdiction will be determined by the applicable laws of that jurisdiction. </w:t>
      </w:r>
    </w:p>
    <w:p w14:paraId="104E5E4F" w14:textId="77777777" w:rsidR="00DD2A6B" w:rsidRPr="00DD2A6B" w:rsidRDefault="00DD2A6B" w:rsidP="00DD2A6B">
      <w:pPr>
        <w:rPr>
          <w:rFonts w:asciiTheme="minorHAnsi" w:hAnsiTheme="minorHAnsi"/>
          <w:i/>
          <w:sz w:val="22"/>
          <w:szCs w:val="22"/>
        </w:rPr>
      </w:pPr>
    </w:p>
    <w:p w14:paraId="2984ABC2" w14:textId="77777777" w:rsidR="00DD2A6B" w:rsidRPr="00DD2A6B" w:rsidRDefault="00DD2A6B" w:rsidP="00DD2A6B">
      <w:pPr>
        <w:rPr>
          <w:rFonts w:asciiTheme="minorHAnsi" w:hAnsiTheme="minorHAnsi"/>
          <w:i/>
          <w:sz w:val="22"/>
          <w:szCs w:val="22"/>
        </w:rPr>
      </w:pPr>
      <w:r w:rsidRPr="00DD2A6B">
        <w:rPr>
          <w:rFonts w:asciiTheme="minorHAnsi" w:hAnsiTheme="minorHAnsi"/>
          <w:i/>
          <w:sz w:val="22"/>
          <w:szCs w:val="22"/>
        </w:rPr>
        <w:t>Where an IGO succeeds in asserting its claim of jurisdictional immunity in a court of mutual jurisdiction</w:t>
      </w:r>
      <w:r w:rsidRPr="00DD2A6B">
        <w:rPr>
          <w:rFonts w:asciiTheme="minorHAnsi" w:hAnsiTheme="minorHAnsi"/>
          <w:i/>
          <w:sz w:val="22"/>
          <w:szCs w:val="22"/>
          <w:vertAlign w:val="superscript"/>
        </w:rPr>
        <w:footnoteReference w:id="3"/>
      </w:r>
      <w:r w:rsidRPr="00DD2A6B">
        <w:rPr>
          <w:rFonts w:asciiTheme="minorHAnsi" w:hAnsiTheme="minorHAnsi"/>
          <w:i/>
          <w:sz w:val="22"/>
          <w:szCs w:val="22"/>
        </w:rPr>
        <w:t xml:space="preserve">, the Working Group recommends that in that case: </w:t>
      </w:r>
    </w:p>
    <w:p w14:paraId="61BDE7A6" w14:textId="77777777" w:rsidR="00DD2A6B" w:rsidRPr="00DD2A6B" w:rsidRDefault="00DD2A6B" w:rsidP="00DD2A6B">
      <w:pPr>
        <w:rPr>
          <w:rFonts w:asciiTheme="minorHAnsi" w:hAnsiTheme="minorHAnsi"/>
          <w:i/>
          <w:sz w:val="22"/>
          <w:szCs w:val="22"/>
        </w:rPr>
      </w:pPr>
    </w:p>
    <w:p w14:paraId="4D6CB1A8" w14:textId="77777777" w:rsidR="00DD2A6B" w:rsidRPr="00DD2A6B" w:rsidRDefault="00DD2A6B" w:rsidP="00DD2A6B">
      <w:pPr>
        <w:rPr>
          <w:rFonts w:asciiTheme="minorHAnsi" w:hAnsiTheme="minorHAnsi"/>
          <w:i/>
          <w:sz w:val="22"/>
          <w:szCs w:val="22"/>
        </w:rPr>
      </w:pPr>
      <w:r w:rsidRPr="00DD2A6B">
        <w:rPr>
          <w:rFonts w:asciiTheme="minorHAnsi" w:hAnsiTheme="minorHAnsi"/>
          <w:i/>
          <w:sz w:val="22"/>
          <w:szCs w:val="22"/>
          <w:u w:val="single"/>
        </w:rPr>
        <w:t>Option 1</w:t>
      </w:r>
      <w:r w:rsidRPr="00DD2A6B">
        <w:rPr>
          <w:rFonts w:asciiTheme="minorHAnsi" w:hAnsiTheme="minorHAnsi"/>
          <w:i/>
          <w:sz w:val="22"/>
          <w:szCs w:val="22"/>
        </w:rPr>
        <w:t xml:space="preserve"> - the decision rendered against the registrant in the predecessor UDRP or URS shall be vitiated; or</w:t>
      </w:r>
    </w:p>
    <w:p w14:paraId="5DE85884" w14:textId="77777777" w:rsidR="00DD2A6B" w:rsidRPr="00DD2A6B" w:rsidRDefault="00DD2A6B" w:rsidP="00DD2A6B">
      <w:pPr>
        <w:rPr>
          <w:rFonts w:asciiTheme="minorHAnsi" w:hAnsiTheme="minorHAnsi"/>
          <w:i/>
          <w:sz w:val="22"/>
          <w:szCs w:val="22"/>
        </w:rPr>
      </w:pPr>
    </w:p>
    <w:p w14:paraId="35989BAB" w14:textId="77777777" w:rsidR="00DD2A6B" w:rsidRPr="00DD2A6B" w:rsidRDefault="00DD2A6B" w:rsidP="00DD2A6B">
      <w:pPr>
        <w:rPr>
          <w:rFonts w:asciiTheme="minorHAnsi" w:hAnsiTheme="minorHAnsi"/>
          <w:i/>
          <w:sz w:val="22"/>
          <w:szCs w:val="22"/>
        </w:rPr>
      </w:pPr>
      <w:r w:rsidRPr="00DD2A6B">
        <w:rPr>
          <w:rFonts w:asciiTheme="minorHAnsi" w:hAnsiTheme="minorHAnsi"/>
          <w:i/>
          <w:sz w:val="22"/>
          <w:szCs w:val="22"/>
          <w:u w:val="single"/>
        </w:rPr>
        <w:t>Option 2</w:t>
      </w:r>
      <w:r w:rsidRPr="00DD2A6B">
        <w:rPr>
          <w:rFonts w:asciiTheme="minorHAnsi" w:hAnsiTheme="minorHAnsi"/>
          <w:i/>
          <w:sz w:val="22"/>
          <w:szCs w:val="22"/>
        </w:rPr>
        <w:t xml:space="preserve"> – the decision rendered against the registrant in the predecessor UDRP or URS may be brought before the [name of arbitration entity] for de novo review and determination.</w:t>
      </w:r>
    </w:p>
    <w:p w14:paraId="3A98AF2F" w14:textId="77777777" w:rsidR="00DD2A6B" w:rsidRPr="00DD2A6B" w:rsidRDefault="00DD2A6B" w:rsidP="00DD2A6B">
      <w:pPr>
        <w:rPr>
          <w:rFonts w:asciiTheme="minorHAnsi" w:hAnsiTheme="minorHAnsi"/>
          <w:i/>
          <w:sz w:val="22"/>
          <w:szCs w:val="22"/>
        </w:rPr>
      </w:pPr>
    </w:p>
    <w:p w14:paraId="0E858388" w14:textId="77777777" w:rsidR="00DD2A6B" w:rsidRPr="00DD2A6B" w:rsidRDefault="00DD2A6B" w:rsidP="00DD2A6B">
      <w:pPr>
        <w:rPr>
          <w:rFonts w:asciiTheme="minorHAnsi" w:hAnsiTheme="minorHAnsi"/>
          <w:sz w:val="22"/>
          <w:szCs w:val="22"/>
          <w:u w:val="single"/>
        </w:rPr>
      </w:pPr>
      <w:r w:rsidRPr="00DD2A6B">
        <w:rPr>
          <w:rFonts w:asciiTheme="minorHAnsi" w:hAnsiTheme="minorHAnsi"/>
          <w:i/>
          <w:sz w:val="22"/>
          <w:szCs w:val="22"/>
        </w:rPr>
        <w:t>The WG recommends, further, that the Policy Guidance document referred to in Recommendation #2 (above) be brought to the notice of the Governmental Advisory Committee (GAC) for its and its members’ and observers’ information.”</w:t>
      </w:r>
    </w:p>
    <w:p w14:paraId="145F92A8" w14:textId="77777777" w:rsidR="00DD2A6B" w:rsidRDefault="00DD2A6B" w:rsidP="00DD2A6B">
      <w:pPr>
        <w:rPr>
          <w:rFonts w:asciiTheme="minorHAnsi" w:hAnsiTheme="minorHAnsi"/>
          <w:sz w:val="22"/>
          <w:szCs w:val="22"/>
          <w:u w:val="single"/>
        </w:rPr>
      </w:pPr>
    </w:p>
    <w:p w14:paraId="450BBA1A" w14:textId="2446249A" w:rsidR="0050093E" w:rsidRDefault="00FC2391" w:rsidP="00DD2A6B">
      <w:pPr>
        <w:rPr>
          <w:rFonts w:asciiTheme="minorHAnsi" w:hAnsiTheme="minorHAnsi"/>
          <w:sz w:val="22"/>
          <w:szCs w:val="22"/>
        </w:rPr>
      </w:pPr>
      <w:r>
        <w:rPr>
          <w:rFonts w:asciiTheme="minorHAnsi" w:hAnsiTheme="minorHAnsi"/>
          <w:sz w:val="22"/>
          <w:szCs w:val="22"/>
          <w:u w:val="single"/>
        </w:rPr>
        <w:t xml:space="preserve">PART IV: </w:t>
      </w:r>
      <w:r w:rsidR="0050093E">
        <w:rPr>
          <w:rFonts w:asciiTheme="minorHAnsi" w:hAnsiTheme="minorHAnsi"/>
          <w:sz w:val="22"/>
          <w:szCs w:val="22"/>
          <w:u w:val="single"/>
        </w:rPr>
        <w:t>Options suggested by Working Group members for discussion:</w:t>
      </w:r>
    </w:p>
    <w:p w14:paraId="3189F29A" w14:textId="77777777" w:rsidR="00DD2A6B" w:rsidRDefault="00DD2A6B" w:rsidP="00DD2A6B">
      <w:pPr>
        <w:rPr>
          <w:rFonts w:asciiTheme="minorHAnsi" w:hAnsiTheme="minorHAnsi"/>
          <w:sz w:val="22"/>
          <w:szCs w:val="22"/>
        </w:rPr>
      </w:pPr>
    </w:p>
    <w:p w14:paraId="526C360A" w14:textId="0352EC50" w:rsidR="00DD2A6B" w:rsidRDefault="00DD2A6B" w:rsidP="006627EA">
      <w:pPr>
        <w:rPr>
          <w:rFonts w:asciiTheme="minorHAnsi" w:hAnsiTheme="minorHAnsi"/>
          <w:sz w:val="22"/>
          <w:szCs w:val="22"/>
        </w:rPr>
      </w:pPr>
      <w:r w:rsidRPr="00DD2A6B">
        <w:rPr>
          <w:rFonts w:asciiTheme="minorHAnsi" w:hAnsiTheme="minorHAnsi"/>
          <w:b/>
          <w:sz w:val="22"/>
          <w:szCs w:val="22"/>
        </w:rPr>
        <w:t>OPTION 1: “</w:t>
      </w:r>
      <w:r w:rsidRPr="00DD2A6B">
        <w:rPr>
          <w:rFonts w:asciiTheme="minorHAnsi" w:hAnsiTheme="minorHAnsi"/>
          <w:sz w:val="22"/>
          <w:szCs w:val="22"/>
        </w:rPr>
        <w:t>The decision rendered against the registrant in the predecessor UDRP or URS shall be vitiated.”</w:t>
      </w:r>
      <w:r w:rsidR="006627EA">
        <w:rPr>
          <w:rFonts w:asciiTheme="minorHAnsi" w:hAnsiTheme="minorHAnsi"/>
          <w:sz w:val="22"/>
          <w:szCs w:val="22"/>
        </w:rPr>
        <w:t xml:space="preserve"> </w:t>
      </w:r>
    </w:p>
    <w:p w14:paraId="5142316D" w14:textId="77777777" w:rsidR="006627EA" w:rsidRDefault="006627EA" w:rsidP="00DD2A6B">
      <w:pPr>
        <w:rPr>
          <w:rFonts w:asciiTheme="minorHAnsi" w:hAnsiTheme="minorHAnsi"/>
          <w:sz w:val="22"/>
          <w:szCs w:val="22"/>
        </w:rPr>
      </w:pPr>
    </w:p>
    <w:p w14:paraId="1C61ECAF" w14:textId="77777777" w:rsidR="00DD2A6B" w:rsidRPr="00DD2A6B" w:rsidRDefault="00DD2A6B" w:rsidP="00DD2A6B">
      <w:pPr>
        <w:rPr>
          <w:rFonts w:asciiTheme="minorHAnsi" w:hAnsiTheme="minorHAnsi"/>
          <w:sz w:val="22"/>
          <w:szCs w:val="22"/>
        </w:rPr>
      </w:pPr>
      <w:r w:rsidRPr="00DD2A6B">
        <w:rPr>
          <w:rFonts w:asciiTheme="minorHAnsi" w:hAnsiTheme="minorHAnsi"/>
          <w:b/>
          <w:sz w:val="22"/>
          <w:szCs w:val="22"/>
        </w:rPr>
        <w:t>OPTION 2: “</w:t>
      </w:r>
      <w:r w:rsidRPr="00DD2A6B">
        <w:rPr>
          <w:rFonts w:asciiTheme="minorHAnsi" w:hAnsiTheme="minorHAnsi"/>
          <w:sz w:val="22"/>
          <w:szCs w:val="22"/>
        </w:rPr>
        <w:t>The decision rendered against the registrant in the predecessor UDRP or URS may be brought before the [name of arbitration entity] for de novo review and determination.”</w:t>
      </w:r>
    </w:p>
    <w:p w14:paraId="73C1C140" w14:textId="77777777" w:rsidR="00DD2A6B" w:rsidRPr="00DD2A6B" w:rsidRDefault="00DD2A6B" w:rsidP="00DD2A6B">
      <w:pPr>
        <w:rPr>
          <w:rFonts w:asciiTheme="minorHAnsi" w:hAnsiTheme="minorHAnsi"/>
          <w:i/>
          <w:sz w:val="22"/>
          <w:szCs w:val="22"/>
        </w:rPr>
      </w:pPr>
      <w:r w:rsidRPr="00DD2A6B">
        <w:rPr>
          <w:rFonts w:asciiTheme="minorHAnsi" w:hAnsiTheme="minorHAnsi"/>
          <w:i/>
          <w:sz w:val="22"/>
          <w:szCs w:val="22"/>
        </w:rPr>
        <w:t>Note: this option can incorporate elements of Option 3</w:t>
      </w:r>
    </w:p>
    <w:p w14:paraId="6B1F9F9F" w14:textId="77777777" w:rsidR="00DD2A6B" w:rsidRDefault="00DD2A6B" w:rsidP="00DD2A6B">
      <w:pPr>
        <w:rPr>
          <w:rFonts w:asciiTheme="minorHAnsi" w:hAnsiTheme="minorHAnsi"/>
          <w:sz w:val="22"/>
          <w:szCs w:val="22"/>
        </w:rPr>
      </w:pPr>
    </w:p>
    <w:p w14:paraId="373B7BD7" w14:textId="77777777" w:rsidR="00DD2A6B" w:rsidRPr="00DD2A6B" w:rsidRDefault="00DD2A6B" w:rsidP="00DD2A6B">
      <w:pPr>
        <w:rPr>
          <w:rFonts w:asciiTheme="minorHAnsi" w:hAnsiTheme="minorHAnsi"/>
          <w:sz w:val="22"/>
          <w:szCs w:val="22"/>
        </w:rPr>
      </w:pPr>
      <w:r w:rsidRPr="00DD2A6B">
        <w:rPr>
          <w:rFonts w:asciiTheme="minorHAnsi" w:hAnsiTheme="minorHAnsi"/>
          <w:b/>
          <w:sz w:val="22"/>
          <w:szCs w:val="22"/>
        </w:rPr>
        <w:t>OPTION 3:</w:t>
      </w:r>
      <w:r>
        <w:rPr>
          <w:rFonts w:asciiTheme="minorHAnsi" w:hAnsiTheme="minorHAnsi"/>
          <w:b/>
          <w:sz w:val="22"/>
          <w:szCs w:val="22"/>
        </w:rPr>
        <w:t xml:space="preserve"> “</w:t>
      </w:r>
      <w:r w:rsidRPr="00DD2A6B">
        <w:rPr>
          <w:rFonts w:asciiTheme="minorHAnsi" w:hAnsiTheme="minorHAnsi"/>
          <w:sz w:val="22"/>
          <w:szCs w:val="22"/>
        </w:rPr>
        <w:t xml:space="preserve">Amend the Mutual Jurisdiction clause to clarify that, for IGOs, their agreement to submit to Mutual Jurisdiction is strictly and only in relation to the court’s disposition of rights in relation to ownership of the domain name(s) in dispute, and not in relation to any other claim or remedy.” </w:t>
      </w:r>
    </w:p>
    <w:p w14:paraId="000AC24C" w14:textId="31D19B5E" w:rsidR="00DD2A6B" w:rsidRPr="00DD2A6B" w:rsidRDefault="00DD2A6B" w:rsidP="00DD2A6B">
      <w:pPr>
        <w:rPr>
          <w:rFonts w:asciiTheme="minorHAnsi" w:hAnsiTheme="minorHAnsi"/>
          <w:sz w:val="22"/>
          <w:szCs w:val="22"/>
        </w:rPr>
      </w:pPr>
      <w:r w:rsidRPr="00DD2A6B">
        <w:rPr>
          <w:rFonts w:asciiTheme="minorHAnsi" w:hAnsiTheme="minorHAnsi"/>
          <w:i/>
          <w:sz w:val="22"/>
          <w:szCs w:val="22"/>
        </w:rPr>
        <w:t>Note</w:t>
      </w:r>
      <w:r>
        <w:rPr>
          <w:rFonts w:asciiTheme="minorHAnsi" w:hAnsiTheme="minorHAnsi"/>
          <w:i/>
          <w:sz w:val="22"/>
          <w:szCs w:val="22"/>
        </w:rPr>
        <w:t>:</w:t>
      </w:r>
      <w:r w:rsidRPr="00DD2A6B">
        <w:rPr>
          <w:rFonts w:asciiTheme="minorHAnsi" w:hAnsiTheme="minorHAnsi"/>
          <w:i/>
          <w:sz w:val="22"/>
          <w:szCs w:val="22"/>
        </w:rPr>
        <w:t xml:space="preserve"> </w:t>
      </w:r>
      <w:r w:rsidR="006627EA">
        <w:rPr>
          <w:rFonts w:asciiTheme="minorHAnsi" w:hAnsiTheme="minorHAnsi"/>
          <w:i/>
          <w:sz w:val="22"/>
          <w:szCs w:val="22"/>
        </w:rPr>
        <w:t xml:space="preserve">elements of </w:t>
      </w:r>
      <w:r w:rsidRPr="00DD2A6B">
        <w:rPr>
          <w:rFonts w:asciiTheme="minorHAnsi" w:hAnsiTheme="minorHAnsi"/>
          <w:i/>
          <w:sz w:val="22"/>
          <w:szCs w:val="22"/>
        </w:rPr>
        <w:t xml:space="preserve">this option </w:t>
      </w:r>
      <w:r w:rsidR="006627EA">
        <w:rPr>
          <w:rFonts w:asciiTheme="minorHAnsi" w:hAnsiTheme="minorHAnsi"/>
          <w:i/>
          <w:sz w:val="22"/>
          <w:szCs w:val="22"/>
        </w:rPr>
        <w:t>can be</w:t>
      </w:r>
      <w:r w:rsidRPr="00DD2A6B">
        <w:rPr>
          <w:rFonts w:asciiTheme="minorHAnsi" w:hAnsiTheme="minorHAnsi"/>
          <w:i/>
          <w:sz w:val="22"/>
          <w:szCs w:val="22"/>
        </w:rPr>
        <w:t xml:space="preserve"> added to </w:t>
      </w:r>
      <w:r>
        <w:rPr>
          <w:rFonts w:asciiTheme="minorHAnsi" w:hAnsiTheme="minorHAnsi"/>
          <w:i/>
          <w:sz w:val="22"/>
          <w:szCs w:val="22"/>
        </w:rPr>
        <w:t>O</w:t>
      </w:r>
      <w:r w:rsidRPr="00DD2A6B">
        <w:rPr>
          <w:rFonts w:asciiTheme="minorHAnsi" w:hAnsiTheme="minorHAnsi"/>
          <w:i/>
          <w:sz w:val="22"/>
          <w:szCs w:val="22"/>
        </w:rPr>
        <w:t>ption 2</w:t>
      </w:r>
    </w:p>
    <w:p w14:paraId="3E3A26EA" w14:textId="77777777" w:rsidR="00DD2A6B" w:rsidRDefault="00DD2A6B" w:rsidP="00DD2A6B">
      <w:pPr>
        <w:rPr>
          <w:rFonts w:asciiTheme="minorHAnsi" w:hAnsiTheme="minorHAnsi"/>
          <w:sz w:val="22"/>
          <w:szCs w:val="22"/>
        </w:rPr>
      </w:pPr>
    </w:p>
    <w:p w14:paraId="57F3C19D" w14:textId="77777777" w:rsidR="00DD2A6B" w:rsidRDefault="00DD2A6B" w:rsidP="00DD2A6B">
      <w:pPr>
        <w:rPr>
          <w:rFonts w:asciiTheme="minorHAnsi" w:hAnsiTheme="minorHAnsi"/>
          <w:bCs/>
          <w:iCs/>
          <w:sz w:val="22"/>
          <w:szCs w:val="22"/>
        </w:rPr>
      </w:pPr>
      <w:r w:rsidRPr="00DD2A6B">
        <w:rPr>
          <w:rFonts w:asciiTheme="minorHAnsi" w:hAnsiTheme="minorHAnsi"/>
          <w:b/>
          <w:sz w:val="22"/>
          <w:szCs w:val="22"/>
        </w:rPr>
        <w:t xml:space="preserve">OPTION 4: </w:t>
      </w:r>
      <w:r w:rsidRPr="00DD2A6B">
        <w:rPr>
          <w:rFonts w:asciiTheme="minorHAnsi" w:hAnsiTheme="minorHAnsi"/>
          <w:sz w:val="22"/>
          <w:szCs w:val="22"/>
        </w:rPr>
        <w:t>“Try out” Option #2, just for newly created domains, while preserving full legal rights under Option #1 for grandfathered domains. Then we impose the obligation upon ICANN, the UDRP/URS providers, and the arbitration providers (via the mandated open court principle) to provide a future “review working group” the ability to go back and double check that there were no negative consequences in the decision to “try out” Option #2 as an experiment.”</w:t>
      </w:r>
      <w:r w:rsidRPr="00DD2A6B">
        <w:rPr>
          <w:rFonts w:asciiTheme="minorHAnsi" w:hAnsiTheme="minorHAnsi"/>
          <w:bCs/>
          <w:iCs/>
          <w:sz w:val="22"/>
          <w:szCs w:val="22"/>
        </w:rPr>
        <w:t> </w:t>
      </w:r>
    </w:p>
    <w:p w14:paraId="60BE4975" w14:textId="77777777" w:rsidR="00DD2A6B" w:rsidRDefault="00DD2A6B" w:rsidP="00DD2A6B">
      <w:pPr>
        <w:rPr>
          <w:rFonts w:asciiTheme="minorHAnsi" w:hAnsiTheme="minorHAnsi"/>
          <w:bCs/>
          <w:iCs/>
          <w:sz w:val="22"/>
          <w:szCs w:val="22"/>
        </w:rPr>
      </w:pPr>
    </w:p>
    <w:p w14:paraId="7F15078F" w14:textId="0884EEDC" w:rsidR="00DD2A6B" w:rsidRPr="0050093E" w:rsidRDefault="00DD2A6B" w:rsidP="00DD2A6B">
      <w:pPr>
        <w:rPr>
          <w:rFonts w:asciiTheme="minorHAnsi" w:hAnsiTheme="minorHAnsi"/>
          <w:bCs/>
          <w:iCs/>
          <w:sz w:val="22"/>
          <w:szCs w:val="22"/>
        </w:rPr>
      </w:pPr>
      <w:r w:rsidRPr="0050093E">
        <w:rPr>
          <w:rFonts w:asciiTheme="minorHAnsi" w:hAnsiTheme="minorHAnsi"/>
          <w:b/>
          <w:bCs/>
          <w:iCs/>
          <w:strike/>
          <w:sz w:val="22"/>
          <w:szCs w:val="22"/>
        </w:rPr>
        <w:t>OPTION 5: “</w:t>
      </w:r>
      <w:r w:rsidRPr="0050093E">
        <w:rPr>
          <w:rFonts w:asciiTheme="minorHAnsi" w:hAnsiTheme="minorHAnsi"/>
          <w:bCs/>
          <w:iCs/>
          <w:strike/>
          <w:sz w:val="22"/>
          <w:szCs w:val="22"/>
        </w:rPr>
        <w:t>Do nothing since the current UDRP requires that complainants waive any claim as against the ADR provider, but there is no similar provision for respondents. The result is that Complainants waive claims against that ADR provider. Respondents do not.”</w:t>
      </w:r>
      <w:r w:rsidRPr="0050093E">
        <w:rPr>
          <w:rFonts w:asciiTheme="minorHAnsi" w:hAnsiTheme="minorHAnsi"/>
          <w:bCs/>
          <w:iCs/>
          <w:sz w:val="22"/>
          <w:szCs w:val="22"/>
        </w:rPr>
        <w:t> </w:t>
      </w:r>
      <w:r w:rsidR="0050093E" w:rsidRPr="0050093E">
        <w:rPr>
          <w:rFonts w:asciiTheme="minorHAnsi" w:hAnsiTheme="minorHAnsi"/>
          <w:bCs/>
          <w:iCs/>
          <w:sz w:val="22"/>
          <w:szCs w:val="22"/>
        </w:rPr>
        <w:t>(</w:t>
      </w:r>
      <w:r w:rsidR="0050093E">
        <w:rPr>
          <w:rFonts w:asciiTheme="minorHAnsi" w:hAnsiTheme="minorHAnsi"/>
          <w:bCs/>
          <w:iCs/>
          <w:sz w:val="22"/>
          <w:szCs w:val="22"/>
        </w:rPr>
        <w:t xml:space="preserve">NOTE: </w:t>
      </w:r>
      <w:r w:rsidR="0050093E" w:rsidRPr="0050093E">
        <w:rPr>
          <w:rFonts w:asciiTheme="minorHAnsi" w:hAnsiTheme="minorHAnsi"/>
          <w:bCs/>
          <w:iCs/>
          <w:sz w:val="22"/>
          <w:szCs w:val="22"/>
        </w:rPr>
        <w:t>removed from further consideration by agreement of the Working Group)</w:t>
      </w:r>
    </w:p>
    <w:p w14:paraId="18F805F5" w14:textId="77777777" w:rsidR="00DD2A6B" w:rsidRDefault="00DD2A6B" w:rsidP="00DD2A6B">
      <w:pPr>
        <w:rPr>
          <w:rFonts w:asciiTheme="minorHAnsi" w:hAnsiTheme="minorHAnsi"/>
          <w:bCs/>
          <w:iCs/>
          <w:sz w:val="22"/>
          <w:szCs w:val="22"/>
        </w:rPr>
      </w:pPr>
    </w:p>
    <w:p w14:paraId="7E093781" w14:textId="77777777" w:rsidR="00DD2A6B" w:rsidRPr="00DD2A6B" w:rsidRDefault="00DD2A6B" w:rsidP="00DD2A6B">
      <w:pPr>
        <w:rPr>
          <w:rFonts w:asciiTheme="minorHAnsi" w:hAnsiTheme="minorHAnsi"/>
          <w:bCs/>
          <w:iCs/>
          <w:sz w:val="22"/>
          <w:szCs w:val="22"/>
        </w:rPr>
      </w:pPr>
      <w:r w:rsidRPr="00DD2A6B">
        <w:rPr>
          <w:rFonts w:asciiTheme="minorHAnsi" w:hAnsiTheme="minorHAnsi"/>
          <w:b/>
          <w:bCs/>
          <w:iCs/>
          <w:sz w:val="22"/>
          <w:szCs w:val="22"/>
        </w:rPr>
        <w:t>OPTION 6:</w:t>
      </w:r>
      <w:r w:rsidRPr="00DD2A6B">
        <w:rPr>
          <w:rFonts w:asciiTheme="minorHAnsi" w:hAnsiTheme="minorHAnsi"/>
          <w:bCs/>
          <w:iCs/>
          <w:sz w:val="22"/>
          <w:szCs w:val="22"/>
        </w:rPr>
        <w:t xml:space="preserve"> “Change the text of the UDRP Rules to clarify coverage of in rem, in personam, and quasi-in rem actions” </w:t>
      </w:r>
    </w:p>
    <w:p w14:paraId="42A35636" w14:textId="77777777" w:rsidR="00DD2A6B" w:rsidRPr="00DD2A6B" w:rsidRDefault="00DD2A6B" w:rsidP="00DD2A6B">
      <w:pPr>
        <w:rPr>
          <w:rFonts w:asciiTheme="minorHAnsi" w:hAnsiTheme="minorHAnsi"/>
          <w:bCs/>
          <w:iCs/>
          <w:sz w:val="22"/>
          <w:szCs w:val="22"/>
        </w:rPr>
      </w:pPr>
    </w:p>
    <w:p w14:paraId="0F2F2352" w14:textId="77777777" w:rsidR="00DD2A6B" w:rsidRPr="00DD2A6B" w:rsidRDefault="00DD2A6B" w:rsidP="00DD2A6B">
      <w:pPr>
        <w:rPr>
          <w:rFonts w:asciiTheme="minorHAnsi" w:hAnsiTheme="minorHAnsi"/>
          <w:sz w:val="22"/>
          <w:szCs w:val="22"/>
        </w:rPr>
      </w:pPr>
    </w:p>
    <w:sectPr w:rsidR="00DD2A6B" w:rsidRPr="00DD2A6B" w:rsidSect="003265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17F5A" w14:textId="77777777" w:rsidR="009503BE" w:rsidRDefault="009503BE" w:rsidP="00DD2A6B">
      <w:r>
        <w:separator/>
      </w:r>
    </w:p>
  </w:endnote>
  <w:endnote w:type="continuationSeparator" w:id="0">
    <w:p w14:paraId="0D986111" w14:textId="77777777" w:rsidR="009503BE" w:rsidRDefault="009503BE" w:rsidP="00D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3AF4" w14:textId="77777777" w:rsidR="00FC2391" w:rsidRDefault="00FC2391" w:rsidP="001A2E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9C884" w14:textId="77777777" w:rsidR="00FC2391" w:rsidRDefault="00FC2391" w:rsidP="00FC2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3C6C" w14:textId="77777777" w:rsidR="00FC2391" w:rsidRDefault="00FC2391" w:rsidP="001A2E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3BE">
      <w:rPr>
        <w:rStyle w:val="PageNumber"/>
        <w:noProof/>
      </w:rPr>
      <w:t>1</w:t>
    </w:r>
    <w:r>
      <w:rPr>
        <w:rStyle w:val="PageNumber"/>
      </w:rPr>
      <w:fldChar w:fldCharType="end"/>
    </w:r>
  </w:p>
  <w:p w14:paraId="2B6675E9" w14:textId="77777777" w:rsidR="00FC2391" w:rsidRDefault="00FC2391" w:rsidP="00FC23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4EAF7" w14:textId="77777777" w:rsidR="009503BE" w:rsidRDefault="009503BE" w:rsidP="00DD2A6B">
      <w:r>
        <w:separator/>
      </w:r>
    </w:p>
  </w:footnote>
  <w:footnote w:type="continuationSeparator" w:id="0">
    <w:p w14:paraId="1E4227BF" w14:textId="77777777" w:rsidR="009503BE" w:rsidRDefault="009503BE" w:rsidP="00DD2A6B">
      <w:r>
        <w:continuationSeparator/>
      </w:r>
    </w:p>
  </w:footnote>
  <w:footnote w:id="1">
    <w:p w14:paraId="53EE9FE6" w14:textId="169616B2" w:rsidR="00FC2391" w:rsidRPr="00FC2391" w:rsidRDefault="00FC2391">
      <w:pPr>
        <w:pStyle w:val="FootnoteText"/>
        <w:rPr>
          <w:rFonts w:asciiTheme="minorHAnsi" w:hAnsiTheme="minorHAnsi"/>
          <w:sz w:val="20"/>
          <w:szCs w:val="20"/>
        </w:rPr>
      </w:pPr>
      <w:r w:rsidRPr="00FC2391">
        <w:rPr>
          <w:rStyle w:val="FootnoteReference"/>
          <w:rFonts w:asciiTheme="minorHAnsi" w:hAnsiTheme="minorHAnsi"/>
          <w:sz w:val="20"/>
          <w:szCs w:val="20"/>
        </w:rPr>
        <w:footnoteRef/>
      </w:r>
      <w:r w:rsidRPr="00FC2391">
        <w:rPr>
          <w:rFonts w:asciiTheme="minorHAnsi" w:hAnsiTheme="minorHAnsi"/>
          <w:sz w:val="20"/>
          <w:szCs w:val="20"/>
        </w:rPr>
        <w:t xml:space="preserve"> Please refer to accompanying flow chart for a visual depiction of the process and each alternative path.</w:t>
      </w:r>
    </w:p>
  </w:footnote>
  <w:footnote w:id="2">
    <w:p w14:paraId="7DFDF510" w14:textId="77777777" w:rsidR="00DD2A6B" w:rsidRPr="00554E15" w:rsidRDefault="00DD2A6B" w:rsidP="00DD2A6B">
      <w:pPr>
        <w:pStyle w:val="FootnoteText"/>
        <w:rPr>
          <w:rFonts w:asciiTheme="minorHAnsi" w:hAnsiTheme="minorHAnsi"/>
          <w:sz w:val="20"/>
          <w:szCs w:val="20"/>
        </w:rPr>
      </w:pPr>
      <w:r w:rsidRPr="00554E15">
        <w:rPr>
          <w:rStyle w:val="FootnoteReference"/>
          <w:rFonts w:asciiTheme="minorHAnsi" w:hAnsiTheme="minorHAnsi"/>
          <w:sz w:val="20"/>
          <w:szCs w:val="20"/>
        </w:rPr>
        <w:footnoteRef/>
      </w:r>
      <w:r w:rsidRPr="00554E15">
        <w:rPr>
          <w:rFonts w:asciiTheme="minorHAnsi" w:hAnsiTheme="minorHAnsi"/>
          <w:sz w:val="20"/>
          <w:szCs w:val="20"/>
        </w:rPr>
        <w:t xml:space="preserve"> Note that the text of this recommendation is likely to change, possibly substantially, following the WG’s conclusion of its deliberations over the options noted in this document.</w:t>
      </w:r>
    </w:p>
  </w:footnote>
  <w:footnote w:id="3">
    <w:p w14:paraId="12AF5256" w14:textId="77777777" w:rsidR="00DD2A6B" w:rsidRPr="00061992" w:rsidRDefault="00DD2A6B" w:rsidP="00DD2A6B">
      <w:pPr>
        <w:pStyle w:val="FootnoteText"/>
        <w:rPr>
          <w:rFonts w:asciiTheme="minorHAnsi" w:hAnsiTheme="minorHAnsi"/>
          <w:sz w:val="20"/>
          <w:szCs w:val="20"/>
        </w:rPr>
      </w:pPr>
      <w:r w:rsidRPr="00061992">
        <w:rPr>
          <w:rStyle w:val="FootnoteReference"/>
          <w:rFonts w:asciiTheme="minorHAnsi" w:hAnsiTheme="minorHAnsi"/>
          <w:sz w:val="20"/>
          <w:szCs w:val="20"/>
        </w:rPr>
        <w:footnoteRef/>
      </w:r>
      <w:r w:rsidRPr="00061992">
        <w:rPr>
          <w:rFonts w:asciiTheme="minorHAnsi" w:hAnsiTheme="minorHAnsi"/>
          <w:sz w:val="20"/>
          <w:szCs w:val="20"/>
        </w:rPr>
        <w:t xml:space="preserve"> The WG notes that the determination in each case as to whether or not the IGO in question may successfully plead immunity is a question that each court decides according to its own law. It is not within the purview of ICANN to make any recommendations in respect of a judicial determination of this legal issue.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3D6"/>
    <w:multiLevelType w:val="hybridMultilevel"/>
    <w:tmpl w:val="E468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C613E"/>
    <w:multiLevelType w:val="hybridMultilevel"/>
    <w:tmpl w:val="D59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38108B"/>
    <w:multiLevelType w:val="hybridMultilevel"/>
    <w:tmpl w:val="C7DCD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86153C"/>
    <w:multiLevelType w:val="hybridMultilevel"/>
    <w:tmpl w:val="AE7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B718F"/>
    <w:multiLevelType w:val="hybridMultilevel"/>
    <w:tmpl w:val="EDB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6B"/>
    <w:rsid w:val="00047F8D"/>
    <w:rsid w:val="0006430B"/>
    <w:rsid w:val="000930F3"/>
    <w:rsid w:val="000A2AAC"/>
    <w:rsid w:val="001460FB"/>
    <w:rsid w:val="001A155B"/>
    <w:rsid w:val="00205A17"/>
    <w:rsid w:val="00207F91"/>
    <w:rsid w:val="00265BB8"/>
    <w:rsid w:val="00273856"/>
    <w:rsid w:val="00285AEA"/>
    <w:rsid w:val="002C4F29"/>
    <w:rsid w:val="002F4E78"/>
    <w:rsid w:val="003011B3"/>
    <w:rsid w:val="00305DB0"/>
    <w:rsid w:val="00326516"/>
    <w:rsid w:val="003F2803"/>
    <w:rsid w:val="003F4037"/>
    <w:rsid w:val="00406A91"/>
    <w:rsid w:val="00435BDF"/>
    <w:rsid w:val="0046446B"/>
    <w:rsid w:val="0050093E"/>
    <w:rsid w:val="005174C4"/>
    <w:rsid w:val="005428EB"/>
    <w:rsid w:val="005539A2"/>
    <w:rsid w:val="005663BA"/>
    <w:rsid w:val="00570730"/>
    <w:rsid w:val="00583D21"/>
    <w:rsid w:val="005B6D3E"/>
    <w:rsid w:val="006627EA"/>
    <w:rsid w:val="006E4E94"/>
    <w:rsid w:val="00780D1B"/>
    <w:rsid w:val="00792175"/>
    <w:rsid w:val="007C1F0C"/>
    <w:rsid w:val="0087279E"/>
    <w:rsid w:val="008864B0"/>
    <w:rsid w:val="008B10A0"/>
    <w:rsid w:val="00914638"/>
    <w:rsid w:val="009503BE"/>
    <w:rsid w:val="00955816"/>
    <w:rsid w:val="009C5524"/>
    <w:rsid w:val="009D5FE3"/>
    <w:rsid w:val="00A13C35"/>
    <w:rsid w:val="00A2148A"/>
    <w:rsid w:val="00A404BF"/>
    <w:rsid w:val="00AA124D"/>
    <w:rsid w:val="00B202B1"/>
    <w:rsid w:val="00B376BD"/>
    <w:rsid w:val="00B6586C"/>
    <w:rsid w:val="00CB2959"/>
    <w:rsid w:val="00CD6533"/>
    <w:rsid w:val="00CE6129"/>
    <w:rsid w:val="00CF4001"/>
    <w:rsid w:val="00D124A3"/>
    <w:rsid w:val="00DA5647"/>
    <w:rsid w:val="00DD2A6B"/>
    <w:rsid w:val="00DF5B98"/>
    <w:rsid w:val="00E31C97"/>
    <w:rsid w:val="00EA5270"/>
    <w:rsid w:val="00EA665A"/>
    <w:rsid w:val="00EB3FBD"/>
    <w:rsid w:val="00F07ED6"/>
    <w:rsid w:val="00F36962"/>
    <w:rsid w:val="00FB2D09"/>
    <w:rsid w:val="00FC2391"/>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E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D2A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2A6B"/>
    <w:rPr>
      <w:rFonts w:eastAsiaTheme="minorEastAsia"/>
      <w:color w:val="5A5A5A" w:themeColor="text1" w:themeTint="A5"/>
      <w:spacing w:val="15"/>
      <w:sz w:val="22"/>
      <w:szCs w:val="22"/>
    </w:rPr>
  </w:style>
  <w:style w:type="paragraph" w:styleId="FootnoteText">
    <w:name w:val="footnote text"/>
    <w:basedOn w:val="Normal"/>
    <w:link w:val="FootnoteTextChar"/>
    <w:uiPriority w:val="99"/>
    <w:unhideWhenUsed/>
    <w:rsid w:val="00DD2A6B"/>
    <w:rPr>
      <w:rFonts w:eastAsiaTheme="minorEastAsia"/>
      <w:sz w:val="24"/>
      <w:szCs w:val="24"/>
      <w:lang w:eastAsia="en-US"/>
    </w:rPr>
  </w:style>
  <w:style w:type="character" w:customStyle="1" w:styleId="FootnoteTextChar">
    <w:name w:val="Footnote Text Char"/>
    <w:basedOn w:val="DefaultParagraphFont"/>
    <w:link w:val="FootnoteText"/>
    <w:uiPriority w:val="99"/>
    <w:rsid w:val="00DD2A6B"/>
    <w:rPr>
      <w:rFonts w:ascii="Times New Roman" w:eastAsiaTheme="minorEastAsia" w:hAnsi="Times New Roman" w:cs="Times New Roman"/>
      <w:lang w:eastAsia="en-US"/>
    </w:rPr>
  </w:style>
  <w:style w:type="character" w:styleId="FootnoteReference">
    <w:name w:val="footnote reference"/>
    <w:basedOn w:val="DefaultParagraphFont"/>
    <w:uiPriority w:val="99"/>
    <w:unhideWhenUsed/>
    <w:rsid w:val="00DD2A6B"/>
    <w:rPr>
      <w:rFonts w:ascii="Calibri" w:hAnsi="Calibri"/>
      <w:vertAlign w:val="superscript"/>
    </w:rPr>
  </w:style>
  <w:style w:type="paragraph" w:styleId="ListParagraph">
    <w:name w:val="List Paragraph"/>
    <w:basedOn w:val="Normal"/>
    <w:uiPriority w:val="34"/>
    <w:qFormat/>
    <w:rsid w:val="006E4E94"/>
    <w:pPr>
      <w:ind w:left="720"/>
      <w:contextualSpacing/>
    </w:pPr>
  </w:style>
  <w:style w:type="paragraph" w:styleId="Footer">
    <w:name w:val="footer"/>
    <w:basedOn w:val="Normal"/>
    <w:link w:val="FooterChar"/>
    <w:uiPriority w:val="99"/>
    <w:unhideWhenUsed/>
    <w:rsid w:val="00FC2391"/>
    <w:pPr>
      <w:tabs>
        <w:tab w:val="center" w:pos="4680"/>
        <w:tab w:val="right" w:pos="9360"/>
      </w:tabs>
    </w:pPr>
  </w:style>
  <w:style w:type="character" w:customStyle="1" w:styleId="FooterChar">
    <w:name w:val="Footer Char"/>
    <w:basedOn w:val="DefaultParagraphFont"/>
    <w:link w:val="Footer"/>
    <w:uiPriority w:val="99"/>
    <w:rsid w:val="00FC2391"/>
    <w:rPr>
      <w:rFonts w:ascii="Times New Roman" w:hAnsi="Times New Roman" w:cs="Times New Roman"/>
      <w:sz w:val="20"/>
      <w:szCs w:val="20"/>
    </w:rPr>
  </w:style>
  <w:style w:type="character" w:styleId="PageNumber">
    <w:name w:val="page number"/>
    <w:basedOn w:val="DefaultParagraphFont"/>
    <w:uiPriority w:val="99"/>
    <w:semiHidden/>
    <w:unhideWhenUsed/>
    <w:rsid w:val="00FC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862D52-6664-8948-AD4D-BD9540A0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2017-09-06T22:57:00Z</dcterms:created>
  <dcterms:modified xsi:type="dcterms:W3CDTF">2017-09-06T23:03:00Z</dcterms:modified>
</cp:coreProperties>
</file>