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61607" w14:textId="77777777" w:rsidR="003903A7" w:rsidRPr="0076502E" w:rsidRDefault="00AE38E2">
      <w:pPr>
        <w:rPr>
          <w:rFonts w:ascii="Calibri" w:hAnsi="Calibri"/>
          <w:b/>
        </w:rPr>
      </w:pPr>
      <w:r w:rsidRPr="0076502E">
        <w:rPr>
          <w:rFonts w:ascii="Calibri" w:hAnsi="Calibri"/>
          <w:b/>
        </w:rPr>
        <w:t xml:space="preserve">IGO Work Track: Summary of Agreements &amp; Options for Further Discussion </w:t>
      </w:r>
    </w:p>
    <w:p w14:paraId="3E57F039" w14:textId="77777777" w:rsidR="003903A7" w:rsidRPr="0076502E" w:rsidRDefault="00AE38E2">
      <w:pPr>
        <w:rPr>
          <w:rFonts w:ascii="Calibri" w:hAnsi="Calibri"/>
          <w:b/>
        </w:rPr>
      </w:pPr>
      <w:r w:rsidRPr="0076502E">
        <w:rPr>
          <w:rFonts w:ascii="Calibri" w:hAnsi="Calibri"/>
          <w:b/>
        </w:rPr>
        <w:t>DRAFT as of 11 March 2021</w:t>
      </w:r>
    </w:p>
    <w:p w14:paraId="4EA797D8" w14:textId="77777777" w:rsidR="003903A7" w:rsidRPr="0076502E" w:rsidRDefault="003903A7">
      <w:pPr>
        <w:rPr>
          <w:rFonts w:ascii="Calibri" w:hAnsi="Calibri"/>
          <w:b/>
        </w:rPr>
      </w:pPr>
    </w:p>
    <w:p w14:paraId="0E790AD8" w14:textId="77777777" w:rsidR="003903A7" w:rsidRPr="0076502E" w:rsidRDefault="00AE38E2">
      <w:pPr>
        <w:rPr>
          <w:rFonts w:ascii="Calibri" w:hAnsi="Calibri"/>
        </w:rPr>
      </w:pPr>
      <w:r w:rsidRPr="0076502E">
        <w:rPr>
          <w:rFonts w:ascii="Calibri" w:hAnsi="Calibri"/>
          <w:u w:val="single"/>
        </w:rPr>
        <w:t>Summary of Agreements to date</w:t>
      </w:r>
      <w:r w:rsidRPr="0076502E">
        <w:rPr>
          <w:rFonts w:ascii="Calibri" w:hAnsi="Calibri"/>
        </w:rPr>
        <w:t>:</w:t>
      </w:r>
    </w:p>
    <w:p w14:paraId="54A1BDFC" w14:textId="77777777" w:rsidR="003903A7" w:rsidRPr="0076502E" w:rsidRDefault="003903A7">
      <w:pPr>
        <w:rPr>
          <w:rFonts w:ascii="Calibri" w:hAnsi="Calibri"/>
        </w:rPr>
      </w:pPr>
    </w:p>
    <w:p w14:paraId="5C024B41" w14:textId="77777777" w:rsidR="003903A7" w:rsidRPr="0076502E" w:rsidRDefault="00AE38E2">
      <w:pPr>
        <w:numPr>
          <w:ilvl w:val="0"/>
          <w:numId w:val="11"/>
        </w:numPr>
        <w:rPr>
          <w:rFonts w:ascii="Calibri" w:hAnsi="Calibri"/>
        </w:rPr>
      </w:pPr>
      <w:r w:rsidRPr="0076502E">
        <w:rPr>
          <w:rFonts w:ascii="Calibri" w:hAnsi="Calibri"/>
        </w:rPr>
        <w:t>The Work Track scope is defined and limited by the GNSO Council’s instructions that any recommended policy actions be “generally consistent” with Recommendations 1-4 from the Curative Rights PDP. Given the GNSO Council’s instructions, it is currently out o</w:t>
      </w:r>
      <w:r w:rsidRPr="0076502E">
        <w:rPr>
          <w:rFonts w:ascii="Calibri" w:hAnsi="Calibri"/>
        </w:rPr>
        <w:t>f scope for the Work Track to develop a separate dispute resolution process for IGOs.</w:t>
      </w:r>
    </w:p>
    <w:p w14:paraId="5F0DED3B" w14:textId="77777777" w:rsidR="003903A7" w:rsidRPr="0076502E" w:rsidRDefault="00AE38E2">
      <w:pPr>
        <w:numPr>
          <w:ilvl w:val="0"/>
          <w:numId w:val="11"/>
        </w:numPr>
        <w:rPr>
          <w:rFonts w:ascii="Calibri" w:hAnsi="Calibri"/>
        </w:rPr>
      </w:pPr>
      <w:r w:rsidRPr="0076502E">
        <w:rPr>
          <w:rFonts w:ascii="Calibri" w:hAnsi="Calibri"/>
        </w:rPr>
        <w:t>There are two challenges that IGOs face with using the current form of the UDRP and URS: (1) the requirement to have a trademark in order to have standing to file a compl</w:t>
      </w:r>
      <w:r w:rsidRPr="0076502E">
        <w:rPr>
          <w:rFonts w:ascii="Calibri" w:hAnsi="Calibri"/>
        </w:rPr>
        <w:t xml:space="preserve">aint; and (2) the requirement to submit to Mutual Jurisdiction, which can compromise an IGO’s immunities and privileges in relation to the jurisdiction of a court in which a registrant files </w:t>
      </w:r>
      <w:proofErr w:type="gramStart"/>
      <w:r w:rsidRPr="0076502E">
        <w:rPr>
          <w:rFonts w:ascii="Calibri" w:hAnsi="Calibri"/>
        </w:rPr>
        <w:t>proceedings</w:t>
      </w:r>
      <w:proofErr w:type="gramEnd"/>
      <w:r w:rsidRPr="0076502E">
        <w:rPr>
          <w:rFonts w:ascii="Calibri" w:hAnsi="Calibri"/>
        </w:rPr>
        <w:t xml:space="preserve"> against an IGO.</w:t>
      </w:r>
    </w:p>
    <w:p w14:paraId="3452CA80" w14:textId="77777777" w:rsidR="003903A7" w:rsidRPr="0076502E" w:rsidRDefault="00AE38E2">
      <w:pPr>
        <w:numPr>
          <w:ilvl w:val="0"/>
          <w:numId w:val="11"/>
        </w:numPr>
        <w:rPr>
          <w:rFonts w:ascii="Calibri" w:hAnsi="Calibri"/>
        </w:rPr>
      </w:pPr>
      <w:r w:rsidRPr="0076502E">
        <w:rPr>
          <w:rFonts w:ascii="Calibri" w:hAnsi="Calibri"/>
        </w:rPr>
        <w:t>The Work Track will first consider wh</w:t>
      </w:r>
      <w:r w:rsidRPr="0076502E">
        <w:rPr>
          <w:rFonts w:ascii="Calibri" w:hAnsi="Calibri"/>
        </w:rPr>
        <w:t xml:space="preserve">ether it may be able to reach agreement on the question of standing, before considering the further issue of jurisdictional immunity. </w:t>
      </w:r>
    </w:p>
    <w:p w14:paraId="672F50B6" w14:textId="77777777" w:rsidR="003903A7" w:rsidRPr="0076502E" w:rsidRDefault="00AE38E2">
      <w:pPr>
        <w:numPr>
          <w:ilvl w:val="0"/>
          <w:numId w:val="11"/>
        </w:numPr>
        <w:rPr>
          <w:rFonts w:ascii="Calibri" w:hAnsi="Calibri"/>
        </w:rPr>
      </w:pPr>
      <w:r w:rsidRPr="0076502E">
        <w:rPr>
          <w:rFonts w:ascii="Calibri" w:hAnsi="Calibri"/>
        </w:rPr>
        <w:t xml:space="preserve">Recommendation 2 from the Curative Rights PDP places responsibility for determining whether an IGO’s compliance with the </w:t>
      </w:r>
      <w:r w:rsidRPr="0076502E">
        <w:rPr>
          <w:rFonts w:ascii="Calibri" w:hAnsi="Calibri"/>
        </w:rPr>
        <w:t>Article 6ter notification procedure is sufficient to grant standing under the UDRP and URS on the panelist(s). It is unlikely that panelists will wish to have this responsibility, especially as it requires familiarity with Article 6ter and IGO rights and p</w:t>
      </w:r>
      <w:r w:rsidRPr="0076502E">
        <w:rPr>
          <w:rFonts w:ascii="Calibri" w:hAnsi="Calibri"/>
        </w:rPr>
        <w:t>rotections.</w:t>
      </w:r>
    </w:p>
    <w:p w14:paraId="1D384982" w14:textId="77777777" w:rsidR="003903A7" w:rsidRPr="0076502E" w:rsidRDefault="00AE38E2">
      <w:pPr>
        <w:numPr>
          <w:ilvl w:val="0"/>
          <w:numId w:val="11"/>
        </w:numPr>
        <w:rPr>
          <w:rFonts w:ascii="Calibri" w:hAnsi="Calibri"/>
        </w:rPr>
      </w:pPr>
      <w:r w:rsidRPr="0076502E">
        <w:rPr>
          <w:rFonts w:ascii="Calibri" w:hAnsi="Calibri"/>
        </w:rPr>
        <w:t>It may be possible to “tweak” (modify) Recommendation 2 to handle the question of IGO standing. At this stage, it is not necessary to consider if modifications are needed to any of the other three Curative Rights PDP recommendations that were a</w:t>
      </w:r>
      <w:r w:rsidRPr="0076502E">
        <w:rPr>
          <w:rFonts w:ascii="Calibri" w:hAnsi="Calibri"/>
        </w:rPr>
        <w:t>pproved by the GNSO Council.</w:t>
      </w:r>
    </w:p>
    <w:p w14:paraId="1368CF94" w14:textId="77777777" w:rsidR="003903A7" w:rsidRPr="0076502E" w:rsidRDefault="00AE38E2">
      <w:pPr>
        <w:numPr>
          <w:ilvl w:val="0"/>
          <w:numId w:val="11"/>
        </w:numPr>
        <w:rPr>
          <w:rFonts w:ascii="Calibri" w:hAnsi="Calibri"/>
        </w:rPr>
      </w:pPr>
      <w:r w:rsidRPr="0076502E">
        <w:rPr>
          <w:rFonts w:ascii="Calibri" w:hAnsi="Calibri"/>
        </w:rPr>
        <w:t>The Work Track Chair and GNSO Council liaison are obliged to report periodically to the GNSO Council. In the event that the Work Track reaches a point in its discussions that seem to indicate it can agree on a solution to the i</w:t>
      </w:r>
      <w:r w:rsidRPr="0076502E">
        <w:rPr>
          <w:rFonts w:ascii="Calibri" w:hAnsi="Calibri"/>
        </w:rPr>
        <w:t>ssue of standing through modifying Recommendation 2, the GNSO Council will have to modify or loosen its original instructions in order to allow the Work Track to complete work on the proposed solution.</w:t>
      </w:r>
    </w:p>
    <w:p w14:paraId="36F021F4" w14:textId="77777777" w:rsidR="003903A7" w:rsidRPr="0076502E" w:rsidRDefault="00AE38E2">
      <w:pPr>
        <w:numPr>
          <w:ilvl w:val="0"/>
          <w:numId w:val="11"/>
        </w:numPr>
        <w:rPr>
          <w:rFonts w:ascii="Calibri" w:hAnsi="Calibri"/>
        </w:rPr>
      </w:pPr>
      <w:r w:rsidRPr="0076502E">
        <w:rPr>
          <w:rFonts w:ascii="Calibri" w:hAnsi="Calibri"/>
        </w:rPr>
        <w:t>Recommendation 5 was the Curative Rights PDP Working G</w:t>
      </w:r>
      <w:r w:rsidRPr="0076502E">
        <w:rPr>
          <w:rFonts w:ascii="Calibri" w:hAnsi="Calibri"/>
        </w:rPr>
        <w:t>roup’s attempt to deal with the issue of IGO jurisdictional immunity but is not workable. While one path toward completing its work is to recommend “reversing” Recommendation 5, this would merely reflect the status quo and is not a policy solution. The Wor</w:t>
      </w:r>
      <w:r w:rsidRPr="0076502E">
        <w:rPr>
          <w:rFonts w:ascii="Calibri" w:hAnsi="Calibri"/>
        </w:rPr>
        <w:t xml:space="preserve">k Track agreed to consider if an arbitral mechanism to handle challenges to UDRP and URS panel decisions may be more appropriate, after it concludes its discussions on the issue of standing. </w:t>
      </w:r>
    </w:p>
    <w:p w14:paraId="35536888" w14:textId="77777777" w:rsidR="003903A7" w:rsidRPr="0076502E" w:rsidRDefault="003903A7">
      <w:pPr>
        <w:rPr>
          <w:rFonts w:ascii="Calibri" w:hAnsi="Calibri"/>
        </w:rPr>
      </w:pPr>
    </w:p>
    <w:p w14:paraId="070F6E7A" w14:textId="77777777" w:rsidR="0076502E" w:rsidRDefault="0076502E">
      <w:pPr>
        <w:rPr>
          <w:rFonts w:ascii="Calibri" w:hAnsi="Calibri"/>
          <w:u w:val="single"/>
        </w:rPr>
      </w:pPr>
    </w:p>
    <w:p w14:paraId="0F135B85" w14:textId="77777777" w:rsidR="0076502E" w:rsidRDefault="0076502E">
      <w:pPr>
        <w:rPr>
          <w:rFonts w:ascii="Calibri" w:hAnsi="Calibri"/>
          <w:u w:val="single"/>
        </w:rPr>
      </w:pPr>
    </w:p>
    <w:p w14:paraId="5BDDE98B" w14:textId="760DEB93" w:rsidR="003903A7" w:rsidRPr="0076502E" w:rsidRDefault="00AE38E2">
      <w:pPr>
        <w:rPr>
          <w:rFonts w:ascii="Calibri" w:hAnsi="Calibri"/>
        </w:rPr>
      </w:pPr>
      <w:r w:rsidRPr="0076502E">
        <w:rPr>
          <w:rFonts w:ascii="Calibri" w:hAnsi="Calibri"/>
          <w:u w:val="single"/>
        </w:rPr>
        <w:lastRenderedPageBreak/>
        <w:t>Options for Discussion</w:t>
      </w:r>
      <w:r w:rsidRPr="0076502E">
        <w:rPr>
          <w:rFonts w:ascii="Calibri" w:hAnsi="Calibri"/>
        </w:rPr>
        <w:t>:</w:t>
      </w:r>
    </w:p>
    <w:p w14:paraId="6B5565EA" w14:textId="77777777" w:rsidR="003903A7" w:rsidRPr="0076502E" w:rsidRDefault="003903A7">
      <w:pPr>
        <w:rPr>
          <w:rFonts w:ascii="Calibri" w:hAnsi="Calibri"/>
        </w:rPr>
      </w:pPr>
    </w:p>
    <w:p w14:paraId="4633BBD7" w14:textId="77777777" w:rsidR="003903A7" w:rsidRPr="0076502E" w:rsidRDefault="00AE38E2">
      <w:pPr>
        <w:numPr>
          <w:ilvl w:val="0"/>
          <w:numId w:val="3"/>
        </w:numPr>
        <w:rPr>
          <w:rFonts w:ascii="Calibri" w:hAnsi="Calibri"/>
          <w:b/>
        </w:rPr>
      </w:pPr>
      <w:r w:rsidRPr="0076502E">
        <w:rPr>
          <w:rFonts w:ascii="Calibri" w:hAnsi="Calibri"/>
          <w:b/>
        </w:rPr>
        <w:t xml:space="preserve">On the Question of Standing to File a </w:t>
      </w:r>
      <w:r w:rsidRPr="0076502E">
        <w:rPr>
          <w:rFonts w:ascii="Calibri" w:hAnsi="Calibri"/>
          <w:b/>
        </w:rPr>
        <w:t>Complaint under the UDRP and URS</w:t>
      </w:r>
    </w:p>
    <w:p w14:paraId="49BA0E6E" w14:textId="77777777" w:rsidR="003903A7" w:rsidRPr="0076502E" w:rsidRDefault="003903A7">
      <w:pPr>
        <w:rPr>
          <w:rFonts w:ascii="Calibri" w:hAnsi="Calibri"/>
        </w:rPr>
      </w:pPr>
    </w:p>
    <w:p w14:paraId="01C87E50" w14:textId="77777777" w:rsidR="003903A7" w:rsidRPr="0076502E" w:rsidRDefault="00AE38E2">
      <w:pPr>
        <w:rPr>
          <w:rFonts w:ascii="Calibri" w:hAnsi="Calibri"/>
        </w:rPr>
      </w:pPr>
      <w:r w:rsidRPr="0076502E">
        <w:rPr>
          <w:rFonts w:ascii="Calibri" w:hAnsi="Calibri"/>
        </w:rPr>
        <w:t xml:space="preserve">There is general agreement that this should be treated as a purely procedural issue, resolution of which will mean an IGO is able to get “into the funnel” to file a UDRP or URS complaint. The basis for standing should not </w:t>
      </w:r>
      <w:r w:rsidRPr="0076502E">
        <w:rPr>
          <w:rFonts w:ascii="Calibri" w:hAnsi="Calibri"/>
        </w:rPr>
        <w:t xml:space="preserve">be taken to indicate or prove the nature or scope of any substantive rights that an IGO may have.  </w:t>
      </w:r>
    </w:p>
    <w:p w14:paraId="03A26934" w14:textId="77777777" w:rsidR="003903A7" w:rsidRPr="0076502E" w:rsidRDefault="003903A7">
      <w:pPr>
        <w:rPr>
          <w:rFonts w:ascii="Calibri" w:hAnsi="Calibri"/>
        </w:rPr>
      </w:pP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418"/>
        <w:gridCol w:w="3597"/>
        <w:gridCol w:w="4925"/>
      </w:tblGrid>
      <w:tr w:rsidR="003903A7" w:rsidRPr="0076502E" w14:paraId="10BB0AE4" w14:textId="77777777" w:rsidTr="0076502E">
        <w:tc>
          <w:tcPr>
            <w:tcW w:w="1707" w:type="pct"/>
            <w:shd w:val="clear" w:color="auto" w:fill="auto"/>
            <w:tcMar>
              <w:top w:w="100" w:type="dxa"/>
              <w:left w:w="100" w:type="dxa"/>
              <w:bottom w:w="100" w:type="dxa"/>
              <w:right w:w="100" w:type="dxa"/>
            </w:tcMar>
          </w:tcPr>
          <w:p w14:paraId="08AAB4D5" w14:textId="77777777" w:rsidR="003903A7" w:rsidRPr="0076502E" w:rsidRDefault="00AE38E2">
            <w:pPr>
              <w:widowControl w:val="0"/>
              <w:pBdr>
                <w:top w:val="nil"/>
                <w:left w:val="nil"/>
                <w:bottom w:val="nil"/>
                <w:right w:val="nil"/>
                <w:between w:val="nil"/>
              </w:pBdr>
              <w:spacing w:line="240" w:lineRule="auto"/>
              <w:rPr>
                <w:rFonts w:ascii="Calibri" w:hAnsi="Calibri"/>
                <w:b/>
              </w:rPr>
            </w:pPr>
            <w:r w:rsidRPr="0076502E">
              <w:rPr>
                <w:rFonts w:ascii="Calibri" w:hAnsi="Calibri"/>
                <w:b/>
              </w:rPr>
              <w:t>Option/Proposal</w:t>
            </w:r>
          </w:p>
        </w:tc>
        <w:tc>
          <w:tcPr>
            <w:tcW w:w="1390" w:type="pct"/>
            <w:shd w:val="clear" w:color="auto" w:fill="auto"/>
            <w:tcMar>
              <w:top w:w="100" w:type="dxa"/>
              <w:left w:w="100" w:type="dxa"/>
              <w:bottom w:w="100" w:type="dxa"/>
              <w:right w:w="100" w:type="dxa"/>
            </w:tcMar>
          </w:tcPr>
          <w:p w14:paraId="17E7F7AF" w14:textId="77777777" w:rsidR="003903A7" w:rsidRPr="0076502E" w:rsidRDefault="00AE38E2">
            <w:pPr>
              <w:widowControl w:val="0"/>
              <w:pBdr>
                <w:top w:val="nil"/>
                <w:left w:val="nil"/>
                <w:bottom w:val="nil"/>
                <w:right w:val="nil"/>
                <w:between w:val="nil"/>
              </w:pBdr>
              <w:spacing w:line="240" w:lineRule="auto"/>
              <w:rPr>
                <w:rFonts w:ascii="Calibri" w:hAnsi="Calibri"/>
                <w:b/>
              </w:rPr>
            </w:pPr>
            <w:r w:rsidRPr="0076502E">
              <w:rPr>
                <w:rFonts w:ascii="Calibri" w:hAnsi="Calibri"/>
                <w:b/>
              </w:rPr>
              <w:t>Advantages/Benefits</w:t>
            </w:r>
          </w:p>
        </w:tc>
        <w:tc>
          <w:tcPr>
            <w:tcW w:w="1903" w:type="pct"/>
            <w:shd w:val="clear" w:color="auto" w:fill="auto"/>
            <w:tcMar>
              <w:top w:w="100" w:type="dxa"/>
              <w:left w:w="100" w:type="dxa"/>
              <w:bottom w:w="100" w:type="dxa"/>
              <w:right w:w="100" w:type="dxa"/>
            </w:tcMar>
          </w:tcPr>
          <w:p w14:paraId="3915B484" w14:textId="77777777" w:rsidR="003903A7" w:rsidRPr="0076502E" w:rsidRDefault="00AE38E2">
            <w:pPr>
              <w:widowControl w:val="0"/>
              <w:pBdr>
                <w:top w:val="nil"/>
                <w:left w:val="nil"/>
                <w:bottom w:val="nil"/>
                <w:right w:val="nil"/>
                <w:between w:val="nil"/>
              </w:pBdr>
              <w:spacing w:line="240" w:lineRule="auto"/>
              <w:rPr>
                <w:rFonts w:ascii="Calibri" w:hAnsi="Calibri"/>
                <w:b/>
              </w:rPr>
            </w:pPr>
            <w:r w:rsidRPr="0076502E">
              <w:rPr>
                <w:rFonts w:ascii="Calibri" w:hAnsi="Calibri"/>
                <w:b/>
              </w:rPr>
              <w:t>Disadvantages/Risks</w:t>
            </w:r>
          </w:p>
        </w:tc>
      </w:tr>
      <w:tr w:rsidR="003903A7" w:rsidRPr="0076502E" w14:paraId="3E11E3DA" w14:textId="77777777" w:rsidTr="0076502E">
        <w:tc>
          <w:tcPr>
            <w:tcW w:w="1707" w:type="pct"/>
            <w:shd w:val="clear" w:color="auto" w:fill="auto"/>
            <w:tcMar>
              <w:top w:w="100" w:type="dxa"/>
              <w:left w:w="100" w:type="dxa"/>
              <w:bottom w:w="100" w:type="dxa"/>
              <w:right w:w="100" w:type="dxa"/>
            </w:tcMar>
          </w:tcPr>
          <w:p w14:paraId="729D859F" w14:textId="77777777" w:rsidR="003903A7" w:rsidRPr="0076502E" w:rsidRDefault="00AE38E2">
            <w:pPr>
              <w:widowControl w:val="0"/>
              <w:pBdr>
                <w:top w:val="nil"/>
                <w:left w:val="nil"/>
                <w:bottom w:val="nil"/>
                <w:right w:val="nil"/>
                <w:between w:val="nil"/>
              </w:pBdr>
              <w:spacing w:line="240" w:lineRule="auto"/>
              <w:rPr>
                <w:rFonts w:ascii="Calibri" w:hAnsi="Calibri"/>
              </w:rPr>
            </w:pPr>
            <w:r w:rsidRPr="0076502E">
              <w:rPr>
                <w:rFonts w:ascii="Calibri" w:hAnsi="Calibri"/>
              </w:rPr>
              <w:t>Standing based on the fact that the IGO has followed the Notification Procedure under Article 6ter of the Paris Convention for the Protection of Industrial Property</w:t>
            </w:r>
            <w:r w:rsidRPr="0076502E">
              <w:rPr>
                <w:rFonts w:ascii="Calibri" w:hAnsi="Calibri"/>
                <w:vertAlign w:val="superscript"/>
              </w:rPr>
              <w:footnoteReference w:id="1"/>
            </w:r>
          </w:p>
        </w:tc>
        <w:tc>
          <w:tcPr>
            <w:tcW w:w="1390" w:type="pct"/>
            <w:shd w:val="clear" w:color="auto" w:fill="auto"/>
            <w:tcMar>
              <w:top w:w="100" w:type="dxa"/>
              <w:left w:w="100" w:type="dxa"/>
              <w:bottom w:w="100" w:type="dxa"/>
              <w:right w:w="100" w:type="dxa"/>
            </w:tcMar>
          </w:tcPr>
          <w:p w14:paraId="201C18D4" w14:textId="77777777" w:rsidR="003903A7" w:rsidRPr="0076502E" w:rsidRDefault="00AE38E2">
            <w:pPr>
              <w:widowControl w:val="0"/>
              <w:numPr>
                <w:ilvl w:val="0"/>
                <w:numId w:val="8"/>
              </w:numPr>
              <w:pBdr>
                <w:top w:val="nil"/>
                <w:left w:val="nil"/>
                <w:bottom w:val="nil"/>
                <w:right w:val="nil"/>
                <w:between w:val="nil"/>
              </w:pBdr>
              <w:spacing w:line="240" w:lineRule="auto"/>
              <w:rPr>
                <w:rFonts w:ascii="Calibri" w:hAnsi="Calibri"/>
              </w:rPr>
            </w:pPr>
            <w:r w:rsidRPr="0076502E">
              <w:rPr>
                <w:rFonts w:ascii="Calibri" w:hAnsi="Calibri"/>
              </w:rPr>
              <w:t>Standing is based on protections afforded by an international treaty</w:t>
            </w:r>
          </w:p>
          <w:p w14:paraId="70F13E6D" w14:textId="77777777" w:rsidR="003903A7" w:rsidRPr="0076502E" w:rsidRDefault="00AE38E2">
            <w:pPr>
              <w:widowControl w:val="0"/>
              <w:numPr>
                <w:ilvl w:val="0"/>
                <w:numId w:val="8"/>
              </w:numPr>
              <w:pBdr>
                <w:top w:val="nil"/>
                <w:left w:val="nil"/>
                <w:bottom w:val="nil"/>
                <w:right w:val="nil"/>
                <w:between w:val="nil"/>
              </w:pBdr>
              <w:spacing w:line="240" w:lineRule="auto"/>
              <w:rPr>
                <w:rFonts w:ascii="Calibri" w:hAnsi="Calibri"/>
              </w:rPr>
            </w:pPr>
            <w:proofErr w:type="gramStart"/>
            <w:r w:rsidRPr="0076502E">
              <w:rPr>
                <w:rFonts w:ascii="Calibri" w:hAnsi="Calibri"/>
              </w:rPr>
              <w:t>Clear</w:t>
            </w:r>
            <w:proofErr w:type="gramEnd"/>
            <w:r w:rsidRPr="0076502E">
              <w:rPr>
                <w:rFonts w:ascii="Calibri" w:hAnsi="Calibri"/>
              </w:rPr>
              <w:t xml:space="preserve"> documented evi</w:t>
            </w:r>
            <w:r w:rsidRPr="0076502E">
              <w:rPr>
                <w:rFonts w:ascii="Calibri" w:hAnsi="Calibri"/>
              </w:rPr>
              <w:t>dence available (via search of the WIPO database, updated twice yearly)</w:t>
            </w:r>
          </w:p>
          <w:p w14:paraId="71F4CB63" w14:textId="77777777" w:rsidR="003903A7" w:rsidRPr="0076502E" w:rsidRDefault="00AE38E2">
            <w:pPr>
              <w:widowControl w:val="0"/>
              <w:numPr>
                <w:ilvl w:val="0"/>
                <w:numId w:val="8"/>
              </w:numPr>
              <w:pBdr>
                <w:top w:val="nil"/>
                <w:left w:val="nil"/>
                <w:bottom w:val="nil"/>
                <w:right w:val="nil"/>
                <w:between w:val="nil"/>
              </w:pBdr>
              <w:spacing w:line="240" w:lineRule="auto"/>
              <w:rPr>
                <w:rFonts w:ascii="Calibri" w:hAnsi="Calibri"/>
              </w:rPr>
            </w:pPr>
            <w:r w:rsidRPr="0076502E">
              <w:rPr>
                <w:rFonts w:ascii="Calibri" w:hAnsi="Calibri"/>
              </w:rPr>
              <w:t>Does not require discretion or judgment on the part of the panelist or ICANN</w:t>
            </w:r>
          </w:p>
        </w:tc>
        <w:tc>
          <w:tcPr>
            <w:tcW w:w="1903" w:type="pct"/>
            <w:shd w:val="clear" w:color="auto" w:fill="auto"/>
            <w:tcMar>
              <w:top w:w="100" w:type="dxa"/>
              <w:left w:w="100" w:type="dxa"/>
              <w:bottom w:w="100" w:type="dxa"/>
              <w:right w:w="100" w:type="dxa"/>
            </w:tcMar>
          </w:tcPr>
          <w:p w14:paraId="572B9577" w14:textId="77777777" w:rsidR="003903A7" w:rsidRPr="0076502E" w:rsidRDefault="00AE38E2">
            <w:pPr>
              <w:widowControl w:val="0"/>
              <w:numPr>
                <w:ilvl w:val="0"/>
                <w:numId w:val="7"/>
              </w:numPr>
              <w:pBdr>
                <w:top w:val="nil"/>
                <w:left w:val="nil"/>
                <w:bottom w:val="nil"/>
                <w:right w:val="nil"/>
                <w:between w:val="nil"/>
              </w:pBdr>
              <w:spacing w:line="240" w:lineRule="auto"/>
              <w:rPr>
                <w:rFonts w:ascii="Calibri" w:hAnsi="Calibri"/>
              </w:rPr>
            </w:pPr>
            <w:r w:rsidRPr="0076502E">
              <w:rPr>
                <w:rFonts w:ascii="Calibri" w:hAnsi="Calibri"/>
              </w:rPr>
              <w:t>Article 6ter does not confer substantive rights, unlike a trademark registration</w:t>
            </w:r>
          </w:p>
        </w:tc>
      </w:tr>
      <w:tr w:rsidR="003903A7" w:rsidRPr="0076502E" w14:paraId="1057CCF9" w14:textId="77777777" w:rsidTr="0076502E">
        <w:tc>
          <w:tcPr>
            <w:tcW w:w="1707" w:type="pct"/>
            <w:shd w:val="clear" w:color="auto" w:fill="auto"/>
            <w:tcMar>
              <w:top w:w="100" w:type="dxa"/>
              <w:left w:w="100" w:type="dxa"/>
              <w:bottom w:w="100" w:type="dxa"/>
              <w:right w:w="100" w:type="dxa"/>
            </w:tcMar>
          </w:tcPr>
          <w:p w14:paraId="4F5EF211" w14:textId="77777777" w:rsidR="003903A7" w:rsidRPr="0076502E" w:rsidRDefault="00AE38E2">
            <w:pPr>
              <w:widowControl w:val="0"/>
              <w:pBdr>
                <w:top w:val="nil"/>
                <w:left w:val="nil"/>
                <w:bottom w:val="nil"/>
                <w:right w:val="nil"/>
                <w:between w:val="nil"/>
              </w:pBdr>
              <w:spacing w:line="240" w:lineRule="auto"/>
              <w:rPr>
                <w:rFonts w:ascii="Calibri" w:hAnsi="Calibri"/>
              </w:rPr>
            </w:pPr>
            <w:r w:rsidRPr="0076502E">
              <w:rPr>
                <w:rFonts w:ascii="Calibri" w:hAnsi="Calibri"/>
              </w:rPr>
              <w:t>Standing based on the fact that the IGO is on the GAC list</w:t>
            </w:r>
            <w:r w:rsidRPr="0076502E">
              <w:rPr>
                <w:rFonts w:ascii="Calibri" w:hAnsi="Calibri"/>
                <w:vertAlign w:val="superscript"/>
              </w:rPr>
              <w:footnoteReference w:id="2"/>
            </w:r>
            <w:r w:rsidRPr="0076502E">
              <w:rPr>
                <w:rFonts w:ascii="Calibri" w:hAnsi="Calibri"/>
              </w:rPr>
              <w:t xml:space="preserve"> (prepared in 2013 and updated periodically by the GAC)</w:t>
            </w:r>
          </w:p>
        </w:tc>
        <w:tc>
          <w:tcPr>
            <w:tcW w:w="1390" w:type="pct"/>
            <w:shd w:val="clear" w:color="auto" w:fill="auto"/>
            <w:tcMar>
              <w:top w:w="100" w:type="dxa"/>
              <w:left w:w="100" w:type="dxa"/>
              <w:bottom w:w="100" w:type="dxa"/>
              <w:right w:w="100" w:type="dxa"/>
            </w:tcMar>
          </w:tcPr>
          <w:p w14:paraId="08796825" w14:textId="77777777" w:rsidR="003903A7" w:rsidRPr="0076502E" w:rsidRDefault="00AE38E2">
            <w:pPr>
              <w:widowControl w:val="0"/>
              <w:numPr>
                <w:ilvl w:val="0"/>
                <w:numId w:val="15"/>
              </w:numPr>
              <w:pBdr>
                <w:top w:val="nil"/>
                <w:left w:val="nil"/>
                <w:bottom w:val="nil"/>
                <w:right w:val="nil"/>
                <w:between w:val="nil"/>
              </w:pBdr>
              <w:spacing w:line="240" w:lineRule="auto"/>
              <w:rPr>
                <w:rFonts w:ascii="Calibri" w:hAnsi="Calibri"/>
              </w:rPr>
            </w:pPr>
            <w:r w:rsidRPr="0076502E">
              <w:rPr>
                <w:rFonts w:ascii="Calibri" w:hAnsi="Calibri"/>
              </w:rPr>
              <w:t>List criteria: IGO created by treaty and has international legal personality</w:t>
            </w:r>
          </w:p>
        </w:tc>
        <w:tc>
          <w:tcPr>
            <w:tcW w:w="1903" w:type="pct"/>
            <w:shd w:val="clear" w:color="auto" w:fill="auto"/>
            <w:tcMar>
              <w:top w:w="100" w:type="dxa"/>
              <w:left w:w="100" w:type="dxa"/>
              <w:bottom w:w="100" w:type="dxa"/>
              <w:right w:w="100" w:type="dxa"/>
            </w:tcMar>
          </w:tcPr>
          <w:p w14:paraId="349D117C" w14:textId="77777777" w:rsidR="003903A7" w:rsidRPr="0076502E" w:rsidRDefault="00AE38E2">
            <w:pPr>
              <w:widowControl w:val="0"/>
              <w:numPr>
                <w:ilvl w:val="0"/>
                <w:numId w:val="9"/>
              </w:numPr>
              <w:pBdr>
                <w:top w:val="nil"/>
                <w:left w:val="nil"/>
                <w:bottom w:val="nil"/>
                <w:right w:val="nil"/>
                <w:between w:val="nil"/>
              </w:pBdr>
              <w:spacing w:line="240" w:lineRule="auto"/>
              <w:rPr>
                <w:rFonts w:ascii="Calibri" w:hAnsi="Calibri"/>
              </w:rPr>
            </w:pPr>
            <w:r w:rsidRPr="0076502E">
              <w:rPr>
                <w:rFonts w:ascii="Calibri" w:hAnsi="Calibri"/>
              </w:rPr>
              <w:t>Need clarity from GAC as to completeness and accuracy of the list</w:t>
            </w:r>
          </w:p>
          <w:p w14:paraId="08B484D0" w14:textId="77777777" w:rsidR="003903A7" w:rsidRPr="0076502E" w:rsidRDefault="00AE38E2">
            <w:pPr>
              <w:widowControl w:val="0"/>
              <w:numPr>
                <w:ilvl w:val="0"/>
                <w:numId w:val="9"/>
              </w:numPr>
              <w:pBdr>
                <w:top w:val="nil"/>
                <w:left w:val="nil"/>
                <w:bottom w:val="nil"/>
                <w:right w:val="nil"/>
                <w:between w:val="nil"/>
              </w:pBdr>
              <w:spacing w:line="240" w:lineRule="auto"/>
              <w:rPr>
                <w:rFonts w:ascii="Calibri" w:hAnsi="Calibri"/>
              </w:rPr>
            </w:pPr>
            <w:r w:rsidRPr="0076502E">
              <w:rPr>
                <w:rFonts w:ascii="Calibri" w:hAnsi="Calibri"/>
              </w:rPr>
              <w:t>GAC currently has no mechanism to update or verify the list regularly</w:t>
            </w:r>
          </w:p>
        </w:tc>
      </w:tr>
      <w:tr w:rsidR="003903A7" w:rsidRPr="0076502E" w14:paraId="0B4C7AFA" w14:textId="77777777" w:rsidTr="0076502E">
        <w:tc>
          <w:tcPr>
            <w:tcW w:w="1707" w:type="pct"/>
            <w:shd w:val="clear" w:color="auto" w:fill="auto"/>
            <w:tcMar>
              <w:top w:w="100" w:type="dxa"/>
              <w:left w:w="100" w:type="dxa"/>
              <w:bottom w:w="100" w:type="dxa"/>
              <w:right w:w="100" w:type="dxa"/>
            </w:tcMar>
          </w:tcPr>
          <w:p w14:paraId="135F22C8" w14:textId="77777777" w:rsidR="003903A7" w:rsidRPr="0076502E" w:rsidRDefault="00AE38E2">
            <w:pPr>
              <w:widowControl w:val="0"/>
              <w:pBdr>
                <w:top w:val="nil"/>
                <w:left w:val="nil"/>
                <w:bottom w:val="nil"/>
                <w:right w:val="nil"/>
                <w:between w:val="nil"/>
              </w:pBdr>
              <w:spacing w:line="240" w:lineRule="auto"/>
              <w:rPr>
                <w:rFonts w:ascii="Calibri" w:hAnsi="Calibri"/>
              </w:rPr>
            </w:pPr>
            <w:r w:rsidRPr="0076502E">
              <w:rPr>
                <w:rFonts w:ascii="Calibri" w:hAnsi="Calibri"/>
              </w:rPr>
              <w:t>Standing based on the fact that the IGO is in the WIPO International Bureau 6ter database</w:t>
            </w:r>
          </w:p>
        </w:tc>
        <w:tc>
          <w:tcPr>
            <w:tcW w:w="1390" w:type="pct"/>
            <w:shd w:val="clear" w:color="auto" w:fill="auto"/>
            <w:tcMar>
              <w:top w:w="100" w:type="dxa"/>
              <w:left w:w="100" w:type="dxa"/>
              <w:bottom w:w="100" w:type="dxa"/>
              <w:right w:w="100" w:type="dxa"/>
            </w:tcMar>
          </w:tcPr>
          <w:p w14:paraId="43C62095" w14:textId="77777777" w:rsidR="003903A7" w:rsidRPr="0076502E" w:rsidRDefault="00AE38E2">
            <w:pPr>
              <w:widowControl w:val="0"/>
              <w:numPr>
                <w:ilvl w:val="0"/>
                <w:numId w:val="6"/>
              </w:numPr>
              <w:pBdr>
                <w:top w:val="nil"/>
                <w:left w:val="nil"/>
                <w:bottom w:val="nil"/>
                <w:right w:val="nil"/>
                <w:between w:val="nil"/>
              </w:pBdr>
              <w:spacing w:line="240" w:lineRule="auto"/>
              <w:rPr>
                <w:rFonts w:ascii="Calibri" w:hAnsi="Calibri"/>
              </w:rPr>
            </w:pPr>
            <w:r w:rsidRPr="0076502E">
              <w:rPr>
                <w:rFonts w:ascii="Calibri" w:hAnsi="Calibri"/>
              </w:rPr>
              <w:t xml:space="preserve">Searchable database containing IGOs who have </w:t>
            </w:r>
            <w:r w:rsidRPr="0076502E">
              <w:rPr>
                <w:rFonts w:ascii="Calibri" w:hAnsi="Calibri"/>
              </w:rPr>
              <w:lastRenderedPageBreak/>
              <w:t>complied with the Notification Procedure</w:t>
            </w:r>
          </w:p>
        </w:tc>
        <w:tc>
          <w:tcPr>
            <w:tcW w:w="1903" w:type="pct"/>
            <w:shd w:val="clear" w:color="auto" w:fill="auto"/>
            <w:tcMar>
              <w:top w:w="100" w:type="dxa"/>
              <w:left w:w="100" w:type="dxa"/>
              <w:bottom w:w="100" w:type="dxa"/>
              <w:right w:w="100" w:type="dxa"/>
            </w:tcMar>
          </w:tcPr>
          <w:p w14:paraId="22DCCA60" w14:textId="77777777" w:rsidR="003903A7" w:rsidRPr="0076502E" w:rsidRDefault="00AE38E2">
            <w:pPr>
              <w:widowControl w:val="0"/>
              <w:numPr>
                <w:ilvl w:val="0"/>
                <w:numId w:val="12"/>
              </w:numPr>
              <w:pBdr>
                <w:top w:val="nil"/>
                <w:left w:val="nil"/>
                <w:bottom w:val="nil"/>
                <w:right w:val="nil"/>
                <w:between w:val="nil"/>
              </w:pBdr>
              <w:spacing w:line="240" w:lineRule="auto"/>
              <w:rPr>
                <w:rFonts w:ascii="Calibri" w:hAnsi="Calibri"/>
              </w:rPr>
            </w:pPr>
            <w:r w:rsidRPr="0076502E">
              <w:rPr>
                <w:rFonts w:ascii="Calibri" w:hAnsi="Calibri"/>
              </w:rPr>
              <w:lastRenderedPageBreak/>
              <w:t xml:space="preserve">Unclear why this will be preferable (or different from) requiring that the IGO has </w:t>
            </w:r>
            <w:r w:rsidRPr="0076502E">
              <w:rPr>
                <w:rFonts w:ascii="Calibri" w:hAnsi="Calibri"/>
              </w:rPr>
              <w:lastRenderedPageBreak/>
              <w:t>followed the Notification Procedure, as demonstrated by a search of the database</w:t>
            </w:r>
          </w:p>
        </w:tc>
      </w:tr>
      <w:tr w:rsidR="003903A7" w:rsidRPr="0076502E" w14:paraId="08B09E0E" w14:textId="77777777" w:rsidTr="0076502E">
        <w:tc>
          <w:tcPr>
            <w:tcW w:w="1707" w:type="pct"/>
            <w:shd w:val="clear" w:color="auto" w:fill="auto"/>
            <w:tcMar>
              <w:top w:w="100" w:type="dxa"/>
              <w:left w:w="100" w:type="dxa"/>
              <w:bottom w:w="100" w:type="dxa"/>
              <w:right w:w="100" w:type="dxa"/>
            </w:tcMar>
          </w:tcPr>
          <w:p w14:paraId="101681D8" w14:textId="74AAAD31" w:rsidR="003903A7" w:rsidRDefault="00AE38E2">
            <w:pPr>
              <w:widowControl w:val="0"/>
              <w:pBdr>
                <w:top w:val="nil"/>
                <w:left w:val="nil"/>
                <w:bottom w:val="nil"/>
                <w:right w:val="nil"/>
                <w:between w:val="nil"/>
              </w:pBdr>
              <w:spacing w:line="240" w:lineRule="auto"/>
              <w:rPr>
                <w:rFonts w:ascii="Calibri" w:hAnsi="Calibri"/>
              </w:rPr>
            </w:pPr>
            <w:r w:rsidRPr="0076502E">
              <w:rPr>
                <w:rFonts w:ascii="Calibri" w:hAnsi="Calibri"/>
              </w:rPr>
              <w:lastRenderedPageBreak/>
              <w:t>OTHER SUGGESTIONS:</w:t>
            </w:r>
          </w:p>
          <w:p w14:paraId="52C333A0" w14:textId="77777777" w:rsidR="0076502E" w:rsidRPr="0076502E" w:rsidRDefault="0076502E">
            <w:pPr>
              <w:widowControl w:val="0"/>
              <w:pBdr>
                <w:top w:val="nil"/>
                <w:left w:val="nil"/>
                <w:bottom w:val="nil"/>
                <w:right w:val="nil"/>
                <w:between w:val="nil"/>
              </w:pBdr>
              <w:spacing w:line="240" w:lineRule="auto"/>
              <w:rPr>
                <w:rFonts w:ascii="Calibri" w:hAnsi="Calibri"/>
              </w:rPr>
            </w:pPr>
          </w:p>
          <w:p w14:paraId="14A8FD94" w14:textId="77777777" w:rsidR="003903A7" w:rsidRDefault="003903A7">
            <w:pPr>
              <w:widowControl w:val="0"/>
              <w:pBdr>
                <w:top w:val="nil"/>
                <w:left w:val="nil"/>
                <w:bottom w:val="nil"/>
                <w:right w:val="nil"/>
                <w:between w:val="nil"/>
              </w:pBdr>
              <w:spacing w:line="240" w:lineRule="auto"/>
              <w:rPr>
                <w:rFonts w:ascii="Calibri" w:hAnsi="Calibri"/>
              </w:rPr>
            </w:pPr>
          </w:p>
          <w:p w14:paraId="619CC9D5" w14:textId="77777777" w:rsidR="0076502E" w:rsidRDefault="0076502E">
            <w:pPr>
              <w:widowControl w:val="0"/>
              <w:pBdr>
                <w:top w:val="nil"/>
                <w:left w:val="nil"/>
                <w:bottom w:val="nil"/>
                <w:right w:val="nil"/>
                <w:between w:val="nil"/>
              </w:pBdr>
              <w:spacing w:line="240" w:lineRule="auto"/>
              <w:rPr>
                <w:rFonts w:ascii="Calibri" w:hAnsi="Calibri"/>
              </w:rPr>
            </w:pPr>
          </w:p>
          <w:p w14:paraId="4A7FF7B6" w14:textId="3214C380" w:rsidR="0076502E" w:rsidRPr="0076502E" w:rsidRDefault="0076502E">
            <w:pPr>
              <w:widowControl w:val="0"/>
              <w:pBdr>
                <w:top w:val="nil"/>
                <w:left w:val="nil"/>
                <w:bottom w:val="nil"/>
                <w:right w:val="nil"/>
                <w:between w:val="nil"/>
              </w:pBdr>
              <w:spacing w:line="240" w:lineRule="auto"/>
              <w:rPr>
                <w:rFonts w:ascii="Calibri" w:hAnsi="Calibri"/>
              </w:rPr>
            </w:pPr>
          </w:p>
        </w:tc>
        <w:tc>
          <w:tcPr>
            <w:tcW w:w="1390" w:type="pct"/>
            <w:shd w:val="clear" w:color="auto" w:fill="auto"/>
            <w:tcMar>
              <w:top w:w="100" w:type="dxa"/>
              <w:left w:w="100" w:type="dxa"/>
              <w:bottom w:w="100" w:type="dxa"/>
              <w:right w:w="100" w:type="dxa"/>
            </w:tcMar>
          </w:tcPr>
          <w:p w14:paraId="2A4EDC75" w14:textId="77777777" w:rsidR="003903A7" w:rsidRPr="0076502E" w:rsidRDefault="003903A7">
            <w:pPr>
              <w:widowControl w:val="0"/>
              <w:pBdr>
                <w:top w:val="nil"/>
                <w:left w:val="nil"/>
                <w:bottom w:val="nil"/>
                <w:right w:val="nil"/>
                <w:between w:val="nil"/>
              </w:pBdr>
              <w:spacing w:line="240" w:lineRule="auto"/>
              <w:ind w:left="720" w:hanging="360"/>
              <w:rPr>
                <w:rFonts w:ascii="Calibri" w:hAnsi="Calibri"/>
              </w:rPr>
            </w:pPr>
          </w:p>
        </w:tc>
        <w:tc>
          <w:tcPr>
            <w:tcW w:w="1903" w:type="pct"/>
            <w:shd w:val="clear" w:color="auto" w:fill="auto"/>
            <w:tcMar>
              <w:top w:w="100" w:type="dxa"/>
              <w:left w:w="100" w:type="dxa"/>
              <w:bottom w:w="100" w:type="dxa"/>
              <w:right w:w="100" w:type="dxa"/>
            </w:tcMar>
          </w:tcPr>
          <w:p w14:paraId="2E6C3817" w14:textId="77777777" w:rsidR="003903A7" w:rsidRPr="0076502E" w:rsidRDefault="003903A7">
            <w:pPr>
              <w:widowControl w:val="0"/>
              <w:pBdr>
                <w:top w:val="nil"/>
                <w:left w:val="nil"/>
                <w:bottom w:val="nil"/>
                <w:right w:val="nil"/>
                <w:between w:val="nil"/>
              </w:pBdr>
              <w:spacing w:line="240" w:lineRule="auto"/>
              <w:ind w:left="720" w:hanging="360"/>
              <w:rPr>
                <w:rFonts w:ascii="Calibri" w:hAnsi="Calibri"/>
              </w:rPr>
            </w:pPr>
          </w:p>
        </w:tc>
      </w:tr>
    </w:tbl>
    <w:p w14:paraId="3A7E7719" w14:textId="77777777" w:rsidR="003903A7" w:rsidRPr="0076502E" w:rsidRDefault="003903A7">
      <w:pPr>
        <w:rPr>
          <w:rFonts w:ascii="Calibri" w:hAnsi="Calibri"/>
        </w:rPr>
      </w:pPr>
    </w:p>
    <w:p w14:paraId="20ABD007" w14:textId="77777777" w:rsidR="003903A7" w:rsidRPr="0076502E" w:rsidRDefault="00AE38E2">
      <w:pPr>
        <w:rPr>
          <w:rFonts w:ascii="Calibri" w:hAnsi="Calibri"/>
        </w:rPr>
      </w:pPr>
      <w:r w:rsidRPr="0076502E">
        <w:rPr>
          <w:rFonts w:ascii="Calibri" w:hAnsi="Calibri"/>
        </w:rPr>
        <w:t>Notes:</w:t>
      </w:r>
    </w:p>
    <w:p w14:paraId="7A585D21" w14:textId="77777777" w:rsidR="003903A7" w:rsidRPr="0076502E" w:rsidRDefault="00AE38E2">
      <w:pPr>
        <w:numPr>
          <w:ilvl w:val="0"/>
          <w:numId w:val="2"/>
        </w:numPr>
        <w:rPr>
          <w:rFonts w:ascii="Calibri" w:hAnsi="Calibri"/>
        </w:rPr>
      </w:pPr>
      <w:r w:rsidRPr="0076502E">
        <w:rPr>
          <w:rFonts w:ascii="Calibri" w:hAnsi="Calibri"/>
        </w:rPr>
        <w:t xml:space="preserve">As standing will be treated as a purely procedural matter, the IGO will still have to go on to prove that the registrant does not have rights or legitimate interests in the disputed domain </w:t>
      </w:r>
      <w:proofErr w:type="gramStart"/>
      <w:r w:rsidRPr="0076502E">
        <w:rPr>
          <w:rFonts w:ascii="Calibri" w:hAnsi="Calibri"/>
        </w:rPr>
        <w:t>name, and</w:t>
      </w:r>
      <w:proofErr w:type="gramEnd"/>
      <w:r w:rsidRPr="0076502E">
        <w:rPr>
          <w:rFonts w:ascii="Calibri" w:hAnsi="Calibri"/>
        </w:rPr>
        <w:t xml:space="preserve"> has registered and used it in bad faith</w:t>
      </w:r>
      <w:r w:rsidRPr="0076502E">
        <w:rPr>
          <w:rFonts w:ascii="Calibri" w:hAnsi="Calibri"/>
          <w:vertAlign w:val="superscript"/>
        </w:rPr>
        <w:footnoteReference w:id="3"/>
      </w:r>
      <w:r w:rsidRPr="0076502E">
        <w:rPr>
          <w:rFonts w:ascii="Calibri" w:hAnsi="Calibri"/>
        </w:rPr>
        <w:t>.</w:t>
      </w:r>
    </w:p>
    <w:p w14:paraId="2AF9AADC" w14:textId="77777777" w:rsidR="003903A7" w:rsidRPr="0076502E" w:rsidRDefault="00AE38E2">
      <w:pPr>
        <w:numPr>
          <w:ilvl w:val="0"/>
          <w:numId w:val="2"/>
        </w:numPr>
        <w:rPr>
          <w:rFonts w:ascii="Calibri" w:hAnsi="Calibri"/>
        </w:rPr>
      </w:pPr>
      <w:r w:rsidRPr="0076502E">
        <w:rPr>
          <w:rFonts w:ascii="Calibri" w:hAnsi="Calibri"/>
        </w:rPr>
        <w:t>All other (inc</w:t>
      </w:r>
      <w:r w:rsidRPr="0076502E">
        <w:rPr>
          <w:rFonts w:ascii="Calibri" w:hAnsi="Calibri"/>
        </w:rPr>
        <w:t>luding procedural) requirements of the UDRP and URS will also need to be satisfied.</w:t>
      </w:r>
    </w:p>
    <w:p w14:paraId="471C74BE" w14:textId="77777777" w:rsidR="003903A7" w:rsidRPr="0076502E" w:rsidRDefault="003903A7">
      <w:pPr>
        <w:rPr>
          <w:rFonts w:ascii="Calibri" w:hAnsi="Calibri"/>
        </w:rPr>
      </w:pPr>
    </w:p>
    <w:p w14:paraId="29B7670E" w14:textId="77777777" w:rsidR="003903A7" w:rsidRPr="0076502E" w:rsidRDefault="00AE38E2">
      <w:pPr>
        <w:numPr>
          <w:ilvl w:val="0"/>
          <w:numId w:val="3"/>
        </w:numPr>
        <w:rPr>
          <w:rFonts w:ascii="Calibri" w:hAnsi="Calibri"/>
          <w:b/>
        </w:rPr>
      </w:pPr>
      <w:r w:rsidRPr="0076502E">
        <w:rPr>
          <w:rFonts w:ascii="Calibri" w:hAnsi="Calibri"/>
          <w:b/>
        </w:rPr>
        <w:t>On the Question of Jurisdictional Immunity</w:t>
      </w:r>
    </w:p>
    <w:p w14:paraId="7BF9493E" w14:textId="77777777" w:rsidR="003903A7" w:rsidRPr="0076502E" w:rsidRDefault="003903A7">
      <w:pPr>
        <w:rPr>
          <w:rFonts w:ascii="Calibri" w:hAnsi="Calibri"/>
        </w:rPr>
      </w:pPr>
    </w:p>
    <w:p w14:paraId="257BC277" w14:textId="77777777" w:rsidR="003903A7" w:rsidRPr="0076502E" w:rsidRDefault="00AE38E2">
      <w:pPr>
        <w:rPr>
          <w:rFonts w:ascii="Calibri" w:hAnsi="Calibri"/>
        </w:rPr>
      </w:pPr>
      <w:r w:rsidRPr="0076502E">
        <w:rPr>
          <w:rFonts w:ascii="Calibri" w:hAnsi="Calibri"/>
        </w:rPr>
        <w:t>The Work Track plans to move on to discuss this topic after completing its work on standing. Some of the options that the Work Track may wish to consider could be viewed as potentially inconsistent with Curative Rights Recommendations 1-4. This will involv</w:t>
      </w:r>
      <w:r w:rsidRPr="0076502E">
        <w:rPr>
          <w:rFonts w:ascii="Calibri" w:hAnsi="Calibri"/>
        </w:rPr>
        <w:t>e consulting the GNSO Council to determine if the Council wishes the Work Track to continue with its work, including possibly reviewing any limitations created by the Council’s original directions.</w:t>
      </w:r>
    </w:p>
    <w:p w14:paraId="17E01B49" w14:textId="77777777" w:rsidR="003903A7" w:rsidRPr="0076502E" w:rsidRDefault="003903A7">
      <w:pPr>
        <w:rPr>
          <w:rFonts w:ascii="Calibri" w:hAnsi="Calibri"/>
        </w:rPr>
      </w:pP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314"/>
        <w:gridCol w:w="4314"/>
        <w:gridCol w:w="4312"/>
      </w:tblGrid>
      <w:tr w:rsidR="003903A7" w:rsidRPr="0076502E" w14:paraId="6681487F" w14:textId="77777777" w:rsidTr="0076502E">
        <w:tc>
          <w:tcPr>
            <w:tcW w:w="1667" w:type="pct"/>
            <w:shd w:val="clear" w:color="auto" w:fill="auto"/>
            <w:tcMar>
              <w:top w:w="100" w:type="dxa"/>
              <w:left w:w="100" w:type="dxa"/>
              <w:bottom w:w="100" w:type="dxa"/>
              <w:right w:w="100" w:type="dxa"/>
            </w:tcMar>
          </w:tcPr>
          <w:p w14:paraId="0B838103" w14:textId="77777777" w:rsidR="003903A7" w:rsidRPr="0076502E" w:rsidRDefault="00AE38E2">
            <w:pPr>
              <w:widowControl w:val="0"/>
              <w:pBdr>
                <w:top w:val="nil"/>
                <w:left w:val="nil"/>
                <w:bottom w:val="nil"/>
                <w:right w:val="nil"/>
                <w:between w:val="nil"/>
              </w:pBdr>
              <w:spacing w:line="240" w:lineRule="auto"/>
              <w:rPr>
                <w:rFonts w:ascii="Calibri" w:hAnsi="Calibri"/>
                <w:b/>
              </w:rPr>
            </w:pPr>
            <w:r w:rsidRPr="0076502E">
              <w:rPr>
                <w:rFonts w:ascii="Calibri" w:hAnsi="Calibri"/>
                <w:b/>
              </w:rPr>
              <w:t>Option/Proposal</w:t>
            </w:r>
          </w:p>
        </w:tc>
        <w:tc>
          <w:tcPr>
            <w:tcW w:w="1667" w:type="pct"/>
            <w:shd w:val="clear" w:color="auto" w:fill="auto"/>
            <w:tcMar>
              <w:top w:w="100" w:type="dxa"/>
              <w:left w:w="100" w:type="dxa"/>
              <w:bottom w:w="100" w:type="dxa"/>
              <w:right w:w="100" w:type="dxa"/>
            </w:tcMar>
          </w:tcPr>
          <w:p w14:paraId="4EF8FA20" w14:textId="77777777" w:rsidR="003903A7" w:rsidRPr="0076502E" w:rsidRDefault="00AE38E2">
            <w:pPr>
              <w:widowControl w:val="0"/>
              <w:pBdr>
                <w:top w:val="nil"/>
                <w:left w:val="nil"/>
                <w:bottom w:val="nil"/>
                <w:right w:val="nil"/>
                <w:between w:val="nil"/>
              </w:pBdr>
              <w:spacing w:line="240" w:lineRule="auto"/>
              <w:rPr>
                <w:rFonts w:ascii="Calibri" w:hAnsi="Calibri"/>
                <w:b/>
              </w:rPr>
            </w:pPr>
            <w:r w:rsidRPr="0076502E">
              <w:rPr>
                <w:rFonts w:ascii="Calibri" w:hAnsi="Calibri"/>
                <w:b/>
              </w:rPr>
              <w:t>Advantages/Benefits</w:t>
            </w:r>
          </w:p>
        </w:tc>
        <w:tc>
          <w:tcPr>
            <w:tcW w:w="1667" w:type="pct"/>
            <w:shd w:val="clear" w:color="auto" w:fill="auto"/>
            <w:tcMar>
              <w:top w:w="100" w:type="dxa"/>
              <w:left w:w="100" w:type="dxa"/>
              <w:bottom w:w="100" w:type="dxa"/>
              <w:right w:w="100" w:type="dxa"/>
            </w:tcMar>
          </w:tcPr>
          <w:p w14:paraId="40A073A5" w14:textId="77777777" w:rsidR="003903A7" w:rsidRPr="0076502E" w:rsidRDefault="00AE38E2">
            <w:pPr>
              <w:widowControl w:val="0"/>
              <w:pBdr>
                <w:top w:val="nil"/>
                <w:left w:val="nil"/>
                <w:bottom w:val="nil"/>
                <w:right w:val="nil"/>
                <w:between w:val="nil"/>
              </w:pBdr>
              <w:spacing w:line="240" w:lineRule="auto"/>
              <w:rPr>
                <w:rFonts w:ascii="Calibri" w:hAnsi="Calibri"/>
                <w:b/>
              </w:rPr>
            </w:pPr>
            <w:r w:rsidRPr="0076502E">
              <w:rPr>
                <w:rFonts w:ascii="Calibri" w:hAnsi="Calibri"/>
                <w:b/>
              </w:rPr>
              <w:t>Disadvantages/Risks</w:t>
            </w:r>
          </w:p>
        </w:tc>
      </w:tr>
      <w:tr w:rsidR="003903A7" w:rsidRPr="0076502E" w14:paraId="3C401B11" w14:textId="77777777" w:rsidTr="0076502E">
        <w:tc>
          <w:tcPr>
            <w:tcW w:w="1667" w:type="pct"/>
            <w:shd w:val="clear" w:color="auto" w:fill="auto"/>
            <w:tcMar>
              <w:top w:w="100" w:type="dxa"/>
              <w:left w:w="100" w:type="dxa"/>
              <w:bottom w:w="100" w:type="dxa"/>
              <w:right w:w="100" w:type="dxa"/>
            </w:tcMar>
          </w:tcPr>
          <w:p w14:paraId="08C71BE3" w14:textId="77777777" w:rsidR="003903A7" w:rsidRPr="0076502E" w:rsidRDefault="00AE38E2">
            <w:pPr>
              <w:widowControl w:val="0"/>
              <w:pBdr>
                <w:top w:val="nil"/>
                <w:left w:val="nil"/>
                <w:bottom w:val="nil"/>
                <w:right w:val="nil"/>
                <w:between w:val="nil"/>
              </w:pBdr>
              <w:spacing w:line="240" w:lineRule="auto"/>
              <w:rPr>
                <w:rFonts w:ascii="Calibri" w:hAnsi="Calibri"/>
              </w:rPr>
            </w:pPr>
            <w:r w:rsidRPr="0076502E">
              <w:rPr>
                <w:rFonts w:ascii="Calibri" w:hAnsi="Calibri"/>
              </w:rPr>
              <w:t>Reverse Rec 5, viz.: In a case where a losing registrant files suit in court and the IGO succeeds in demonstrating immunity, the original UDRP/URS decision stands</w:t>
            </w:r>
          </w:p>
        </w:tc>
        <w:tc>
          <w:tcPr>
            <w:tcW w:w="1667" w:type="pct"/>
            <w:shd w:val="clear" w:color="auto" w:fill="auto"/>
            <w:tcMar>
              <w:top w:w="100" w:type="dxa"/>
              <w:left w:w="100" w:type="dxa"/>
              <w:bottom w:w="100" w:type="dxa"/>
              <w:right w:w="100" w:type="dxa"/>
            </w:tcMar>
          </w:tcPr>
          <w:p w14:paraId="59858E95" w14:textId="77777777" w:rsidR="003903A7" w:rsidRPr="0076502E" w:rsidRDefault="00AE38E2">
            <w:pPr>
              <w:widowControl w:val="0"/>
              <w:numPr>
                <w:ilvl w:val="0"/>
                <w:numId w:val="10"/>
              </w:numPr>
              <w:pBdr>
                <w:top w:val="nil"/>
                <w:left w:val="nil"/>
                <w:bottom w:val="nil"/>
                <w:right w:val="nil"/>
                <w:between w:val="nil"/>
              </w:pBdr>
              <w:spacing w:line="240" w:lineRule="auto"/>
              <w:rPr>
                <w:rFonts w:ascii="Calibri" w:hAnsi="Calibri"/>
              </w:rPr>
            </w:pPr>
            <w:r w:rsidRPr="0076502E">
              <w:rPr>
                <w:rFonts w:ascii="Calibri" w:hAnsi="Calibri"/>
              </w:rPr>
              <w:t>Directly addresses and clearly rejects Rec 5</w:t>
            </w:r>
          </w:p>
        </w:tc>
        <w:tc>
          <w:tcPr>
            <w:tcW w:w="1667" w:type="pct"/>
            <w:shd w:val="clear" w:color="auto" w:fill="auto"/>
            <w:tcMar>
              <w:top w:w="100" w:type="dxa"/>
              <w:left w:w="100" w:type="dxa"/>
              <w:bottom w:w="100" w:type="dxa"/>
              <w:right w:w="100" w:type="dxa"/>
            </w:tcMar>
          </w:tcPr>
          <w:p w14:paraId="73BBD007" w14:textId="77777777" w:rsidR="003903A7" w:rsidRPr="0076502E" w:rsidRDefault="00AE38E2">
            <w:pPr>
              <w:widowControl w:val="0"/>
              <w:numPr>
                <w:ilvl w:val="0"/>
                <w:numId w:val="4"/>
              </w:numPr>
              <w:pBdr>
                <w:top w:val="nil"/>
                <w:left w:val="nil"/>
                <w:bottom w:val="nil"/>
                <w:right w:val="nil"/>
                <w:between w:val="nil"/>
              </w:pBdr>
              <w:spacing w:line="240" w:lineRule="auto"/>
              <w:rPr>
                <w:rFonts w:ascii="Calibri" w:hAnsi="Calibri"/>
              </w:rPr>
            </w:pPr>
            <w:r w:rsidRPr="0076502E">
              <w:rPr>
                <w:rFonts w:ascii="Calibri" w:hAnsi="Calibri"/>
              </w:rPr>
              <w:t>Does not provide a solution to the issue</w:t>
            </w:r>
          </w:p>
          <w:p w14:paraId="07289DF3" w14:textId="77777777" w:rsidR="003903A7" w:rsidRPr="0076502E" w:rsidRDefault="00AE38E2">
            <w:pPr>
              <w:widowControl w:val="0"/>
              <w:numPr>
                <w:ilvl w:val="0"/>
                <w:numId w:val="4"/>
              </w:numPr>
              <w:pBdr>
                <w:top w:val="nil"/>
                <w:left w:val="nil"/>
                <w:bottom w:val="nil"/>
                <w:right w:val="nil"/>
                <w:between w:val="nil"/>
              </w:pBdr>
              <w:spacing w:line="240" w:lineRule="auto"/>
              <w:rPr>
                <w:rFonts w:ascii="Calibri" w:hAnsi="Calibri"/>
              </w:rPr>
            </w:pPr>
            <w:r w:rsidRPr="0076502E">
              <w:rPr>
                <w:rFonts w:ascii="Calibri" w:hAnsi="Calibri"/>
              </w:rPr>
              <w:t>Merely restates the status quo</w:t>
            </w:r>
          </w:p>
        </w:tc>
      </w:tr>
      <w:tr w:rsidR="003903A7" w:rsidRPr="0076502E" w14:paraId="264DA5E4" w14:textId="77777777" w:rsidTr="0076502E">
        <w:tc>
          <w:tcPr>
            <w:tcW w:w="1667" w:type="pct"/>
            <w:shd w:val="clear" w:color="auto" w:fill="auto"/>
            <w:tcMar>
              <w:top w:w="100" w:type="dxa"/>
              <w:left w:w="100" w:type="dxa"/>
              <w:bottom w:w="100" w:type="dxa"/>
              <w:right w:w="100" w:type="dxa"/>
            </w:tcMar>
          </w:tcPr>
          <w:p w14:paraId="025B1FF7" w14:textId="77777777" w:rsidR="003903A7" w:rsidRPr="0076502E" w:rsidRDefault="00AE38E2">
            <w:pPr>
              <w:widowControl w:val="0"/>
              <w:pBdr>
                <w:top w:val="nil"/>
                <w:left w:val="nil"/>
                <w:bottom w:val="nil"/>
                <w:right w:val="nil"/>
                <w:between w:val="nil"/>
              </w:pBdr>
              <w:spacing w:line="240" w:lineRule="auto"/>
              <w:rPr>
                <w:rFonts w:ascii="Calibri" w:hAnsi="Calibri"/>
              </w:rPr>
            </w:pPr>
            <w:r w:rsidRPr="0076502E">
              <w:rPr>
                <w:rFonts w:ascii="Calibri" w:hAnsi="Calibri"/>
              </w:rPr>
              <w:lastRenderedPageBreak/>
              <w:t>Recommend that challenges to UDRP &amp; URS panel decisions be handled solely through binding arbitration</w:t>
            </w:r>
          </w:p>
          <w:p w14:paraId="7CE5F076" w14:textId="77777777" w:rsidR="003903A7" w:rsidRPr="0076502E" w:rsidRDefault="003903A7">
            <w:pPr>
              <w:widowControl w:val="0"/>
              <w:pBdr>
                <w:top w:val="nil"/>
                <w:left w:val="nil"/>
                <w:bottom w:val="nil"/>
                <w:right w:val="nil"/>
                <w:between w:val="nil"/>
              </w:pBdr>
              <w:spacing w:line="240" w:lineRule="auto"/>
              <w:rPr>
                <w:rFonts w:ascii="Calibri" w:hAnsi="Calibri"/>
              </w:rPr>
            </w:pPr>
          </w:p>
          <w:p w14:paraId="1C46E5BE" w14:textId="77777777" w:rsidR="003903A7" w:rsidRPr="0076502E" w:rsidRDefault="00AE38E2">
            <w:pPr>
              <w:widowControl w:val="0"/>
              <w:pBdr>
                <w:top w:val="nil"/>
                <w:left w:val="nil"/>
                <w:bottom w:val="nil"/>
                <w:right w:val="nil"/>
                <w:between w:val="nil"/>
              </w:pBdr>
              <w:spacing w:line="240" w:lineRule="auto"/>
              <w:rPr>
                <w:rFonts w:ascii="Calibri" w:hAnsi="Calibri"/>
              </w:rPr>
            </w:pPr>
            <w:r w:rsidRPr="0076502E">
              <w:rPr>
                <w:rFonts w:ascii="Calibri" w:hAnsi="Calibri"/>
              </w:rPr>
              <w:t>Notes:</w:t>
            </w:r>
          </w:p>
          <w:p w14:paraId="66E872C7" w14:textId="77777777" w:rsidR="003903A7" w:rsidRPr="0076502E" w:rsidRDefault="00AE38E2">
            <w:pPr>
              <w:widowControl w:val="0"/>
              <w:numPr>
                <w:ilvl w:val="0"/>
                <w:numId w:val="13"/>
              </w:numPr>
              <w:spacing w:line="240" w:lineRule="auto"/>
              <w:rPr>
                <w:rFonts w:ascii="Calibri" w:hAnsi="Calibri"/>
              </w:rPr>
            </w:pPr>
            <w:r w:rsidRPr="0076502E">
              <w:rPr>
                <w:rFonts w:ascii="Calibri" w:hAnsi="Calibri"/>
              </w:rPr>
              <w:t>Will need to develop scope and criteria (</w:t>
            </w:r>
            <w:proofErr w:type="gramStart"/>
            <w:r w:rsidRPr="0076502E">
              <w:rPr>
                <w:rFonts w:ascii="Calibri" w:hAnsi="Calibri"/>
              </w:rPr>
              <w:t>e.g.</w:t>
            </w:r>
            <w:proofErr w:type="gramEnd"/>
            <w:r w:rsidRPr="0076502E">
              <w:rPr>
                <w:rFonts w:ascii="Calibri" w:hAnsi="Calibri"/>
              </w:rPr>
              <w:t xml:space="preserve"> whether it is de novo determination, admissibility of additional evidence)</w:t>
            </w:r>
          </w:p>
          <w:p w14:paraId="7E882471" w14:textId="77777777" w:rsidR="003903A7" w:rsidRPr="0076502E" w:rsidRDefault="00AE38E2">
            <w:pPr>
              <w:widowControl w:val="0"/>
              <w:numPr>
                <w:ilvl w:val="0"/>
                <w:numId w:val="13"/>
              </w:numPr>
              <w:spacing w:line="240" w:lineRule="auto"/>
              <w:rPr>
                <w:rFonts w:ascii="Calibri" w:hAnsi="Calibri"/>
              </w:rPr>
            </w:pPr>
            <w:r w:rsidRPr="0076502E">
              <w:rPr>
                <w:rFonts w:ascii="Calibri" w:hAnsi="Calibri"/>
              </w:rPr>
              <w:t>Will need to clarify what</w:t>
            </w:r>
            <w:r w:rsidRPr="0076502E">
              <w:rPr>
                <w:rFonts w:ascii="Calibri" w:hAnsi="Calibri"/>
              </w:rPr>
              <w:t xml:space="preserve"> existing set of arbitral rules might apply or be a starting point</w:t>
            </w:r>
          </w:p>
        </w:tc>
        <w:tc>
          <w:tcPr>
            <w:tcW w:w="1667" w:type="pct"/>
            <w:shd w:val="clear" w:color="auto" w:fill="auto"/>
            <w:tcMar>
              <w:top w:w="100" w:type="dxa"/>
              <w:left w:w="100" w:type="dxa"/>
              <w:bottom w:w="100" w:type="dxa"/>
              <w:right w:w="100" w:type="dxa"/>
            </w:tcMar>
          </w:tcPr>
          <w:p w14:paraId="47EAEF52" w14:textId="77777777" w:rsidR="003903A7" w:rsidRPr="0076502E" w:rsidRDefault="00AE38E2">
            <w:pPr>
              <w:widowControl w:val="0"/>
              <w:numPr>
                <w:ilvl w:val="0"/>
                <w:numId w:val="5"/>
              </w:numPr>
              <w:pBdr>
                <w:top w:val="nil"/>
                <w:left w:val="nil"/>
                <w:bottom w:val="nil"/>
                <w:right w:val="nil"/>
                <w:between w:val="nil"/>
              </w:pBdr>
              <w:spacing w:line="240" w:lineRule="auto"/>
              <w:rPr>
                <w:rFonts w:ascii="Calibri" w:hAnsi="Calibri"/>
              </w:rPr>
            </w:pPr>
            <w:r w:rsidRPr="0076502E">
              <w:rPr>
                <w:rFonts w:ascii="Calibri" w:hAnsi="Calibri"/>
              </w:rPr>
              <w:t>Relies on a recognized dispute resolution mechanism that is used in commercial disputes and by IGOs</w:t>
            </w:r>
          </w:p>
          <w:p w14:paraId="1AEC08C3" w14:textId="77777777" w:rsidR="003903A7" w:rsidRPr="0076502E" w:rsidRDefault="00AE38E2">
            <w:pPr>
              <w:widowControl w:val="0"/>
              <w:numPr>
                <w:ilvl w:val="0"/>
                <w:numId w:val="5"/>
              </w:numPr>
              <w:pBdr>
                <w:top w:val="nil"/>
                <w:left w:val="nil"/>
                <w:bottom w:val="nil"/>
                <w:right w:val="nil"/>
                <w:between w:val="nil"/>
              </w:pBdr>
              <w:spacing w:line="240" w:lineRule="auto"/>
              <w:rPr>
                <w:rFonts w:ascii="Calibri" w:hAnsi="Calibri"/>
              </w:rPr>
            </w:pPr>
            <w:r w:rsidRPr="0076502E">
              <w:rPr>
                <w:rFonts w:ascii="Calibri" w:hAnsi="Calibri"/>
              </w:rPr>
              <w:t>Will not require IGOs to give up jurisdictional immunity</w:t>
            </w:r>
          </w:p>
        </w:tc>
        <w:tc>
          <w:tcPr>
            <w:tcW w:w="1667" w:type="pct"/>
            <w:shd w:val="clear" w:color="auto" w:fill="auto"/>
            <w:tcMar>
              <w:top w:w="100" w:type="dxa"/>
              <w:left w:w="100" w:type="dxa"/>
              <w:bottom w:w="100" w:type="dxa"/>
              <w:right w:w="100" w:type="dxa"/>
            </w:tcMar>
          </w:tcPr>
          <w:p w14:paraId="6C18F0DC" w14:textId="77777777" w:rsidR="003903A7" w:rsidRPr="0076502E" w:rsidRDefault="00AE38E2">
            <w:pPr>
              <w:widowControl w:val="0"/>
              <w:numPr>
                <w:ilvl w:val="0"/>
                <w:numId w:val="13"/>
              </w:numPr>
              <w:pBdr>
                <w:top w:val="nil"/>
                <w:left w:val="nil"/>
                <w:bottom w:val="nil"/>
                <w:right w:val="nil"/>
                <w:between w:val="nil"/>
              </w:pBdr>
              <w:spacing w:line="240" w:lineRule="auto"/>
              <w:rPr>
                <w:rFonts w:ascii="Calibri" w:hAnsi="Calibri"/>
              </w:rPr>
            </w:pPr>
            <w:r w:rsidRPr="0076502E">
              <w:rPr>
                <w:rFonts w:ascii="Calibri" w:hAnsi="Calibri"/>
              </w:rPr>
              <w:t>Will exclude the possibility of a losing registrant filing suit in a court of competent jurisdiction; inconsistent with GNSO Council instructions</w:t>
            </w:r>
          </w:p>
          <w:p w14:paraId="13DD27D4" w14:textId="77777777" w:rsidR="003903A7" w:rsidRPr="0076502E" w:rsidRDefault="00AE38E2">
            <w:pPr>
              <w:widowControl w:val="0"/>
              <w:numPr>
                <w:ilvl w:val="0"/>
                <w:numId w:val="13"/>
              </w:numPr>
              <w:pBdr>
                <w:top w:val="nil"/>
                <w:left w:val="nil"/>
                <w:bottom w:val="nil"/>
                <w:right w:val="nil"/>
                <w:between w:val="nil"/>
              </w:pBdr>
              <w:spacing w:line="240" w:lineRule="auto"/>
              <w:rPr>
                <w:rFonts w:ascii="Calibri" w:hAnsi="Calibri"/>
              </w:rPr>
            </w:pPr>
            <w:r w:rsidRPr="0076502E">
              <w:rPr>
                <w:rFonts w:ascii="Calibri" w:hAnsi="Calibri"/>
              </w:rPr>
              <w:t>Can be as expensive (or more so) than court proceedings</w:t>
            </w:r>
          </w:p>
        </w:tc>
      </w:tr>
      <w:tr w:rsidR="003903A7" w:rsidRPr="0076502E" w14:paraId="3388A11E" w14:textId="77777777" w:rsidTr="0076502E">
        <w:tc>
          <w:tcPr>
            <w:tcW w:w="1667" w:type="pct"/>
            <w:shd w:val="clear" w:color="auto" w:fill="auto"/>
            <w:tcMar>
              <w:top w:w="100" w:type="dxa"/>
              <w:left w:w="100" w:type="dxa"/>
              <w:bottom w:w="100" w:type="dxa"/>
              <w:right w:w="100" w:type="dxa"/>
            </w:tcMar>
          </w:tcPr>
          <w:p w14:paraId="0BE1E64F" w14:textId="77777777" w:rsidR="003903A7" w:rsidRPr="0076502E" w:rsidRDefault="00AE38E2">
            <w:pPr>
              <w:widowControl w:val="0"/>
              <w:pBdr>
                <w:top w:val="nil"/>
                <w:left w:val="nil"/>
                <w:bottom w:val="nil"/>
                <w:right w:val="nil"/>
                <w:between w:val="nil"/>
              </w:pBdr>
              <w:spacing w:line="240" w:lineRule="auto"/>
              <w:rPr>
                <w:rFonts w:ascii="Calibri" w:hAnsi="Calibri"/>
              </w:rPr>
            </w:pPr>
            <w:r w:rsidRPr="0076502E">
              <w:rPr>
                <w:rFonts w:ascii="Calibri" w:hAnsi="Calibri"/>
              </w:rPr>
              <w:t>Recommend that challenges be heard by a panel compris</w:t>
            </w:r>
            <w:r w:rsidRPr="0076502E">
              <w:rPr>
                <w:rFonts w:ascii="Calibri" w:hAnsi="Calibri"/>
              </w:rPr>
              <w:t>ing experienced UDRP/URS panelists</w:t>
            </w:r>
          </w:p>
          <w:p w14:paraId="744D2D4D" w14:textId="77777777" w:rsidR="003903A7" w:rsidRPr="0076502E" w:rsidRDefault="003903A7">
            <w:pPr>
              <w:widowControl w:val="0"/>
              <w:pBdr>
                <w:top w:val="nil"/>
                <w:left w:val="nil"/>
                <w:bottom w:val="nil"/>
                <w:right w:val="nil"/>
                <w:between w:val="nil"/>
              </w:pBdr>
              <w:spacing w:line="240" w:lineRule="auto"/>
              <w:rPr>
                <w:rFonts w:ascii="Calibri" w:hAnsi="Calibri"/>
              </w:rPr>
            </w:pPr>
          </w:p>
          <w:p w14:paraId="4FCFE38D" w14:textId="77777777" w:rsidR="003903A7" w:rsidRPr="0076502E" w:rsidRDefault="00AE38E2">
            <w:pPr>
              <w:widowControl w:val="0"/>
              <w:pBdr>
                <w:top w:val="nil"/>
                <w:left w:val="nil"/>
                <w:bottom w:val="nil"/>
                <w:right w:val="nil"/>
                <w:between w:val="nil"/>
              </w:pBdr>
              <w:spacing w:line="240" w:lineRule="auto"/>
              <w:rPr>
                <w:rFonts w:ascii="Calibri" w:hAnsi="Calibri"/>
              </w:rPr>
            </w:pPr>
            <w:r w:rsidRPr="0076502E">
              <w:rPr>
                <w:rFonts w:ascii="Calibri" w:hAnsi="Calibri"/>
              </w:rPr>
              <w:t>Notes:</w:t>
            </w:r>
          </w:p>
          <w:p w14:paraId="7559665F" w14:textId="77777777" w:rsidR="003903A7" w:rsidRPr="0076502E" w:rsidRDefault="00AE38E2">
            <w:pPr>
              <w:widowControl w:val="0"/>
              <w:numPr>
                <w:ilvl w:val="0"/>
                <w:numId w:val="14"/>
              </w:numPr>
              <w:pBdr>
                <w:top w:val="nil"/>
                <w:left w:val="nil"/>
                <w:bottom w:val="nil"/>
                <w:right w:val="nil"/>
                <w:between w:val="nil"/>
              </w:pBdr>
              <w:spacing w:line="240" w:lineRule="auto"/>
              <w:rPr>
                <w:rFonts w:ascii="Calibri" w:hAnsi="Calibri"/>
              </w:rPr>
            </w:pPr>
            <w:r w:rsidRPr="0076502E">
              <w:rPr>
                <w:rFonts w:ascii="Calibri" w:hAnsi="Calibri"/>
              </w:rPr>
              <w:t>Will need to develop rules and requirements (</w:t>
            </w:r>
            <w:proofErr w:type="gramStart"/>
            <w:r w:rsidRPr="0076502E">
              <w:rPr>
                <w:rFonts w:ascii="Calibri" w:hAnsi="Calibri"/>
              </w:rPr>
              <w:t>e.g.</w:t>
            </w:r>
            <w:proofErr w:type="gramEnd"/>
            <w:r w:rsidRPr="0076502E">
              <w:rPr>
                <w:rFonts w:ascii="Calibri" w:hAnsi="Calibri"/>
              </w:rPr>
              <w:t xml:space="preserve"> number of panelists, minimum expertise, rule against the same panelist hearing the appeal)</w:t>
            </w:r>
          </w:p>
          <w:p w14:paraId="01B935AA" w14:textId="77777777" w:rsidR="003903A7" w:rsidRPr="0076502E" w:rsidRDefault="00AE38E2">
            <w:pPr>
              <w:widowControl w:val="0"/>
              <w:numPr>
                <w:ilvl w:val="0"/>
                <w:numId w:val="14"/>
              </w:numPr>
              <w:pBdr>
                <w:top w:val="nil"/>
                <w:left w:val="nil"/>
                <w:bottom w:val="nil"/>
                <w:right w:val="nil"/>
                <w:between w:val="nil"/>
              </w:pBdr>
              <w:spacing w:line="240" w:lineRule="auto"/>
              <w:rPr>
                <w:rFonts w:ascii="Calibri" w:hAnsi="Calibri"/>
              </w:rPr>
            </w:pPr>
            <w:r w:rsidRPr="0076502E">
              <w:rPr>
                <w:rFonts w:ascii="Calibri" w:hAnsi="Calibri"/>
              </w:rPr>
              <w:t xml:space="preserve">Possibility of creating a Standing Panel from which the panelists can be drawn </w:t>
            </w:r>
          </w:p>
        </w:tc>
        <w:tc>
          <w:tcPr>
            <w:tcW w:w="1667" w:type="pct"/>
            <w:shd w:val="clear" w:color="auto" w:fill="auto"/>
            <w:tcMar>
              <w:top w:w="100" w:type="dxa"/>
              <w:left w:w="100" w:type="dxa"/>
              <w:bottom w:w="100" w:type="dxa"/>
              <w:right w:w="100" w:type="dxa"/>
            </w:tcMar>
          </w:tcPr>
          <w:p w14:paraId="394C64A5" w14:textId="77777777" w:rsidR="003903A7" w:rsidRPr="0076502E" w:rsidRDefault="00AE38E2">
            <w:pPr>
              <w:widowControl w:val="0"/>
              <w:numPr>
                <w:ilvl w:val="0"/>
                <w:numId w:val="14"/>
              </w:numPr>
              <w:pBdr>
                <w:top w:val="nil"/>
                <w:left w:val="nil"/>
                <w:bottom w:val="nil"/>
                <w:right w:val="nil"/>
                <w:between w:val="nil"/>
              </w:pBdr>
              <w:spacing w:line="240" w:lineRule="auto"/>
              <w:rPr>
                <w:rFonts w:ascii="Calibri" w:hAnsi="Calibri"/>
              </w:rPr>
            </w:pPr>
            <w:r w:rsidRPr="0076502E">
              <w:rPr>
                <w:rFonts w:ascii="Calibri" w:hAnsi="Calibri"/>
              </w:rPr>
              <w:t>Leverages expertise of UDRP &amp; URS p</w:t>
            </w:r>
            <w:r w:rsidRPr="0076502E">
              <w:rPr>
                <w:rFonts w:ascii="Calibri" w:hAnsi="Calibri"/>
              </w:rPr>
              <w:t>anelists</w:t>
            </w:r>
          </w:p>
          <w:p w14:paraId="42BDD606" w14:textId="77777777" w:rsidR="003903A7" w:rsidRPr="0076502E" w:rsidRDefault="00AE38E2">
            <w:pPr>
              <w:widowControl w:val="0"/>
              <w:numPr>
                <w:ilvl w:val="0"/>
                <w:numId w:val="14"/>
              </w:numPr>
              <w:pBdr>
                <w:top w:val="nil"/>
                <w:left w:val="nil"/>
                <w:bottom w:val="nil"/>
                <w:right w:val="nil"/>
                <w:between w:val="nil"/>
              </w:pBdr>
              <w:spacing w:line="240" w:lineRule="auto"/>
              <w:rPr>
                <w:rFonts w:ascii="Calibri" w:hAnsi="Calibri"/>
              </w:rPr>
            </w:pPr>
            <w:r w:rsidRPr="0076502E">
              <w:rPr>
                <w:rFonts w:ascii="Calibri" w:hAnsi="Calibri"/>
              </w:rPr>
              <w:t xml:space="preserve">Not as expensive and </w:t>
            </w:r>
            <w:proofErr w:type="gramStart"/>
            <w:r w:rsidRPr="0076502E">
              <w:rPr>
                <w:rFonts w:ascii="Calibri" w:hAnsi="Calibri"/>
              </w:rPr>
              <w:t>more timely</w:t>
            </w:r>
            <w:proofErr w:type="gramEnd"/>
            <w:r w:rsidRPr="0076502E">
              <w:rPr>
                <w:rFonts w:ascii="Calibri" w:hAnsi="Calibri"/>
              </w:rPr>
              <w:t xml:space="preserve"> than arbitration</w:t>
            </w:r>
          </w:p>
        </w:tc>
        <w:tc>
          <w:tcPr>
            <w:tcW w:w="1667" w:type="pct"/>
            <w:shd w:val="clear" w:color="auto" w:fill="auto"/>
            <w:tcMar>
              <w:top w:w="100" w:type="dxa"/>
              <w:left w:w="100" w:type="dxa"/>
              <w:bottom w:w="100" w:type="dxa"/>
              <w:right w:w="100" w:type="dxa"/>
            </w:tcMar>
          </w:tcPr>
          <w:p w14:paraId="07C88AFC" w14:textId="77777777" w:rsidR="003903A7" w:rsidRPr="0076502E" w:rsidRDefault="00AE38E2">
            <w:pPr>
              <w:widowControl w:val="0"/>
              <w:numPr>
                <w:ilvl w:val="0"/>
                <w:numId w:val="1"/>
              </w:numPr>
              <w:pBdr>
                <w:top w:val="nil"/>
                <w:left w:val="nil"/>
                <w:bottom w:val="nil"/>
                <w:right w:val="nil"/>
                <w:between w:val="nil"/>
              </w:pBdr>
              <w:spacing w:line="240" w:lineRule="auto"/>
              <w:rPr>
                <w:rFonts w:ascii="Calibri" w:hAnsi="Calibri"/>
              </w:rPr>
            </w:pPr>
            <w:r w:rsidRPr="0076502E">
              <w:rPr>
                <w:rFonts w:ascii="Calibri" w:hAnsi="Calibri"/>
              </w:rPr>
              <w:t>If the possibility of court proceedings is excluded, this will be contrary to GNSO Council instructions</w:t>
            </w:r>
          </w:p>
        </w:tc>
      </w:tr>
      <w:tr w:rsidR="003903A7" w:rsidRPr="0076502E" w14:paraId="766A4174" w14:textId="77777777" w:rsidTr="0076502E">
        <w:tc>
          <w:tcPr>
            <w:tcW w:w="1667" w:type="pct"/>
            <w:shd w:val="clear" w:color="auto" w:fill="auto"/>
            <w:tcMar>
              <w:top w:w="100" w:type="dxa"/>
              <w:left w:w="100" w:type="dxa"/>
              <w:bottom w:w="100" w:type="dxa"/>
              <w:right w:w="100" w:type="dxa"/>
            </w:tcMar>
          </w:tcPr>
          <w:p w14:paraId="1B99BEE3" w14:textId="77777777" w:rsidR="003903A7" w:rsidRPr="0076502E" w:rsidRDefault="00AE38E2">
            <w:pPr>
              <w:widowControl w:val="0"/>
              <w:pBdr>
                <w:top w:val="nil"/>
                <w:left w:val="nil"/>
                <w:bottom w:val="nil"/>
                <w:right w:val="nil"/>
                <w:between w:val="nil"/>
              </w:pBdr>
              <w:spacing w:line="240" w:lineRule="auto"/>
              <w:rPr>
                <w:rFonts w:ascii="Calibri" w:hAnsi="Calibri"/>
              </w:rPr>
            </w:pPr>
            <w:r w:rsidRPr="0076502E">
              <w:rPr>
                <w:rFonts w:ascii="Calibri" w:hAnsi="Calibri"/>
              </w:rPr>
              <w:t>OTHER SUGGESTIONS:</w:t>
            </w:r>
          </w:p>
          <w:p w14:paraId="7EDB6C8F" w14:textId="77777777" w:rsidR="003903A7" w:rsidRDefault="003903A7">
            <w:pPr>
              <w:widowControl w:val="0"/>
              <w:pBdr>
                <w:top w:val="nil"/>
                <w:left w:val="nil"/>
                <w:bottom w:val="nil"/>
                <w:right w:val="nil"/>
                <w:between w:val="nil"/>
              </w:pBdr>
              <w:spacing w:line="240" w:lineRule="auto"/>
              <w:rPr>
                <w:rFonts w:ascii="Calibri" w:hAnsi="Calibri"/>
              </w:rPr>
            </w:pPr>
          </w:p>
          <w:p w14:paraId="3F5132E6" w14:textId="77777777" w:rsidR="0076502E" w:rsidRDefault="0076502E">
            <w:pPr>
              <w:widowControl w:val="0"/>
              <w:pBdr>
                <w:top w:val="nil"/>
                <w:left w:val="nil"/>
                <w:bottom w:val="nil"/>
                <w:right w:val="nil"/>
                <w:between w:val="nil"/>
              </w:pBdr>
              <w:spacing w:line="240" w:lineRule="auto"/>
              <w:rPr>
                <w:rFonts w:ascii="Calibri" w:hAnsi="Calibri"/>
              </w:rPr>
            </w:pPr>
          </w:p>
          <w:p w14:paraId="77D1854D" w14:textId="77777777" w:rsidR="0076502E" w:rsidRDefault="0076502E">
            <w:pPr>
              <w:widowControl w:val="0"/>
              <w:pBdr>
                <w:top w:val="nil"/>
                <w:left w:val="nil"/>
                <w:bottom w:val="nil"/>
                <w:right w:val="nil"/>
                <w:between w:val="nil"/>
              </w:pBdr>
              <w:spacing w:line="240" w:lineRule="auto"/>
              <w:rPr>
                <w:rFonts w:ascii="Calibri" w:hAnsi="Calibri"/>
              </w:rPr>
            </w:pPr>
          </w:p>
          <w:p w14:paraId="7FB345B1" w14:textId="77777777" w:rsidR="0076502E" w:rsidRDefault="0076502E">
            <w:pPr>
              <w:widowControl w:val="0"/>
              <w:pBdr>
                <w:top w:val="nil"/>
                <w:left w:val="nil"/>
                <w:bottom w:val="nil"/>
                <w:right w:val="nil"/>
                <w:between w:val="nil"/>
              </w:pBdr>
              <w:spacing w:line="240" w:lineRule="auto"/>
              <w:rPr>
                <w:rFonts w:ascii="Calibri" w:hAnsi="Calibri"/>
              </w:rPr>
            </w:pPr>
          </w:p>
          <w:p w14:paraId="743CCCC6" w14:textId="0A51D05D" w:rsidR="0076502E" w:rsidRPr="0076502E" w:rsidRDefault="0076502E">
            <w:pPr>
              <w:widowControl w:val="0"/>
              <w:pBdr>
                <w:top w:val="nil"/>
                <w:left w:val="nil"/>
                <w:bottom w:val="nil"/>
                <w:right w:val="nil"/>
                <w:between w:val="nil"/>
              </w:pBdr>
              <w:spacing w:line="240" w:lineRule="auto"/>
              <w:rPr>
                <w:rFonts w:ascii="Calibri" w:hAnsi="Calibri"/>
              </w:rPr>
            </w:pPr>
          </w:p>
        </w:tc>
        <w:tc>
          <w:tcPr>
            <w:tcW w:w="1667" w:type="pct"/>
            <w:shd w:val="clear" w:color="auto" w:fill="auto"/>
            <w:tcMar>
              <w:top w:w="100" w:type="dxa"/>
              <w:left w:w="100" w:type="dxa"/>
              <w:bottom w:w="100" w:type="dxa"/>
              <w:right w:w="100" w:type="dxa"/>
            </w:tcMar>
          </w:tcPr>
          <w:p w14:paraId="5B88BE9D" w14:textId="77777777" w:rsidR="003903A7" w:rsidRPr="0076502E" w:rsidRDefault="003903A7">
            <w:pPr>
              <w:widowControl w:val="0"/>
              <w:pBdr>
                <w:top w:val="nil"/>
                <w:left w:val="nil"/>
                <w:bottom w:val="nil"/>
                <w:right w:val="nil"/>
                <w:between w:val="nil"/>
              </w:pBdr>
              <w:spacing w:line="240" w:lineRule="auto"/>
              <w:ind w:left="720" w:hanging="360"/>
              <w:rPr>
                <w:rFonts w:ascii="Calibri" w:hAnsi="Calibri"/>
              </w:rPr>
            </w:pPr>
          </w:p>
        </w:tc>
        <w:tc>
          <w:tcPr>
            <w:tcW w:w="1667" w:type="pct"/>
            <w:shd w:val="clear" w:color="auto" w:fill="auto"/>
            <w:tcMar>
              <w:top w:w="100" w:type="dxa"/>
              <w:left w:w="100" w:type="dxa"/>
              <w:bottom w:w="100" w:type="dxa"/>
              <w:right w:w="100" w:type="dxa"/>
            </w:tcMar>
          </w:tcPr>
          <w:p w14:paraId="28058273" w14:textId="77777777" w:rsidR="003903A7" w:rsidRPr="0076502E" w:rsidRDefault="003903A7">
            <w:pPr>
              <w:widowControl w:val="0"/>
              <w:pBdr>
                <w:top w:val="nil"/>
                <w:left w:val="nil"/>
                <w:bottom w:val="nil"/>
                <w:right w:val="nil"/>
                <w:between w:val="nil"/>
              </w:pBdr>
              <w:spacing w:line="240" w:lineRule="auto"/>
              <w:ind w:left="720" w:hanging="360"/>
              <w:rPr>
                <w:rFonts w:ascii="Calibri" w:hAnsi="Calibri"/>
              </w:rPr>
            </w:pPr>
          </w:p>
        </w:tc>
      </w:tr>
    </w:tbl>
    <w:p w14:paraId="655DEA83" w14:textId="77777777" w:rsidR="003903A7" w:rsidRPr="0076502E" w:rsidRDefault="003903A7">
      <w:pPr>
        <w:rPr>
          <w:rFonts w:ascii="Calibri" w:hAnsi="Calibri"/>
        </w:rPr>
      </w:pPr>
    </w:p>
    <w:p w14:paraId="5EFA88AB" w14:textId="77777777" w:rsidR="003903A7" w:rsidRPr="0076502E" w:rsidRDefault="003903A7">
      <w:pPr>
        <w:rPr>
          <w:rFonts w:ascii="Calibri" w:hAnsi="Calibri"/>
        </w:rPr>
      </w:pPr>
    </w:p>
    <w:p w14:paraId="4C59E33C" w14:textId="77777777" w:rsidR="003903A7" w:rsidRPr="0076502E" w:rsidRDefault="003903A7">
      <w:pPr>
        <w:rPr>
          <w:rFonts w:ascii="Calibri" w:hAnsi="Calibri"/>
        </w:rPr>
      </w:pPr>
    </w:p>
    <w:p w14:paraId="2F6F49D8" w14:textId="77777777" w:rsidR="003903A7" w:rsidRPr="0076502E" w:rsidRDefault="003903A7">
      <w:pPr>
        <w:rPr>
          <w:rFonts w:ascii="Calibri" w:hAnsi="Calibri"/>
        </w:rPr>
      </w:pPr>
    </w:p>
    <w:sectPr w:rsidR="003903A7" w:rsidRPr="0076502E" w:rsidSect="0076502E">
      <w:footerReference w:type="even" r:id="rId7"/>
      <w:footerReference w:type="default" r:id="rId8"/>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7D079" w14:textId="77777777" w:rsidR="00AE38E2" w:rsidRDefault="00AE38E2">
      <w:pPr>
        <w:spacing w:line="240" w:lineRule="auto"/>
      </w:pPr>
      <w:r>
        <w:separator/>
      </w:r>
    </w:p>
  </w:endnote>
  <w:endnote w:type="continuationSeparator" w:id="0">
    <w:p w14:paraId="4A162625" w14:textId="77777777" w:rsidR="00AE38E2" w:rsidRDefault="00AE38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3838698"/>
      <w:docPartObj>
        <w:docPartGallery w:val="Page Numbers (Bottom of Page)"/>
        <w:docPartUnique/>
      </w:docPartObj>
    </w:sdtPr>
    <w:sdtContent>
      <w:p w14:paraId="06322729" w14:textId="379A02EE" w:rsidR="0076502E" w:rsidRDefault="0076502E" w:rsidP="002761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D00A90" w14:textId="77777777" w:rsidR="0076502E" w:rsidRDefault="0076502E" w:rsidP="007650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0981259"/>
      <w:docPartObj>
        <w:docPartGallery w:val="Page Numbers (Bottom of Page)"/>
        <w:docPartUnique/>
      </w:docPartObj>
    </w:sdtPr>
    <w:sdtContent>
      <w:p w14:paraId="2553E900" w14:textId="01D4B277" w:rsidR="0076502E" w:rsidRDefault="0076502E" w:rsidP="002761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FBBB7A" w14:textId="77777777" w:rsidR="0076502E" w:rsidRDefault="0076502E" w:rsidP="007650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04D6A" w14:textId="77777777" w:rsidR="00AE38E2" w:rsidRDefault="00AE38E2">
      <w:pPr>
        <w:spacing w:line="240" w:lineRule="auto"/>
      </w:pPr>
      <w:r>
        <w:separator/>
      </w:r>
    </w:p>
  </w:footnote>
  <w:footnote w:type="continuationSeparator" w:id="0">
    <w:p w14:paraId="0933D637" w14:textId="77777777" w:rsidR="00AE38E2" w:rsidRDefault="00AE38E2">
      <w:pPr>
        <w:spacing w:line="240" w:lineRule="auto"/>
      </w:pPr>
      <w:r>
        <w:continuationSeparator/>
      </w:r>
    </w:p>
  </w:footnote>
  <w:footnote w:id="1">
    <w:p w14:paraId="61E1044C" w14:textId="77777777" w:rsidR="003903A7" w:rsidRDefault="00AE38E2">
      <w:pPr>
        <w:spacing w:line="240" w:lineRule="auto"/>
        <w:rPr>
          <w:sz w:val="20"/>
          <w:szCs w:val="20"/>
        </w:rPr>
      </w:pPr>
      <w:r>
        <w:rPr>
          <w:vertAlign w:val="superscript"/>
        </w:rPr>
        <w:footnoteRef/>
      </w:r>
      <w:r>
        <w:rPr>
          <w:sz w:val="20"/>
          <w:szCs w:val="20"/>
        </w:rPr>
        <w:t xml:space="preserve"> For a comprehensive description of the specific processes and requirements for notification and communication as well as the role of WIPO’s International Bureau, see the WIPO Secretariat’s 2005 paper on Legal &amp; Administrative Aspects of Article 6ter: </w:t>
      </w:r>
      <w:hyperlink r:id="rId1">
        <w:r>
          <w:rPr>
            <w:color w:val="1155CC"/>
            <w:sz w:val="20"/>
            <w:szCs w:val="20"/>
            <w:u w:val="single"/>
          </w:rPr>
          <w:t>https://www.wipo.int/edocs/mdocs/sct/en/sct_15/sct_15_3.pdf</w:t>
        </w:r>
      </w:hyperlink>
      <w:r>
        <w:rPr>
          <w:sz w:val="20"/>
          <w:szCs w:val="20"/>
        </w:rPr>
        <w:t xml:space="preserve">. </w:t>
      </w:r>
    </w:p>
  </w:footnote>
  <w:footnote w:id="2">
    <w:p w14:paraId="106EC59B" w14:textId="77777777" w:rsidR="003903A7" w:rsidRDefault="00AE38E2">
      <w:pPr>
        <w:spacing w:line="240" w:lineRule="auto"/>
        <w:rPr>
          <w:sz w:val="20"/>
          <w:szCs w:val="20"/>
        </w:rPr>
      </w:pPr>
      <w:r>
        <w:rPr>
          <w:vertAlign w:val="superscript"/>
        </w:rPr>
        <w:footnoteRef/>
      </w:r>
      <w:r>
        <w:rPr>
          <w:sz w:val="20"/>
          <w:szCs w:val="20"/>
        </w:rPr>
        <w:t xml:space="preserve"> See </w:t>
      </w:r>
      <w:hyperlink r:id="rId2">
        <w:r>
          <w:rPr>
            <w:color w:val="1155CC"/>
            <w:sz w:val="20"/>
            <w:szCs w:val="20"/>
            <w:u w:val="single"/>
          </w:rPr>
          <w:t>https://www.icann.org/en/system/files/correspondence/dryden-to-crocker-chalaby-annex2-22mar13-en.pdf</w:t>
        </w:r>
      </w:hyperlink>
      <w:r>
        <w:rPr>
          <w:sz w:val="20"/>
          <w:szCs w:val="20"/>
        </w:rPr>
        <w:t xml:space="preserve">. </w:t>
      </w:r>
    </w:p>
  </w:footnote>
  <w:footnote w:id="3">
    <w:p w14:paraId="049F97AA" w14:textId="77777777" w:rsidR="003903A7" w:rsidRDefault="00AE38E2">
      <w:pPr>
        <w:spacing w:line="240" w:lineRule="auto"/>
        <w:rPr>
          <w:sz w:val="20"/>
          <w:szCs w:val="20"/>
        </w:rPr>
      </w:pPr>
      <w:r>
        <w:rPr>
          <w:vertAlign w:val="superscript"/>
        </w:rPr>
        <w:footnoteRef/>
      </w:r>
      <w:r>
        <w:rPr>
          <w:sz w:val="20"/>
          <w:szCs w:val="20"/>
        </w:rPr>
        <w:t xml:space="preserve"> Modifications of other specific elements of the UDRP and URS, such as bad faith and remedies, is out of scope for thi</w:t>
      </w:r>
      <w:r>
        <w:rPr>
          <w:sz w:val="20"/>
          <w:szCs w:val="20"/>
        </w:rPr>
        <w:t xml:space="preserve">s Work Track as the review of these elements will be done as part of the Phase Two work of the Review of All Rights Protection Mechanisms PDP.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A59F3"/>
    <w:multiLevelType w:val="multilevel"/>
    <w:tmpl w:val="FA32DA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9A6183"/>
    <w:multiLevelType w:val="multilevel"/>
    <w:tmpl w:val="368AB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1917DA"/>
    <w:multiLevelType w:val="multilevel"/>
    <w:tmpl w:val="90267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705FA5"/>
    <w:multiLevelType w:val="multilevel"/>
    <w:tmpl w:val="2E2E0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D4551D"/>
    <w:multiLevelType w:val="multilevel"/>
    <w:tmpl w:val="DE66A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0248DE"/>
    <w:multiLevelType w:val="multilevel"/>
    <w:tmpl w:val="79786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F47426"/>
    <w:multiLevelType w:val="multilevel"/>
    <w:tmpl w:val="3CBC4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651180"/>
    <w:multiLevelType w:val="multilevel"/>
    <w:tmpl w:val="017EB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B01869"/>
    <w:multiLevelType w:val="multilevel"/>
    <w:tmpl w:val="35905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8A7779"/>
    <w:multiLevelType w:val="multilevel"/>
    <w:tmpl w:val="3FE6B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E31BB7"/>
    <w:multiLevelType w:val="multilevel"/>
    <w:tmpl w:val="F6DAC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4233C0"/>
    <w:multiLevelType w:val="multilevel"/>
    <w:tmpl w:val="F3743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A17532"/>
    <w:multiLevelType w:val="multilevel"/>
    <w:tmpl w:val="BDBC8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E94525"/>
    <w:multiLevelType w:val="multilevel"/>
    <w:tmpl w:val="C8225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B825FB"/>
    <w:multiLevelType w:val="multilevel"/>
    <w:tmpl w:val="AF3AF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1"/>
  </w:num>
  <w:num w:numId="3">
    <w:abstractNumId w:val="0"/>
  </w:num>
  <w:num w:numId="4">
    <w:abstractNumId w:val="4"/>
  </w:num>
  <w:num w:numId="5">
    <w:abstractNumId w:val="1"/>
  </w:num>
  <w:num w:numId="6">
    <w:abstractNumId w:val="5"/>
  </w:num>
  <w:num w:numId="7">
    <w:abstractNumId w:val="7"/>
  </w:num>
  <w:num w:numId="8">
    <w:abstractNumId w:val="8"/>
  </w:num>
  <w:num w:numId="9">
    <w:abstractNumId w:val="9"/>
  </w:num>
  <w:num w:numId="10">
    <w:abstractNumId w:val="3"/>
  </w:num>
  <w:num w:numId="11">
    <w:abstractNumId w:val="12"/>
  </w:num>
  <w:num w:numId="12">
    <w:abstractNumId w:val="10"/>
  </w:num>
  <w:num w:numId="13">
    <w:abstractNumId w:val="1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A7"/>
    <w:rsid w:val="001701BA"/>
    <w:rsid w:val="003903A7"/>
    <w:rsid w:val="00621FC3"/>
    <w:rsid w:val="0076502E"/>
    <w:rsid w:val="00AE3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AFAC0EC"/>
  <w15:docId w15:val="{CB864AF9-0751-D546-8C4C-BD544EDD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76502E"/>
    <w:pPr>
      <w:tabs>
        <w:tab w:val="center" w:pos="4680"/>
        <w:tab w:val="right" w:pos="9360"/>
      </w:tabs>
      <w:spacing w:line="240" w:lineRule="auto"/>
    </w:pPr>
  </w:style>
  <w:style w:type="character" w:customStyle="1" w:styleId="FooterChar">
    <w:name w:val="Footer Char"/>
    <w:basedOn w:val="DefaultParagraphFont"/>
    <w:link w:val="Footer"/>
    <w:uiPriority w:val="99"/>
    <w:rsid w:val="0076502E"/>
  </w:style>
  <w:style w:type="character" w:styleId="PageNumber">
    <w:name w:val="page number"/>
    <w:basedOn w:val="DefaultParagraphFont"/>
    <w:uiPriority w:val="99"/>
    <w:semiHidden/>
    <w:unhideWhenUsed/>
    <w:rsid w:val="00765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cann.org/en/system/files/correspondence/dryden-to-crocker-chalaby-annex2-22mar13-en.pdf" TargetMode="External"/><Relationship Id="rId1" Type="http://schemas.openxmlformats.org/officeDocument/2006/relationships/hyperlink" Target="https://www.wipo.int/edocs/mdocs/sct/en/sct_15/sct_15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1000</Words>
  <Characters>5704</Characters>
  <Application>Microsoft Office Word</Application>
  <DocSecurity>0</DocSecurity>
  <Lines>47</Lines>
  <Paragraphs>13</Paragraphs>
  <ScaleCrop>false</ScaleCrop>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Wong</cp:lastModifiedBy>
  <cp:revision>2</cp:revision>
  <dcterms:created xsi:type="dcterms:W3CDTF">2021-03-11T21:50:00Z</dcterms:created>
  <dcterms:modified xsi:type="dcterms:W3CDTF">2021-03-11T21:50:00Z</dcterms:modified>
</cp:coreProperties>
</file>