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81257" w14:textId="77777777" w:rsidR="00F14058" w:rsidRPr="00CC6AF1" w:rsidRDefault="00F14058" w:rsidP="00F14058">
      <w:pPr>
        <w:spacing w:after="0" w:line="240" w:lineRule="auto"/>
        <w:jc w:val="center"/>
        <w:outlineLvl w:val="0"/>
        <w:rPr>
          <w:rFonts w:eastAsia="Times New Roman" w:cs="Calibri"/>
          <w:b/>
          <w:bCs/>
          <w:color w:val="000000"/>
          <w:kern w:val="36"/>
          <w:sz w:val="36"/>
          <w:szCs w:val="36"/>
        </w:rPr>
      </w:pPr>
      <w:r>
        <w:rPr>
          <w:rFonts w:eastAsia="Times New Roman" w:cs="Calibri"/>
          <w:b/>
          <w:bCs/>
          <w:color w:val="000000"/>
          <w:kern w:val="36"/>
          <w:sz w:val="36"/>
          <w:szCs w:val="36"/>
        </w:rPr>
        <w:t>Report of Public Comments</w:t>
      </w:r>
    </w:p>
    <w:p w14:paraId="45E43F97" w14:textId="77777777" w:rsidR="00F14058" w:rsidRDefault="00F14058" w:rsidP="00F14058">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720"/>
        <w:gridCol w:w="540"/>
        <w:gridCol w:w="3060"/>
        <w:gridCol w:w="270"/>
        <w:gridCol w:w="990"/>
        <w:gridCol w:w="3510"/>
      </w:tblGrid>
      <w:tr w:rsidR="00F14058" w:rsidRPr="003D0C10" w14:paraId="53AAB2BC" w14:textId="77777777" w:rsidTr="00F14058">
        <w:trPr>
          <w:cantSplit/>
          <w:trHeight w:val="576"/>
        </w:trPr>
        <w:tc>
          <w:tcPr>
            <w:tcW w:w="1098" w:type="dxa"/>
            <w:shd w:val="clear" w:color="auto" w:fill="17365D"/>
            <w:vAlign w:val="center"/>
          </w:tcPr>
          <w:p w14:paraId="60684F3B" w14:textId="77777777" w:rsidR="00F14058" w:rsidRPr="003D0C10" w:rsidRDefault="00F14058" w:rsidP="00F14058">
            <w:pPr>
              <w:spacing w:after="0" w:line="240" w:lineRule="auto"/>
              <w:rPr>
                <w:b/>
                <w:sz w:val="28"/>
                <w:szCs w:val="28"/>
              </w:rPr>
            </w:pPr>
            <w:r>
              <w:rPr>
                <w:rStyle w:val="apple-style-span"/>
                <w:rFonts w:cs="Calibri"/>
                <w:b/>
                <w:bCs/>
                <w:color w:val="FFFFFF"/>
                <w:sz w:val="28"/>
                <w:szCs w:val="28"/>
              </w:rPr>
              <w:t>Title:</w:t>
            </w:r>
          </w:p>
        </w:tc>
        <w:tc>
          <w:tcPr>
            <w:tcW w:w="9090" w:type="dxa"/>
            <w:gridSpan w:val="6"/>
            <w:shd w:val="clear" w:color="auto" w:fill="17365D"/>
            <w:vAlign w:val="center"/>
          </w:tcPr>
          <w:p w14:paraId="1CB4804C" w14:textId="77777777" w:rsidR="00F14058" w:rsidRPr="00850D43" w:rsidRDefault="00ED06AA" w:rsidP="00F14058">
            <w:pPr>
              <w:spacing w:after="0" w:line="240" w:lineRule="auto"/>
              <w:rPr>
                <w:b/>
                <w:color w:val="FFFFFF"/>
                <w:sz w:val="28"/>
                <w:szCs w:val="28"/>
              </w:rPr>
            </w:pPr>
            <w:r w:rsidRPr="00ED06AA">
              <w:rPr>
                <w:b/>
                <w:color w:val="FFFFFF"/>
                <w:sz w:val="28"/>
                <w:szCs w:val="28"/>
              </w:rPr>
              <w:t>Locking of a Domain Name Subject to UDRP Proceedings</w:t>
            </w:r>
            <w:r>
              <w:rPr>
                <w:b/>
                <w:color w:val="FFFFFF"/>
                <w:sz w:val="28"/>
                <w:szCs w:val="28"/>
              </w:rPr>
              <w:t xml:space="preserve"> – Revised UDRP Rules</w:t>
            </w:r>
          </w:p>
        </w:tc>
      </w:tr>
      <w:tr w:rsidR="00F14058" w:rsidRPr="00252CDC" w14:paraId="0EACF9DB" w14:textId="77777777" w:rsidTr="00F14058">
        <w:trPr>
          <w:cantSplit/>
          <w:trHeight w:val="360"/>
        </w:trPr>
        <w:tc>
          <w:tcPr>
            <w:tcW w:w="2358" w:type="dxa"/>
            <w:gridSpan w:val="3"/>
            <w:shd w:val="clear" w:color="auto" w:fill="F2F2F2"/>
            <w:vAlign w:val="center"/>
          </w:tcPr>
          <w:p w14:paraId="5697A8F1" w14:textId="77777777" w:rsidR="00F14058" w:rsidRPr="00252CDC" w:rsidRDefault="00F14058" w:rsidP="00F14058">
            <w:pPr>
              <w:spacing w:after="0" w:line="240" w:lineRule="auto"/>
              <w:rPr>
                <w:rStyle w:val="apple-style-span"/>
                <w:rFonts w:cs="Calibri"/>
                <w:b/>
                <w:bCs/>
                <w:sz w:val="24"/>
                <w:szCs w:val="24"/>
              </w:rPr>
            </w:pPr>
            <w:r>
              <w:rPr>
                <w:rStyle w:val="apple-style-span"/>
                <w:rFonts w:cs="Calibri"/>
                <w:b/>
                <w:bCs/>
                <w:sz w:val="24"/>
                <w:szCs w:val="24"/>
              </w:rPr>
              <w:t>Publication</w:t>
            </w:r>
            <w:r w:rsidRPr="00252CDC">
              <w:rPr>
                <w:rStyle w:val="apple-style-span"/>
                <w:rFonts w:cs="Calibri"/>
                <w:b/>
                <w:bCs/>
                <w:sz w:val="24"/>
                <w:szCs w:val="24"/>
              </w:rPr>
              <w:t xml:space="preserve"> Date:</w:t>
            </w:r>
          </w:p>
        </w:tc>
        <w:tc>
          <w:tcPr>
            <w:tcW w:w="7830" w:type="dxa"/>
            <w:gridSpan w:val="4"/>
            <w:shd w:val="clear" w:color="auto" w:fill="auto"/>
            <w:vAlign w:val="center"/>
          </w:tcPr>
          <w:p w14:paraId="13390CCE" w14:textId="1873E452" w:rsidR="00F14058" w:rsidRPr="00252CDC" w:rsidRDefault="00F2185C" w:rsidP="00F14058">
            <w:pPr>
              <w:spacing w:after="0" w:line="240" w:lineRule="auto"/>
              <w:rPr>
                <w:sz w:val="24"/>
                <w:szCs w:val="24"/>
              </w:rPr>
            </w:pPr>
            <w:proofErr w:type="gramStart"/>
            <w:r>
              <w:rPr>
                <w:sz w:val="24"/>
                <w:szCs w:val="24"/>
              </w:rPr>
              <w:t>xx</w:t>
            </w:r>
            <w:proofErr w:type="gramEnd"/>
            <w:r>
              <w:rPr>
                <w:sz w:val="24"/>
                <w:szCs w:val="24"/>
              </w:rPr>
              <w:t xml:space="preserve"> August 201</w:t>
            </w:r>
            <w:r w:rsidR="00E24363">
              <w:rPr>
                <w:sz w:val="24"/>
                <w:szCs w:val="24"/>
              </w:rPr>
              <w:t>4</w:t>
            </w:r>
          </w:p>
        </w:tc>
      </w:tr>
      <w:tr w:rsidR="00F14058" w:rsidRPr="00252CDC" w14:paraId="6194A263" w14:textId="77777777" w:rsidTr="00F14058">
        <w:trPr>
          <w:cantSplit/>
          <w:trHeight w:val="360"/>
        </w:trPr>
        <w:tc>
          <w:tcPr>
            <w:tcW w:w="2358" w:type="dxa"/>
            <w:gridSpan w:val="3"/>
            <w:shd w:val="clear" w:color="auto" w:fill="F2F2F2"/>
            <w:vAlign w:val="center"/>
          </w:tcPr>
          <w:p w14:paraId="1CF9F0D2" w14:textId="77777777" w:rsidR="00F14058" w:rsidRDefault="00F14058" w:rsidP="00F14058">
            <w:pPr>
              <w:spacing w:after="0" w:line="240" w:lineRule="auto"/>
              <w:rPr>
                <w:rStyle w:val="apple-style-span"/>
                <w:rFonts w:cs="Calibri"/>
                <w:b/>
                <w:bCs/>
                <w:sz w:val="24"/>
                <w:szCs w:val="24"/>
              </w:rPr>
            </w:pPr>
            <w:r>
              <w:rPr>
                <w:rStyle w:val="apple-style-span"/>
                <w:rFonts w:cs="Calibri"/>
                <w:b/>
                <w:bCs/>
                <w:sz w:val="24"/>
                <w:szCs w:val="24"/>
              </w:rPr>
              <w:t>Prepared By:</w:t>
            </w:r>
          </w:p>
        </w:tc>
        <w:tc>
          <w:tcPr>
            <w:tcW w:w="7830" w:type="dxa"/>
            <w:gridSpan w:val="4"/>
            <w:shd w:val="clear" w:color="auto" w:fill="auto"/>
            <w:vAlign w:val="center"/>
          </w:tcPr>
          <w:p w14:paraId="3B986CD9" w14:textId="77777777" w:rsidR="00F14058" w:rsidRPr="00252CDC" w:rsidRDefault="00F14058" w:rsidP="00F14058">
            <w:pPr>
              <w:spacing w:after="0" w:line="240" w:lineRule="auto"/>
              <w:rPr>
                <w:sz w:val="24"/>
                <w:szCs w:val="24"/>
              </w:rPr>
            </w:pPr>
            <w:r>
              <w:rPr>
                <w:sz w:val="24"/>
                <w:szCs w:val="24"/>
              </w:rPr>
              <w:t>Caitlin Tubergen</w:t>
            </w:r>
          </w:p>
        </w:tc>
      </w:tr>
      <w:tr w:rsidR="00F14058" w:rsidRPr="001C3532" w14:paraId="20DD914A" w14:textId="77777777" w:rsidTr="00F14058">
        <w:trPr>
          <w:trHeight w:hRule="exact" w:val="1441"/>
        </w:trPr>
        <w:tc>
          <w:tcPr>
            <w:tcW w:w="5418" w:type="dxa"/>
            <w:gridSpan w:val="4"/>
            <w:tcBorders>
              <w:bottom w:val="single" w:sz="4" w:space="0" w:color="auto"/>
            </w:tcBorders>
            <w:shd w:val="clear" w:color="auto" w:fill="auto"/>
            <w:vAlign w:val="center"/>
          </w:tcPr>
          <w:tbl>
            <w:tblPr>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3330"/>
            </w:tblGrid>
            <w:tr w:rsidR="00F14058" w:rsidRPr="00006681" w14:paraId="4A5B94A9" w14:textId="77777777" w:rsidTr="00F14058">
              <w:trPr>
                <w:trHeight w:val="342"/>
              </w:trPr>
              <w:tc>
                <w:tcPr>
                  <w:tcW w:w="5035" w:type="dxa"/>
                  <w:gridSpan w:val="2"/>
                  <w:shd w:val="clear" w:color="auto" w:fill="F2F2F2"/>
                </w:tcPr>
                <w:p w14:paraId="1E269CD7" w14:textId="77777777" w:rsidR="00F14058" w:rsidRPr="00006681" w:rsidRDefault="00F14058" w:rsidP="00F14058">
                  <w:pPr>
                    <w:spacing w:after="0" w:line="240" w:lineRule="auto"/>
                    <w:rPr>
                      <w:b/>
                      <w:sz w:val="28"/>
                      <w:szCs w:val="28"/>
                    </w:rPr>
                  </w:pPr>
                  <w:r w:rsidRPr="00006681">
                    <w:rPr>
                      <w:b/>
                      <w:sz w:val="28"/>
                      <w:szCs w:val="28"/>
                    </w:rPr>
                    <w:t>Comment Period</w:t>
                  </w:r>
                  <w:r>
                    <w:rPr>
                      <w:b/>
                      <w:sz w:val="28"/>
                      <w:szCs w:val="28"/>
                    </w:rPr>
                    <w:t>:</w:t>
                  </w:r>
                </w:p>
              </w:tc>
            </w:tr>
            <w:tr w:rsidR="00F14058" w:rsidRPr="00006681" w14:paraId="4392619A" w14:textId="77777777" w:rsidTr="00F14058">
              <w:trPr>
                <w:trHeight w:hRule="exact" w:val="288"/>
              </w:trPr>
              <w:tc>
                <w:tcPr>
                  <w:tcW w:w="1705" w:type="dxa"/>
                  <w:tcBorders>
                    <w:bottom w:val="single" w:sz="4" w:space="0" w:color="auto"/>
                  </w:tcBorders>
                  <w:shd w:val="clear" w:color="auto" w:fill="F2F2F2"/>
                </w:tcPr>
                <w:p w14:paraId="3662E5D8" w14:textId="77777777" w:rsidR="00F14058" w:rsidRPr="00006681" w:rsidRDefault="00F14058" w:rsidP="00F14058">
                  <w:pPr>
                    <w:spacing w:after="0" w:line="240" w:lineRule="auto"/>
                    <w:rPr>
                      <w:sz w:val="24"/>
                      <w:szCs w:val="24"/>
                    </w:rPr>
                  </w:pPr>
                  <w:r>
                    <w:rPr>
                      <w:sz w:val="24"/>
                      <w:szCs w:val="24"/>
                    </w:rPr>
                    <w:t>Open Date</w:t>
                  </w:r>
                  <w:r w:rsidRPr="00006681">
                    <w:rPr>
                      <w:sz w:val="24"/>
                      <w:szCs w:val="24"/>
                    </w:rPr>
                    <w:t>:</w:t>
                  </w:r>
                </w:p>
              </w:tc>
              <w:tc>
                <w:tcPr>
                  <w:tcW w:w="3330" w:type="dxa"/>
                  <w:tcBorders>
                    <w:bottom w:val="single" w:sz="4" w:space="0" w:color="auto"/>
                  </w:tcBorders>
                  <w:shd w:val="clear" w:color="auto" w:fill="auto"/>
                </w:tcPr>
                <w:p w14:paraId="0B187021" w14:textId="5387E469" w:rsidR="00F14058" w:rsidRPr="00006681" w:rsidRDefault="00971226" w:rsidP="00F14058">
                  <w:pPr>
                    <w:spacing w:after="0" w:line="240" w:lineRule="auto"/>
                    <w:jc w:val="center"/>
                    <w:rPr>
                      <w:sz w:val="24"/>
                      <w:szCs w:val="24"/>
                    </w:rPr>
                  </w:pPr>
                  <w:r>
                    <w:rPr>
                      <w:sz w:val="24"/>
                      <w:szCs w:val="24"/>
                    </w:rPr>
                    <w:t>19 May</w:t>
                  </w:r>
                  <w:r w:rsidR="00F14058" w:rsidRPr="00F14058">
                    <w:rPr>
                      <w:sz w:val="24"/>
                      <w:szCs w:val="24"/>
                    </w:rPr>
                    <w:t xml:space="preserve"> 2014</w:t>
                  </w:r>
                </w:p>
              </w:tc>
            </w:tr>
            <w:tr w:rsidR="00F14058" w:rsidRPr="00006681" w14:paraId="162D9FC7" w14:textId="77777777" w:rsidTr="00F14058">
              <w:trPr>
                <w:trHeight w:hRule="exact" w:val="288"/>
              </w:trPr>
              <w:tc>
                <w:tcPr>
                  <w:tcW w:w="1705" w:type="dxa"/>
                  <w:shd w:val="clear" w:color="auto" w:fill="F2F2F2"/>
                </w:tcPr>
                <w:p w14:paraId="61B732F3" w14:textId="77777777" w:rsidR="00F14058" w:rsidRPr="00006681" w:rsidRDefault="00F14058" w:rsidP="00F14058">
                  <w:pPr>
                    <w:spacing w:after="0" w:line="240" w:lineRule="auto"/>
                    <w:rPr>
                      <w:sz w:val="24"/>
                      <w:szCs w:val="24"/>
                    </w:rPr>
                  </w:pPr>
                  <w:r>
                    <w:rPr>
                      <w:sz w:val="24"/>
                      <w:szCs w:val="24"/>
                    </w:rPr>
                    <w:t>Close Date:</w:t>
                  </w:r>
                </w:p>
              </w:tc>
              <w:tc>
                <w:tcPr>
                  <w:tcW w:w="3330" w:type="dxa"/>
                  <w:shd w:val="clear" w:color="auto" w:fill="auto"/>
                </w:tcPr>
                <w:p w14:paraId="4C2A8498" w14:textId="192D237A" w:rsidR="00F14058" w:rsidRPr="00006681" w:rsidRDefault="00F14058" w:rsidP="00F14058">
                  <w:pPr>
                    <w:spacing w:after="0" w:line="240" w:lineRule="auto"/>
                    <w:jc w:val="center"/>
                    <w:rPr>
                      <w:sz w:val="24"/>
                      <w:szCs w:val="24"/>
                    </w:rPr>
                  </w:pPr>
                  <w:r w:rsidRPr="00F14058">
                    <w:rPr>
                      <w:sz w:val="24"/>
                      <w:szCs w:val="24"/>
                    </w:rPr>
                    <w:t>18 Jul</w:t>
                  </w:r>
                  <w:r w:rsidR="00971226">
                    <w:rPr>
                      <w:sz w:val="24"/>
                      <w:szCs w:val="24"/>
                    </w:rPr>
                    <w:t>y</w:t>
                  </w:r>
                  <w:r w:rsidRPr="00F14058">
                    <w:rPr>
                      <w:sz w:val="24"/>
                      <w:szCs w:val="24"/>
                    </w:rPr>
                    <w:t xml:space="preserve"> 2014</w:t>
                  </w:r>
                </w:p>
              </w:tc>
            </w:tr>
            <w:tr w:rsidR="00F14058" w:rsidRPr="00006681" w14:paraId="4882A9E3" w14:textId="77777777" w:rsidTr="00F14058">
              <w:trPr>
                <w:trHeight w:hRule="exact" w:val="288"/>
              </w:trPr>
              <w:tc>
                <w:tcPr>
                  <w:tcW w:w="1705" w:type="dxa"/>
                  <w:shd w:val="clear" w:color="auto" w:fill="F2F2F2"/>
                </w:tcPr>
                <w:p w14:paraId="6F573FA0" w14:textId="77777777" w:rsidR="00F14058" w:rsidRDefault="00F14058" w:rsidP="00F14058">
                  <w:pPr>
                    <w:spacing w:after="0" w:line="240" w:lineRule="auto"/>
                    <w:rPr>
                      <w:sz w:val="24"/>
                      <w:szCs w:val="24"/>
                    </w:rPr>
                  </w:pPr>
                  <w:r>
                    <w:rPr>
                      <w:sz w:val="24"/>
                      <w:szCs w:val="24"/>
                    </w:rPr>
                    <w:t>Time (UTC):</w:t>
                  </w:r>
                </w:p>
              </w:tc>
              <w:tc>
                <w:tcPr>
                  <w:tcW w:w="3330" w:type="dxa"/>
                  <w:shd w:val="clear" w:color="auto" w:fill="auto"/>
                </w:tcPr>
                <w:p w14:paraId="0130CF05" w14:textId="77777777" w:rsidR="00F14058" w:rsidRPr="00006681" w:rsidRDefault="00F14058" w:rsidP="00F14058">
                  <w:pPr>
                    <w:spacing w:after="0" w:line="240" w:lineRule="auto"/>
                    <w:jc w:val="center"/>
                    <w:rPr>
                      <w:sz w:val="24"/>
                      <w:szCs w:val="24"/>
                    </w:rPr>
                  </w:pPr>
                  <w:r>
                    <w:rPr>
                      <w:sz w:val="24"/>
                      <w:szCs w:val="24"/>
                    </w:rPr>
                    <w:t>23:59</w:t>
                  </w:r>
                </w:p>
              </w:tc>
            </w:tr>
          </w:tbl>
          <w:p w14:paraId="57BC56B6" w14:textId="77777777" w:rsidR="00F14058" w:rsidRPr="001C3532" w:rsidRDefault="00F14058" w:rsidP="00F14058">
            <w:pPr>
              <w:rPr>
                <w:sz w:val="24"/>
                <w:szCs w:val="24"/>
              </w:rPr>
            </w:pPr>
          </w:p>
        </w:tc>
        <w:tc>
          <w:tcPr>
            <w:tcW w:w="4770" w:type="dxa"/>
            <w:gridSpan w:val="3"/>
            <w:shd w:val="clear" w:color="auto" w:fill="auto"/>
            <w:vAlign w:val="center"/>
          </w:tcPr>
          <w:tbl>
            <w:tblPr>
              <w:tblW w:w="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9"/>
            </w:tblGrid>
            <w:tr w:rsidR="00F14058" w:rsidRPr="001C3532" w14:paraId="067CE904" w14:textId="77777777" w:rsidTr="00F14058">
              <w:trPr>
                <w:trHeight w:hRule="exact" w:val="432"/>
                <w:jc w:val="center"/>
              </w:trPr>
              <w:tc>
                <w:tcPr>
                  <w:tcW w:w="4239" w:type="dxa"/>
                  <w:shd w:val="clear" w:color="auto" w:fill="F2F2F2"/>
                </w:tcPr>
                <w:p w14:paraId="6F5762F9" w14:textId="77777777" w:rsidR="00F14058" w:rsidRPr="001C3532" w:rsidRDefault="00F14058" w:rsidP="00F14058">
                  <w:pPr>
                    <w:spacing w:after="0" w:line="240" w:lineRule="auto"/>
                    <w:jc w:val="center"/>
                    <w:rPr>
                      <w:b/>
                      <w:color w:val="C00000"/>
                      <w:sz w:val="28"/>
                      <w:szCs w:val="28"/>
                    </w:rPr>
                  </w:pPr>
                  <w:r w:rsidRPr="001C3532">
                    <w:rPr>
                      <w:b/>
                      <w:color w:val="C00000"/>
                      <w:sz w:val="28"/>
                      <w:szCs w:val="28"/>
                    </w:rPr>
                    <w:t>Important Information Links</w:t>
                  </w:r>
                </w:p>
              </w:tc>
            </w:tr>
            <w:tr w:rsidR="00F14058" w:rsidRPr="001C3532" w14:paraId="0E3456D8" w14:textId="77777777" w:rsidTr="00F14058">
              <w:trPr>
                <w:trHeight w:hRule="exact" w:val="288"/>
                <w:jc w:val="center"/>
              </w:trPr>
              <w:tc>
                <w:tcPr>
                  <w:tcW w:w="4239" w:type="dxa"/>
                  <w:shd w:val="clear" w:color="auto" w:fill="auto"/>
                </w:tcPr>
                <w:p w14:paraId="0103E9FE" w14:textId="77777777" w:rsidR="00F14058" w:rsidRPr="001C3532" w:rsidRDefault="005207BA" w:rsidP="00F14058">
                  <w:pPr>
                    <w:spacing w:after="0" w:line="240" w:lineRule="auto"/>
                    <w:jc w:val="center"/>
                    <w:rPr>
                      <w:sz w:val="24"/>
                      <w:szCs w:val="24"/>
                    </w:rPr>
                  </w:pPr>
                  <w:hyperlink r:id="rId5" w:history="1">
                    <w:r w:rsidR="00F14058" w:rsidRPr="00FC17FD">
                      <w:rPr>
                        <w:rStyle w:val="Hyperlink"/>
                        <w:sz w:val="24"/>
                        <w:szCs w:val="24"/>
                      </w:rPr>
                      <w:t>Announcement</w:t>
                    </w:r>
                  </w:hyperlink>
                </w:p>
              </w:tc>
            </w:tr>
            <w:tr w:rsidR="00F14058" w:rsidRPr="001C3532" w14:paraId="21D3BB42" w14:textId="77777777" w:rsidTr="00F14058">
              <w:trPr>
                <w:trHeight w:hRule="exact" w:val="288"/>
                <w:jc w:val="center"/>
              </w:trPr>
              <w:tc>
                <w:tcPr>
                  <w:tcW w:w="4239" w:type="dxa"/>
                  <w:shd w:val="clear" w:color="auto" w:fill="auto"/>
                </w:tcPr>
                <w:p w14:paraId="08F45E56" w14:textId="77777777" w:rsidR="00F14058" w:rsidRPr="001C3532" w:rsidRDefault="005207BA" w:rsidP="00F14058">
                  <w:pPr>
                    <w:spacing w:after="0" w:line="240" w:lineRule="auto"/>
                    <w:jc w:val="center"/>
                    <w:rPr>
                      <w:sz w:val="24"/>
                      <w:szCs w:val="24"/>
                    </w:rPr>
                  </w:pPr>
                  <w:hyperlink r:id="rId6" w:history="1">
                    <w:r w:rsidR="00F14058" w:rsidRPr="00FC17FD">
                      <w:rPr>
                        <w:rStyle w:val="Hyperlink"/>
                        <w:sz w:val="24"/>
                        <w:szCs w:val="24"/>
                      </w:rPr>
                      <w:t>Public Comment Box</w:t>
                    </w:r>
                  </w:hyperlink>
                </w:p>
              </w:tc>
            </w:tr>
            <w:tr w:rsidR="00F14058" w:rsidRPr="001C3532" w14:paraId="3652807A" w14:textId="77777777" w:rsidTr="00F14058">
              <w:trPr>
                <w:trHeight w:hRule="exact" w:val="288"/>
                <w:jc w:val="center"/>
              </w:trPr>
              <w:tc>
                <w:tcPr>
                  <w:tcW w:w="4239" w:type="dxa"/>
                  <w:shd w:val="clear" w:color="auto" w:fill="auto"/>
                </w:tcPr>
                <w:p w14:paraId="52C3A309" w14:textId="77777777" w:rsidR="00F14058" w:rsidRPr="001C3532" w:rsidRDefault="005207BA" w:rsidP="00F14058">
                  <w:pPr>
                    <w:spacing w:after="0" w:line="240" w:lineRule="auto"/>
                    <w:jc w:val="center"/>
                    <w:rPr>
                      <w:sz w:val="24"/>
                      <w:szCs w:val="24"/>
                    </w:rPr>
                  </w:pPr>
                  <w:hyperlink r:id="rId7" w:history="1">
                    <w:r w:rsidR="00F14058" w:rsidRPr="00FC17FD">
                      <w:rPr>
                        <w:rStyle w:val="Hyperlink"/>
                        <w:sz w:val="24"/>
                        <w:szCs w:val="24"/>
                      </w:rPr>
                      <w:t>View</w:t>
                    </w:r>
                    <w:r w:rsidR="00F14058" w:rsidRPr="00FC17FD">
                      <w:rPr>
                        <w:rStyle w:val="Hyperlink"/>
                        <w:sz w:val="24"/>
                        <w:szCs w:val="24"/>
                      </w:rPr>
                      <w:cr/>
                      <w:t xml:space="preserve"> Comments</w:t>
                    </w:r>
                    <w:r w:rsidR="00F14058" w:rsidRPr="00FC17FD">
                      <w:rPr>
                        <w:rStyle w:val="Hyperlink"/>
                        <w:sz w:val="24"/>
                        <w:szCs w:val="24"/>
                      </w:rPr>
                      <w:cr/>
                      <w:t xml:space="preserve"> Submitted</w:t>
                    </w:r>
                  </w:hyperlink>
                </w:p>
              </w:tc>
            </w:tr>
          </w:tbl>
          <w:p w14:paraId="16178F35" w14:textId="77777777" w:rsidR="00F14058" w:rsidRPr="001C3532" w:rsidRDefault="00F14058" w:rsidP="00F14058">
            <w:pPr>
              <w:spacing w:after="0" w:line="240" w:lineRule="auto"/>
              <w:rPr>
                <w:sz w:val="24"/>
                <w:szCs w:val="24"/>
              </w:rPr>
            </w:pPr>
          </w:p>
        </w:tc>
      </w:tr>
      <w:tr w:rsidR="00F14058" w:rsidRPr="001C3532" w14:paraId="3DF4B110" w14:textId="77777777" w:rsidTr="00F14058">
        <w:trPr>
          <w:trHeight w:hRule="exact" w:val="360"/>
        </w:trPr>
        <w:tc>
          <w:tcPr>
            <w:tcW w:w="1818" w:type="dxa"/>
            <w:gridSpan w:val="2"/>
            <w:shd w:val="clear" w:color="auto" w:fill="F2F2F2"/>
            <w:vAlign w:val="center"/>
          </w:tcPr>
          <w:p w14:paraId="6F1B7DBA" w14:textId="77777777" w:rsidR="00F14058" w:rsidRPr="00356771" w:rsidRDefault="00F14058" w:rsidP="00F14058">
            <w:pPr>
              <w:spacing w:after="0" w:line="240" w:lineRule="auto"/>
              <w:rPr>
                <w:b/>
                <w:sz w:val="24"/>
                <w:szCs w:val="24"/>
              </w:rPr>
            </w:pPr>
            <w:r w:rsidRPr="00356771">
              <w:rPr>
                <w:b/>
                <w:sz w:val="24"/>
                <w:szCs w:val="24"/>
              </w:rPr>
              <w:t xml:space="preserve">Staff </w:t>
            </w:r>
            <w:r>
              <w:rPr>
                <w:b/>
                <w:sz w:val="24"/>
                <w:szCs w:val="24"/>
              </w:rPr>
              <w:t>Contact</w:t>
            </w:r>
            <w:r w:rsidRPr="00356771">
              <w:rPr>
                <w:b/>
                <w:sz w:val="24"/>
                <w:szCs w:val="24"/>
              </w:rPr>
              <w:t>:</w:t>
            </w:r>
          </w:p>
        </w:tc>
        <w:tc>
          <w:tcPr>
            <w:tcW w:w="3870" w:type="dxa"/>
            <w:gridSpan w:val="3"/>
            <w:shd w:val="clear" w:color="auto" w:fill="auto"/>
            <w:vAlign w:val="center"/>
          </w:tcPr>
          <w:p w14:paraId="0CB32B1B" w14:textId="77777777" w:rsidR="00F14058" w:rsidRPr="001C3532" w:rsidRDefault="00F14058" w:rsidP="00F14058">
            <w:pPr>
              <w:spacing w:after="0" w:line="240" w:lineRule="auto"/>
              <w:rPr>
                <w:sz w:val="24"/>
                <w:szCs w:val="24"/>
              </w:rPr>
            </w:pPr>
            <w:r>
              <w:rPr>
                <w:sz w:val="24"/>
                <w:szCs w:val="24"/>
              </w:rPr>
              <w:t>Caitlin Tubergen</w:t>
            </w:r>
          </w:p>
        </w:tc>
        <w:tc>
          <w:tcPr>
            <w:tcW w:w="990" w:type="dxa"/>
            <w:shd w:val="clear" w:color="auto" w:fill="F2F2F2"/>
            <w:vAlign w:val="center"/>
          </w:tcPr>
          <w:p w14:paraId="508958E4" w14:textId="77777777" w:rsidR="00F14058" w:rsidRPr="00356771" w:rsidRDefault="00F14058" w:rsidP="00F14058">
            <w:pPr>
              <w:spacing w:after="0" w:line="240" w:lineRule="auto"/>
              <w:rPr>
                <w:b/>
                <w:sz w:val="24"/>
                <w:szCs w:val="24"/>
              </w:rPr>
            </w:pPr>
            <w:r w:rsidRPr="00356771">
              <w:rPr>
                <w:b/>
                <w:sz w:val="24"/>
                <w:szCs w:val="24"/>
              </w:rPr>
              <w:t>Email:</w:t>
            </w:r>
          </w:p>
        </w:tc>
        <w:tc>
          <w:tcPr>
            <w:tcW w:w="3510" w:type="dxa"/>
            <w:shd w:val="clear" w:color="auto" w:fill="auto"/>
            <w:vAlign w:val="center"/>
          </w:tcPr>
          <w:p w14:paraId="4023F181" w14:textId="77777777" w:rsidR="00F14058" w:rsidRPr="001C3532" w:rsidRDefault="00F14058" w:rsidP="00F14058">
            <w:pPr>
              <w:spacing w:after="0" w:line="240" w:lineRule="auto"/>
              <w:rPr>
                <w:sz w:val="24"/>
                <w:szCs w:val="24"/>
              </w:rPr>
            </w:pPr>
            <w:proofErr w:type="gramStart"/>
            <w:r>
              <w:rPr>
                <w:sz w:val="24"/>
                <w:szCs w:val="24"/>
              </w:rPr>
              <w:t>caitlin.tubergen@icann.org</w:t>
            </w:r>
            <w:proofErr w:type="gramEnd"/>
          </w:p>
        </w:tc>
      </w:tr>
      <w:tr w:rsidR="00F14058" w:rsidRPr="001C3532" w14:paraId="0DCD14BB" w14:textId="77777777" w:rsidTr="00F14058">
        <w:trPr>
          <w:trHeight w:hRule="exact" w:val="360"/>
        </w:trPr>
        <w:tc>
          <w:tcPr>
            <w:tcW w:w="10188" w:type="dxa"/>
            <w:gridSpan w:val="7"/>
            <w:shd w:val="clear" w:color="auto" w:fill="F2F2F2"/>
            <w:vAlign w:val="center"/>
          </w:tcPr>
          <w:p w14:paraId="6F398C6D" w14:textId="77777777" w:rsidR="00F14058" w:rsidRPr="00006681" w:rsidRDefault="00F14058" w:rsidP="00F14058">
            <w:pPr>
              <w:spacing w:after="0" w:line="240" w:lineRule="auto"/>
              <w:rPr>
                <w:b/>
                <w:sz w:val="24"/>
                <w:szCs w:val="24"/>
              </w:rPr>
            </w:pPr>
            <w:r>
              <w:rPr>
                <w:b/>
                <w:sz w:val="24"/>
                <w:szCs w:val="24"/>
              </w:rPr>
              <w:t>Section I:  General Overview and Next Steps</w:t>
            </w:r>
          </w:p>
        </w:tc>
      </w:tr>
      <w:tr w:rsidR="00F14058" w:rsidRPr="001C3532" w14:paraId="479B58EC" w14:textId="77777777" w:rsidTr="00F14058">
        <w:trPr>
          <w:trHeight w:val="360"/>
        </w:trPr>
        <w:tc>
          <w:tcPr>
            <w:tcW w:w="10188" w:type="dxa"/>
            <w:gridSpan w:val="7"/>
            <w:shd w:val="clear" w:color="auto" w:fill="auto"/>
            <w:vAlign w:val="center"/>
          </w:tcPr>
          <w:p w14:paraId="0FA10967" w14:textId="4C39DDC0" w:rsidR="00CB4D33" w:rsidRPr="009873BB" w:rsidRDefault="00CB4D33" w:rsidP="00CB4D33">
            <w:pPr>
              <w:pStyle w:val="NormalWeb"/>
              <w:shd w:val="clear" w:color="auto" w:fill="FFFFFF"/>
              <w:rPr>
                <w:rFonts w:ascii="Calibri" w:eastAsia="Calibri" w:hAnsi="Calibri"/>
                <w:sz w:val="24"/>
                <w:szCs w:val="24"/>
              </w:rPr>
            </w:pPr>
            <w:r w:rsidRPr="009873BB">
              <w:rPr>
                <w:rFonts w:ascii="Calibri" w:eastAsia="Calibri" w:hAnsi="Calibri"/>
                <w:sz w:val="24"/>
                <w:szCs w:val="24"/>
              </w:rPr>
              <w:t xml:space="preserve">Currently there is no requirement to lock names in the period between filing a UDRP complaint and </w:t>
            </w:r>
            <w:r w:rsidR="00E24363">
              <w:rPr>
                <w:rFonts w:ascii="Calibri" w:eastAsia="Calibri" w:hAnsi="Calibri"/>
                <w:sz w:val="24"/>
                <w:szCs w:val="24"/>
              </w:rPr>
              <w:t xml:space="preserve">the </w:t>
            </w:r>
            <w:r w:rsidRPr="009873BB">
              <w:rPr>
                <w:rFonts w:ascii="Calibri" w:eastAsia="Calibri" w:hAnsi="Calibri"/>
                <w:sz w:val="24"/>
                <w:szCs w:val="24"/>
              </w:rPr>
              <w:t>commencement of UDRP proceedings and no definition of “status quo”, which has resulted in different interpretations and confusion of the</w:t>
            </w:r>
            <w:r w:rsidRPr="009873BB">
              <w:rPr>
                <w:rFonts w:ascii="Calibri" w:eastAsia="Calibri" w:hAnsi="Calibri"/>
              </w:rPr>
              <w:t> </w:t>
            </w:r>
            <w:r w:rsidRPr="009873BB">
              <w:rPr>
                <w:rFonts w:ascii="Calibri" w:eastAsia="Calibri" w:hAnsi="Calibri"/>
                <w:sz w:val="24"/>
                <w:szCs w:val="24"/>
              </w:rPr>
              <w:t>UDRP. To address this issue, the</w:t>
            </w:r>
            <w:r w:rsidRPr="009873BB">
              <w:rPr>
                <w:rFonts w:ascii="Calibri" w:eastAsia="Calibri" w:hAnsi="Calibri"/>
              </w:rPr>
              <w:t> </w:t>
            </w:r>
            <w:r w:rsidRPr="009873BB">
              <w:rPr>
                <w:rFonts w:ascii="Calibri" w:eastAsia="Calibri" w:hAnsi="Calibri"/>
                <w:sz w:val="24"/>
                <w:szCs w:val="24"/>
              </w:rPr>
              <w:t>GNSO</w:t>
            </w:r>
            <w:r w:rsidRPr="009873BB">
              <w:rPr>
                <w:rFonts w:ascii="Calibri" w:eastAsia="Calibri" w:hAnsi="Calibri"/>
              </w:rPr>
              <w:t> </w:t>
            </w:r>
            <w:r w:rsidRPr="009873BB">
              <w:rPr>
                <w:rFonts w:ascii="Calibri" w:eastAsia="Calibri" w:hAnsi="Calibri"/>
                <w:sz w:val="24"/>
                <w:szCs w:val="24"/>
              </w:rPr>
              <w:t>Council decided to initiate a Policy Development Process on 15 December 2011. As part of its deliberations, the</w:t>
            </w:r>
            <w:r w:rsidRPr="009873BB">
              <w:rPr>
                <w:rFonts w:ascii="Calibri" w:eastAsia="Calibri" w:hAnsi="Calibri"/>
              </w:rPr>
              <w:t> </w:t>
            </w:r>
            <w:r w:rsidRPr="009873BB">
              <w:rPr>
                <w:rFonts w:ascii="Calibri" w:eastAsia="Calibri" w:hAnsi="Calibri"/>
                <w:sz w:val="24"/>
                <w:szCs w:val="24"/>
              </w:rPr>
              <w:t>WG was required to consider the following questions:</w:t>
            </w:r>
          </w:p>
          <w:p w14:paraId="2FF26220" w14:textId="77777777" w:rsidR="00CB4D33" w:rsidRPr="009873BB" w:rsidRDefault="00CB4D33" w:rsidP="00CB4D33">
            <w:pPr>
              <w:pStyle w:val="NormalWeb"/>
              <w:shd w:val="clear" w:color="auto" w:fill="FFFFFF"/>
              <w:rPr>
                <w:rFonts w:ascii="Calibri" w:eastAsia="Calibri" w:hAnsi="Calibri"/>
                <w:sz w:val="24"/>
                <w:szCs w:val="24"/>
              </w:rPr>
            </w:pPr>
            <w:r w:rsidRPr="009873BB">
              <w:rPr>
                <w:rFonts w:ascii="Calibri" w:eastAsia="Calibri" w:hAnsi="Calibri"/>
                <w:sz w:val="24"/>
                <w:szCs w:val="24"/>
              </w:rPr>
              <w:t>1. Whether the creation of an outline of a proposed procedure, which a complainant must follow in order for a registrar to place a domain name on registrar lock, would be desirable.</w:t>
            </w:r>
          </w:p>
          <w:p w14:paraId="00AB37D3" w14:textId="77777777" w:rsidR="00CB4D33" w:rsidRPr="009873BB" w:rsidRDefault="00CB4D33" w:rsidP="00CB4D33">
            <w:pPr>
              <w:pStyle w:val="NormalWeb"/>
              <w:shd w:val="clear" w:color="auto" w:fill="FFFFFF"/>
              <w:rPr>
                <w:rFonts w:ascii="Calibri" w:eastAsia="Calibri" w:hAnsi="Calibri"/>
                <w:sz w:val="24"/>
                <w:szCs w:val="24"/>
              </w:rPr>
            </w:pPr>
            <w:r w:rsidRPr="009873BB">
              <w:rPr>
                <w:rFonts w:ascii="Calibri" w:eastAsia="Calibri" w:hAnsi="Calibri"/>
                <w:sz w:val="24"/>
                <w:szCs w:val="24"/>
              </w:rPr>
              <w:t>2. Whether the creation of an outline of the steps of the process that a registrar can reasonably expect to take place during a</w:t>
            </w:r>
            <w:r w:rsidRPr="009873BB">
              <w:rPr>
                <w:rFonts w:ascii="Calibri" w:eastAsia="Calibri" w:hAnsi="Calibri"/>
              </w:rPr>
              <w:t> </w:t>
            </w:r>
            <w:r w:rsidRPr="009873BB">
              <w:rPr>
                <w:rFonts w:ascii="Calibri" w:eastAsia="Calibri" w:hAnsi="Calibri"/>
                <w:sz w:val="24"/>
                <w:szCs w:val="24"/>
              </w:rPr>
              <w:t>UDRP</w:t>
            </w:r>
            <w:r w:rsidRPr="009873BB">
              <w:rPr>
                <w:rFonts w:ascii="Calibri" w:eastAsia="Calibri" w:hAnsi="Calibri"/>
              </w:rPr>
              <w:t> </w:t>
            </w:r>
            <w:r w:rsidRPr="009873BB">
              <w:rPr>
                <w:rFonts w:ascii="Calibri" w:eastAsia="Calibri" w:hAnsi="Calibri"/>
                <w:sz w:val="24"/>
                <w:szCs w:val="24"/>
              </w:rPr>
              <w:t>dispute would be desirable.</w:t>
            </w:r>
          </w:p>
          <w:p w14:paraId="43895718" w14:textId="77777777" w:rsidR="00CB4D33" w:rsidRPr="009873BB" w:rsidRDefault="00CB4D33" w:rsidP="00CB4D33">
            <w:pPr>
              <w:pStyle w:val="NormalWeb"/>
              <w:shd w:val="clear" w:color="auto" w:fill="FFFFFF"/>
              <w:rPr>
                <w:rFonts w:ascii="Calibri" w:eastAsia="Calibri" w:hAnsi="Calibri"/>
                <w:sz w:val="24"/>
                <w:szCs w:val="24"/>
              </w:rPr>
            </w:pPr>
            <w:r w:rsidRPr="009873BB">
              <w:rPr>
                <w:rFonts w:ascii="Calibri" w:eastAsia="Calibri" w:hAnsi="Calibri"/>
                <w:sz w:val="24"/>
                <w:szCs w:val="24"/>
              </w:rPr>
              <w:t>3. Whether the time frame by which a registrar must lock a domain after a</w:t>
            </w:r>
            <w:r w:rsidRPr="009873BB">
              <w:rPr>
                <w:rFonts w:ascii="Calibri" w:eastAsia="Calibri" w:hAnsi="Calibri"/>
              </w:rPr>
              <w:t> </w:t>
            </w:r>
            <w:r w:rsidRPr="009873BB">
              <w:rPr>
                <w:rFonts w:ascii="Calibri" w:eastAsia="Calibri" w:hAnsi="Calibri"/>
                <w:sz w:val="24"/>
                <w:szCs w:val="24"/>
              </w:rPr>
              <w:t>UDRP</w:t>
            </w:r>
            <w:r w:rsidRPr="009873BB">
              <w:rPr>
                <w:rFonts w:ascii="Calibri" w:eastAsia="Calibri" w:hAnsi="Calibri"/>
              </w:rPr>
              <w:t> </w:t>
            </w:r>
            <w:r w:rsidRPr="009873BB">
              <w:rPr>
                <w:rFonts w:ascii="Calibri" w:eastAsia="Calibri" w:hAnsi="Calibri"/>
                <w:sz w:val="24"/>
                <w:szCs w:val="24"/>
              </w:rPr>
              <w:t>has been filed should be standardized.</w:t>
            </w:r>
          </w:p>
          <w:p w14:paraId="06DF0B77" w14:textId="77777777" w:rsidR="00CB4D33" w:rsidRPr="009873BB" w:rsidRDefault="00CB4D33" w:rsidP="00CB4D33">
            <w:pPr>
              <w:pStyle w:val="NormalWeb"/>
              <w:shd w:val="clear" w:color="auto" w:fill="FFFFFF"/>
              <w:rPr>
                <w:rFonts w:ascii="Calibri" w:eastAsia="Calibri" w:hAnsi="Calibri"/>
                <w:sz w:val="24"/>
                <w:szCs w:val="24"/>
              </w:rPr>
            </w:pPr>
            <w:r w:rsidRPr="009873BB">
              <w:rPr>
                <w:rFonts w:ascii="Calibri" w:eastAsia="Calibri" w:hAnsi="Calibri"/>
                <w:sz w:val="24"/>
                <w:szCs w:val="24"/>
              </w:rPr>
              <w:t>4a. Whether what constitutes a "locked" domain name should be defined.</w:t>
            </w:r>
          </w:p>
          <w:p w14:paraId="35C787B5" w14:textId="77777777" w:rsidR="00CB4D33" w:rsidRPr="009873BB" w:rsidRDefault="00CB4D33" w:rsidP="00CB4D33">
            <w:pPr>
              <w:pStyle w:val="NormalWeb"/>
              <w:shd w:val="clear" w:color="auto" w:fill="FFFFFF"/>
              <w:rPr>
                <w:rFonts w:ascii="Calibri" w:eastAsia="Calibri" w:hAnsi="Calibri"/>
                <w:sz w:val="24"/>
                <w:szCs w:val="24"/>
              </w:rPr>
            </w:pPr>
            <w:r w:rsidRPr="009873BB">
              <w:rPr>
                <w:rFonts w:ascii="Calibri" w:eastAsia="Calibri" w:hAnsi="Calibri"/>
                <w:sz w:val="24"/>
                <w:szCs w:val="24"/>
              </w:rPr>
              <w:t>4b. Whether, once a domain name is “locked” pursuant to a</w:t>
            </w:r>
            <w:r w:rsidRPr="009873BB">
              <w:rPr>
                <w:rFonts w:ascii="Calibri" w:eastAsia="Calibri" w:hAnsi="Calibri"/>
              </w:rPr>
              <w:t> </w:t>
            </w:r>
            <w:r w:rsidRPr="009873BB">
              <w:rPr>
                <w:rFonts w:ascii="Calibri" w:eastAsia="Calibri" w:hAnsi="Calibri"/>
                <w:sz w:val="24"/>
                <w:szCs w:val="24"/>
              </w:rPr>
              <w:t>UDRP</w:t>
            </w:r>
            <w:r w:rsidRPr="009873BB">
              <w:rPr>
                <w:rFonts w:ascii="Calibri" w:eastAsia="Calibri" w:hAnsi="Calibri"/>
              </w:rPr>
              <w:t> </w:t>
            </w:r>
            <w:r w:rsidRPr="009873BB">
              <w:rPr>
                <w:rFonts w:ascii="Calibri" w:eastAsia="Calibri" w:hAnsi="Calibri"/>
                <w:sz w:val="24"/>
                <w:szCs w:val="24"/>
              </w:rPr>
              <w:t>proceeding, the registrant information for that domain name may be changed or modified.</w:t>
            </w:r>
          </w:p>
          <w:p w14:paraId="42ADFC6D" w14:textId="77777777" w:rsidR="00CB4D33" w:rsidRPr="009873BB" w:rsidRDefault="00CB4D33" w:rsidP="00CB4D33">
            <w:pPr>
              <w:pStyle w:val="NormalWeb"/>
              <w:shd w:val="clear" w:color="auto" w:fill="FFFFFF"/>
              <w:rPr>
                <w:rFonts w:ascii="Calibri" w:eastAsia="Calibri" w:hAnsi="Calibri"/>
                <w:sz w:val="24"/>
                <w:szCs w:val="24"/>
              </w:rPr>
            </w:pPr>
            <w:r w:rsidRPr="009873BB">
              <w:rPr>
                <w:rFonts w:ascii="Calibri" w:eastAsia="Calibri" w:hAnsi="Calibri"/>
                <w:sz w:val="24"/>
                <w:szCs w:val="24"/>
              </w:rPr>
              <w:t>5. Whether additional safeguards should be created for the protection of registrants in cases where the domain name is locked subject to a</w:t>
            </w:r>
            <w:r w:rsidRPr="009873BB">
              <w:rPr>
                <w:rFonts w:ascii="Calibri" w:eastAsia="Calibri" w:hAnsi="Calibri"/>
              </w:rPr>
              <w:t> </w:t>
            </w:r>
            <w:r w:rsidRPr="009873BB">
              <w:rPr>
                <w:rFonts w:ascii="Calibri" w:eastAsia="Calibri" w:hAnsi="Calibri"/>
                <w:sz w:val="24"/>
                <w:szCs w:val="24"/>
              </w:rPr>
              <w:t>UDRP</w:t>
            </w:r>
            <w:r w:rsidRPr="009873BB">
              <w:rPr>
                <w:rFonts w:ascii="Calibri" w:eastAsia="Calibri" w:hAnsi="Calibri"/>
              </w:rPr>
              <w:t> </w:t>
            </w:r>
            <w:r w:rsidRPr="009873BB">
              <w:rPr>
                <w:rFonts w:ascii="Calibri" w:eastAsia="Calibri" w:hAnsi="Calibri"/>
                <w:sz w:val="24"/>
                <w:szCs w:val="24"/>
              </w:rPr>
              <w:t>proceeding.</w:t>
            </w:r>
          </w:p>
          <w:p w14:paraId="27B9BAFD" w14:textId="0A81046A" w:rsidR="00CB4D33" w:rsidRPr="009873BB" w:rsidRDefault="00CB4D33" w:rsidP="00CB4D33">
            <w:pPr>
              <w:pStyle w:val="NormalWeb"/>
              <w:shd w:val="clear" w:color="auto" w:fill="FFFFFF"/>
              <w:rPr>
                <w:rFonts w:ascii="Calibri" w:eastAsia="Calibri" w:hAnsi="Calibri"/>
                <w:sz w:val="24"/>
                <w:szCs w:val="24"/>
              </w:rPr>
            </w:pPr>
            <w:r w:rsidRPr="009873BB">
              <w:rPr>
                <w:rFonts w:ascii="Calibri" w:eastAsia="Calibri" w:hAnsi="Calibri"/>
                <w:sz w:val="24"/>
                <w:szCs w:val="24"/>
              </w:rPr>
              <w:t>The Working Group published its Initial Report for public comment on 15 March 2013 (see</w:t>
            </w:r>
            <w:r w:rsidR="009873BB" w:rsidRPr="009873BB">
              <w:rPr>
                <w:rFonts w:ascii="Calibri" w:eastAsia="Calibri" w:hAnsi="Calibri"/>
                <w:sz w:val="24"/>
                <w:szCs w:val="24"/>
              </w:rPr>
              <w:t xml:space="preserve"> </w:t>
            </w:r>
            <w:hyperlink r:id="rId8" w:history="1">
              <w:r w:rsidRPr="009873BB">
                <w:rPr>
                  <w:rFonts w:ascii="Calibri" w:eastAsia="Calibri" w:hAnsi="Calibri"/>
                  <w:sz w:val="24"/>
                  <w:szCs w:val="24"/>
                </w:rPr>
                <w:t>http://www.icann.org/en/news/public-comment/locking-domain-name-15mar13-en.htm</w:t>
              </w:r>
            </w:hyperlink>
            <w:r w:rsidRPr="009873BB">
              <w:rPr>
                <w:rFonts w:ascii="Calibri" w:eastAsia="Calibri" w:hAnsi="Calibri"/>
                <w:sz w:val="24"/>
                <w:szCs w:val="24"/>
              </w:rPr>
              <w:t>), followed by its Final Report (see </w:t>
            </w:r>
            <w:hyperlink r:id="rId9" w:history="1">
              <w:r w:rsidRPr="009873BB">
                <w:rPr>
                  <w:rFonts w:ascii="Calibri" w:eastAsia="Calibri" w:hAnsi="Calibri"/>
                  <w:sz w:val="24"/>
                  <w:szCs w:val="24"/>
                </w:rPr>
                <w:t>Locking of a Domain Name Subject to UDRP Proceedings PDP Final Report</w:t>
              </w:r>
            </w:hyperlink>
            <w:r w:rsidRPr="009873BB">
              <w:rPr>
                <w:rFonts w:ascii="Calibri" w:eastAsia="Calibri" w:hAnsi="Calibri"/>
                <w:sz w:val="24"/>
                <w:szCs w:val="24"/>
              </w:rPr>
              <w:t> [PDF, 1 MB]) on 5 July 2013. The GNSO unanimously </w:t>
            </w:r>
            <w:hyperlink r:id="rId10" w:history="1">
              <w:r w:rsidRPr="009873BB">
                <w:rPr>
                  <w:rFonts w:ascii="Calibri" w:eastAsia="Calibri" w:hAnsi="Calibri"/>
                  <w:sz w:val="24"/>
                  <w:szCs w:val="24"/>
                </w:rPr>
                <w:t>approved</w:t>
              </w:r>
            </w:hyperlink>
            <w:r w:rsidRPr="009873BB">
              <w:rPr>
                <w:rFonts w:ascii="Calibri" w:eastAsia="Calibri" w:hAnsi="Calibri"/>
                <w:sz w:val="24"/>
                <w:szCs w:val="24"/>
              </w:rPr>
              <w:t> the recommendations at its meeting on 1 August 2013 followed by the ICANN Board on 28 September 2013.  An Implementation Revie</w:t>
            </w:r>
            <w:r w:rsidR="00E24363">
              <w:rPr>
                <w:rFonts w:ascii="Calibri" w:eastAsia="Calibri" w:hAnsi="Calibri"/>
                <w:sz w:val="24"/>
                <w:szCs w:val="24"/>
              </w:rPr>
              <w:t>w Team (“IRT”) was formed, and</w:t>
            </w:r>
            <w:r w:rsidRPr="009873BB">
              <w:rPr>
                <w:rFonts w:ascii="Calibri" w:eastAsia="Calibri" w:hAnsi="Calibri"/>
                <w:sz w:val="24"/>
                <w:szCs w:val="24"/>
              </w:rPr>
              <w:t xml:space="preserve"> ICANN staff, together with the Implementation Review Team</w:t>
            </w:r>
            <w:r w:rsidR="009873BB" w:rsidRPr="009873BB">
              <w:rPr>
                <w:rFonts w:ascii="Calibri" w:eastAsia="Calibri" w:hAnsi="Calibri"/>
                <w:sz w:val="24"/>
                <w:szCs w:val="24"/>
              </w:rPr>
              <w:t xml:space="preserve">, </w:t>
            </w:r>
            <w:r w:rsidR="009873BB" w:rsidRPr="009873BB">
              <w:rPr>
                <w:rFonts w:ascii="Calibri" w:eastAsia="Calibri" w:hAnsi="Calibri"/>
                <w:sz w:val="24"/>
                <w:szCs w:val="24"/>
              </w:rPr>
              <w:lastRenderedPageBreak/>
              <w:t xml:space="preserve">modified the UDRP Rules to incorporate the recommendations.  The modified UDRP Rules were posted for </w:t>
            </w:r>
            <w:hyperlink r:id="rId11" w:history="1">
              <w:r w:rsidR="009873BB" w:rsidRPr="009873BB">
                <w:rPr>
                  <w:rFonts w:ascii="Calibri" w:eastAsia="Calibri" w:hAnsi="Calibri"/>
                  <w:sz w:val="24"/>
                  <w:szCs w:val="24"/>
                </w:rPr>
                <w:t>public comment</w:t>
              </w:r>
            </w:hyperlink>
            <w:r w:rsidR="009873BB" w:rsidRPr="009873BB">
              <w:rPr>
                <w:rFonts w:ascii="Calibri" w:eastAsia="Calibri" w:hAnsi="Calibri"/>
                <w:sz w:val="24"/>
                <w:szCs w:val="24"/>
              </w:rPr>
              <w:t>.</w:t>
            </w:r>
          </w:p>
          <w:p w14:paraId="18F3EC78" w14:textId="7D6B6D73" w:rsidR="00F14058" w:rsidRPr="009873BB" w:rsidRDefault="00F14058" w:rsidP="00F14058">
            <w:pPr>
              <w:spacing w:after="0" w:line="240" w:lineRule="auto"/>
              <w:rPr>
                <w:sz w:val="24"/>
                <w:szCs w:val="24"/>
              </w:rPr>
            </w:pPr>
            <w:r w:rsidRPr="009873BB">
              <w:rPr>
                <w:sz w:val="24"/>
                <w:szCs w:val="24"/>
              </w:rPr>
              <w:t>ICANN</w:t>
            </w:r>
            <w:r w:rsidR="005B19A2">
              <w:rPr>
                <w:sz w:val="24"/>
                <w:szCs w:val="24"/>
              </w:rPr>
              <w:t xml:space="preserve"> Staff, with the support of the IRT</w:t>
            </w:r>
            <w:r w:rsidRPr="009873BB">
              <w:rPr>
                <w:sz w:val="24"/>
                <w:szCs w:val="24"/>
              </w:rPr>
              <w:t xml:space="preserve"> has reviewed the submitted comments and, where appropriate, will incorporate suggested modifications into the </w:t>
            </w:r>
            <w:r w:rsidR="00E24363">
              <w:rPr>
                <w:sz w:val="24"/>
                <w:szCs w:val="24"/>
              </w:rPr>
              <w:t>UDRP Rules</w:t>
            </w:r>
            <w:r w:rsidRPr="009873BB">
              <w:rPr>
                <w:sz w:val="24"/>
                <w:szCs w:val="24"/>
              </w:rPr>
              <w:t>. Once finalized, the Policy will be implemented and made effective for all gTLD registrars</w:t>
            </w:r>
            <w:r w:rsidR="00E24363">
              <w:rPr>
                <w:sz w:val="24"/>
                <w:szCs w:val="24"/>
              </w:rPr>
              <w:t xml:space="preserve"> and UDRP Providers</w:t>
            </w:r>
            <w:r w:rsidRPr="009873BB">
              <w:rPr>
                <w:sz w:val="24"/>
                <w:szCs w:val="24"/>
              </w:rPr>
              <w:t>.</w:t>
            </w:r>
          </w:p>
          <w:p w14:paraId="60C38392" w14:textId="77777777" w:rsidR="00F14058" w:rsidRPr="00CD7481" w:rsidRDefault="00F14058" w:rsidP="00F14058">
            <w:pPr>
              <w:spacing w:after="0" w:line="240" w:lineRule="auto"/>
              <w:rPr>
                <w:sz w:val="24"/>
                <w:szCs w:val="24"/>
              </w:rPr>
            </w:pPr>
          </w:p>
        </w:tc>
      </w:tr>
      <w:tr w:rsidR="00F14058" w:rsidRPr="001C3532" w14:paraId="33F4D542" w14:textId="77777777" w:rsidTr="00F14058">
        <w:trPr>
          <w:trHeight w:hRule="exact" w:val="360"/>
        </w:trPr>
        <w:tc>
          <w:tcPr>
            <w:tcW w:w="10188" w:type="dxa"/>
            <w:gridSpan w:val="7"/>
            <w:shd w:val="clear" w:color="auto" w:fill="F2F2F2"/>
            <w:vAlign w:val="center"/>
          </w:tcPr>
          <w:p w14:paraId="2DAF2A41" w14:textId="77777777" w:rsidR="00F14058" w:rsidRPr="001C3532" w:rsidRDefault="00F14058" w:rsidP="00F14058">
            <w:pPr>
              <w:spacing w:after="0" w:line="240" w:lineRule="auto"/>
              <w:rPr>
                <w:sz w:val="24"/>
                <w:szCs w:val="24"/>
              </w:rPr>
            </w:pPr>
            <w:r>
              <w:rPr>
                <w:b/>
                <w:sz w:val="24"/>
                <w:szCs w:val="24"/>
              </w:rPr>
              <w:lastRenderedPageBreak/>
              <w:t>Section II:  Contributors</w:t>
            </w:r>
          </w:p>
        </w:tc>
      </w:tr>
      <w:tr w:rsidR="00F14058" w:rsidRPr="001C3532" w14:paraId="3CF6EA9C" w14:textId="77777777" w:rsidTr="00F14058">
        <w:trPr>
          <w:trHeight w:val="3158"/>
        </w:trPr>
        <w:tc>
          <w:tcPr>
            <w:tcW w:w="10188" w:type="dxa"/>
            <w:gridSpan w:val="7"/>
            <w:shd w:val="clear" w:color="auto" w:fill="auto"/>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101"/>
            </w:tblGrid>
            <w:tr w:rsidR="00F14058" w:rsidRPr="00AB55AC" w14:paraId="47C2C313" w14:textId="77777777" w:rsidTr="00F14058">
              <w:trPr>
                <w:tblCellSpacing w:w="36" w:type="dxa"/>
              </w:trPr>
              <w:tc>
                <w:tcPr>
                  <w:tcW w:w="9957" w:type="dxa"/>
                  <w:shd w:val="clear" w:color="auto" w:fill="auto"/>
                </w:tcPr>
                <w:p w14:paraId="52A6100E" w14:textId="506105A0" w:rsidR="00F14058" w:rsidRPr="00AB55AC" w:rsidRDefault="00F14058" w:rsidP="00E24363">
                  <w:pPr>
                    <w:spacing w:after="120" w:line="240" w:lineRule="auto"/>
                    <w:rPr>
                      <w:rFonts w:eastAsia="Times New Roman" w:cs="Calibri"/>
                      <w:i/>
                    </w:rPr>
                  </w:pPr>
                  <w:r w:rsidRPr="00AB55AC">
                    <w:rPr>
                      <w:rFonts w:eastAsia="Times New Roman" w:cs="Calibri"/>
                      <w:i/>
                    </w:rPr>
                    <w:t xml:space="preserve">At the time this report was prepared, a total of </w:t>
                  </w:r>
                  <w:r>
                    <w:rPr>
                      <w:rFonts w:eastAsia="Times New Roman" w:cs="Calibri"/>
                      <w:i/>
                    </w:rPr>
                    <w:t>five</w:t>
                  </w:r>
                  <w:r w:rsidRPr="00AB55AC">
                    <w:rPr>
                      <w:rFonts w:eastAsia="Times New Roman" w:cs="Calibri"/>
                      <w:i/>
                    </w:rPr>
                    <w:t xml:space="preserve"> (</w:t>
                  </w:r>
                  <w:r w:rsidR="00E24363">
                    <w:rPr>
                      <w:rFonts w:eastAsia="Times New Roman" w:cs="Calibri"/>
                      <w:i/>
                    </w:rPr>
                    <w:t>4</w:t>
                  </w:r>
                  <w:r w:rsidRPr="00AB55AC">
                    <w:rPr>
                      <w:rFonts w:eastAsia="Times New Roman" w:cs="Calibri"/>
                      <w:i/>
                    </w:rPr>
                    <w:t>) community submissions had been posted to the Forum.  The contributors, both individuals and organizations/groups, are listed below in chronological order by posting date with initials noted.  To the extent that quotations are used in the foregoing narrative (Section III), such citations will reference the contributor’s initials.</w:t>
                  </w:r>
                </w:p>
              </w:tc>
            </w:tr>
          </w:tbl>
          <w:p w14:paraId="15C28F84" w14:textId="77777777" w:rsidR="00F14058" w:rsidRPr="00AB55AC" w:rsidRDefault="00F14058" w:rsidP="00F14058">
            <w:pPr>
              <w:spacing w:before="120" w:after="120" w:line="240" w:lineRule="auto"/>
              <w:rPr>
                <w:rFonts w:eastAsia="Times New Roman" w:cs="Calibri"/>
                <w:sz w:val="24"/>
                <w:szCs w:val="24"/>
                <w:u w:val="single"/>
              </w:rPr>
            </w:pPr>
            <w:r w:rsidRPr="00AB55AC">
              <w:rPr>
                <w:rFonts w:eastAsia="Times New Roman" w:cs="Calibri"/>
                <w:sz w:val="24"/>
                <w:szCs w:val="24"/>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F14058" w:rsidRPr="00AB55AC" w14:paraId="0EB2FC3B" w14:textId="77777777" w:rsidTr="00F14058">
              <w:tc>
                <w:tcPr>
                  <w:tcW w:w="4878" w:type="dxa"/>
                  <w:shd w:val="clear" w:color="auto" w:fill="auto"/>
                </w:tcPr>
                <w:p w14:paraId="640865BC" w14:textId="77777777" w:rsidR="00F14058" w:rsidRPr="00AB55AC" w:rsidRDefault="00F14058" w:rsidP="00F14058">
                  <w:pPr>
                    <w:spacing w:after="0" w:line="240" w:lineRule="auto"/>
                    <w:rPr>
                      <w:rFonts w:eastAsia="Times New Roman" w:cs="Calibri"/>
                      <w:b/>
                      <w:sz w:val="24"/>
                      <w:szCs w:val="24"/>
                    </w:rPr>
                  </w:pPr>
                  <w:r w:rsidRPr="00AB55AC">
                    <w:rPr>
                      <w:rFonts w:eastAsia="Times New Roman" w:cs="Calibri"/>
                      <w:b/>
                      <w:sz w:val="24"/>
                      <w:szCs w:val="24"/>
                    </w:rPr>
                    <w:t>Name</w:t>
                  </w:r>
                </w:p>
              </w:tc>
              <w:tc>
                <w:tcPr>
                  <w:tcW w:w="3847" w:type="dxa"/>
                  <w:shd w:val="clear" w:color="auto" w:fill="auto"/>
                </w:tcPr>
                <w:p w14:paraId="3133D2A3" w14:textId="77777777" w:rsidR="00F14058" w:rsidRPr="00AB55AC" w:rsidRDefault="00F14058" w:rsidP="00F14058">
                  <w:pPr>
                    <w:spacing w:after="0" w:line="240" w:lineRule="auto"/>
                    <w:rPr>
                      <w:rFonts w:eastAsia="Times New Roman" w:cs="Calibri"/>
                      <w:b/>
                      <w:sz w:val="24"/>
                      <w:szCs w:val="24"/>
                    </w:rPr>
                  </w:pPr>
                  <w:r w:rsidRPr="00AB55AC">
                    <w:rPr>
                      <w:rFonts w:eastAsia="Times New Roman" w:cs="Calibri"/>
                      <w:b/>
                      <w:sz w:val="24"/>
                      <w:szCs w:val="24"/>
                    </w:rPr>
                    <w:t>Submitted by</w:t>
                  </w:r>
                </w:p>
              </w:tc>
              <w:tc>
                <w:tcPr>
                  <w:tcW w:w="1170" w:type="dxa"/>
                  <w:shd w:val="clear" w:color="auto" w:fill="auto"/>
                </w:tcPr>
                <w:p w14:paraId="2C247BED" w14:textId="77777777" w:rsidR="00F14058" w:rsidRPr="00AB55AC" w:rsidRDefault="00F14058" w:rsidP="00F14058">
                  <w:pPr>
                    <w:spacing w:after="0" w:line="240" w:lineRule="auto"/>
                    <w:jc w:val="center"/>
                    <w:rPr>
                      <w:rFonts w:eastAsia="Times New Roman" w:cs="Calibri"/>
                      <w:b/>
                      <w:sz w:val="24"/>
                      <w:szCs w:val="24"/>
                    </w:rPr>
                  </w:pPr>
                  <w:r w:rsidRPr="00AB55AC">
                    <w:rPr>
                      <w:rFonts w:eastAsia="Times New Roman" w:cs="Calibri"/>
                      <w:b/>
                      <w:sz w:val="24"/>
                      <w:szCs w:val="24"/>
                    </w:rPr>
                    <w:t>Initials</w:t>
                  </w:r>
                </w:p>
              </w:tc>
            </w:tr>
            <w:tr w:rsidR="00F14058" w:rsidRPr="00AB55AC" w14:paraId="7A9AD359" w14:textId="77777777" w:rsidTr="00F14058">
              <w:tc>
                <w:tcPr>
                  <w:tcW w:w="4878" w:type="dxa"/>
                  <w:shd w:val="clear" w:color="auto" w:fill="auto"/>
                </w:tcPr>
                <w:p w14:paraId="038321B4" w14:textId="77777777" w:rsidR="00F14058" w:rsidRPr="00AB55AC" w:rsidRDefault="00F14058" w:rsidP="00F14058">
                  <w:pPr>
                    <w:spacing w:after="0" w:line="240" w:lineRule="auto"/>
                    <w:rPr>
                      <w:rFonts w:eastAsia="Times New Roman" w:cs="Calibri"/>
                      <w:sz w:val="24"/>
                      <w:szCs w:val="24"/>
                    </w:rPr>
                  </w:pPr>
                  <w:r>
                    <w:rPr>
                      <w:rFonts w:eastAsia="Times New Roman" w:cs="Calibri"/>
                      <w:sz w:val="24"/>
                      <w:szCs w:val="24"/>
                    </w:rPr>
                    <w:t>Intellectual Property Constituency</w:t>
                  </w:r>
                </w:p>
              </w:tc>
              <w:tc>
                <w:tcPr>
                  <w:tcW w:w="3847" w:type="dxa"/>
                  <w:shd w:val="clear" w:color="auto" w:fill="auto"/>
                </w:tcPr>
                <w:p w14:paraId="58B0A7B1" w14:textId="77777777" w:rsidR="00F14058" w:rsidRPr="00AB55AC" w:rsidRDefault="00A369A2" w:rsidP="00F14058">
                  <w:pPr>
                    <w:spacing w:after="0" w:line="240" w:lineRule="auto"/>
                    <w:rPr>
                      <w:rFonts w:eastAsia="Times New Roman" w:cs="Calibri"/>
                      <w:sz w:val="24"/>
                      <w:szCs w:val="24"/>
                    </w:rPr>
                  </w:pPr>
                  <w:proofErr w:type="spellStart"/>
                  <w:r>
                    <w:rPr>
                      <w:rFonts w:eastAsia="Times New Roman" w:cs="Calibri"/>
                      <w:sz w:val="24"/>
                      <w:szCs w:val="24"/>
                    </w:rPr>
                    <w:t>Petter</w:t>
                  </w:r>
                  <w:proofErr w:type="spellEnd"/>
                  <w:r>
                    <w:rPr>
                      <w:rFonts w:eastAsia="Times New Roman" w:cs="Calibri"/>
                      <w:sz w:val="24"/>
                      <w:szCs w:val="24"/>
                    </w:rPr>
                    <w:t xml:space="preserve"> </w:t>
                  </w:r>
                  <w:proofErr w:type="spellStart"/>
                  <w:r>
                    <w:rPr>
                      <w:rFonts w:eastAsia="Times New Roman" w:cs="Calibri"/>
                      <w:sz w:val="24"/>
                      <w:szCs w:val="24"/>
                    </w:rPr>
                    <w:t>Rindforth</w:t>
                  </w:r>
                  <w:proofErr w:type="spellEnd"/>
                </w:p>
              </w:tc>
              <w:tc>
                <w:tcPr>
                  <w:tcW w:w="1170" w:type="dxa"/>
                  <w:shd w:val="clear" w:color="auto" w:fill="auto"/>
                </w:tcPr>
                <w:p w14:paraId="0C1E1F13" w14:textId="77777777" w:rsidR="00F14058" w:rsidRPr="00AB55AC" w:rsidRDefault="00F14058" w:rsidP="00F14058">
                  <w:pPr>
                    <w:spacing w:after="0" w:line="240" w:lineRule="auto"/>
                    <w:jc w:val="center"/>
                    <w:rPr>
                      <w:rFonts w:eastAsia="Times New Roman" w:cs="Calibri"/>
                      <w:sz w:val="24"/>
                      <w:szCs w:val="24"/>
                    </w:rPr>
                  </w:pPr>
                  <w:r>
                    <w:rPr>
                      <w:rFonts w:eastAsia="Times New Roman" w:cs="Calibri"/>
                      <w:sz w:val="24"/>
                      <w:szCs w:val="24"/>
                    </w:rPr>
                    <w:t>IPC</w:t>
                  </w:r>
                </w:p>
              </w:tc>
            </w:tr>
            <w:tr w:rsidR="00F14058" w:rsidRPr="00AB55AC" w14:paraId="045AA457" w14:textId="77777777" w:rsidTr="00F14058">
              <w:tc>
                <w:tcPr>
                  <w:tcW w:w="4878" w:type="dxa"/>
                  <w:shd w:val="clear" w:color="auto" w:fill="auto"/>
                </w:tcPr>
                <w:p w14:paraId="20AAE70F" w14:textId="77777777" w:rsidR="00F14058" w:rsidRPr="00AB55AC" w:rsidRDefault="00A369A2" w:rsidP="00F14058">
                  <w:pPr>
                    <w:spacing w:after="0" w:line="240" w:lineRule="auto"/>
                    <w:rPr>
                      <w:rFonts w:eastAsia="Times New Roman" w:cs="Calibri"/>
                      <w:sz w:val="24"/>
                      <w:szCs w:val="24"/>
                    </w:rPr>
                  </w:pPr>
                  <w:r>
                    <w:rPr>
                      <w:rFonts w:eastAsia="Times New Roman" w:cs="Calibri"/>
                      <w:sz w:val="24"/>
                      <w:szCs w:val="24"/>
                    </w:rPr>
                    <w:t>FICPI</w:t>
                  </w:r>
                </w:p>
              </w:tc>
              <w:tc>
                <w:tcPr>
                  <w:tcW w:w="3847" w:type="dxa"/>
                  <w:shd w:val="clear" w:color="auto" w:fill="auto"/>
                </w:tcPr>
                <w:p w14:paraId="576EE950" w14:textId="77777777" w:rsidR="00F14058" w:rsidRPr="00AB55AC" w:rsidRDefault="00A369A2" w:rsidP="00F14058">
                  <w:pPr>
                    <w:spacing w:after="0" w:line="240" w:lineRule="auto"/>
                    <w:rPr>
                      <w:rFonts w:eastAsia="Times New Roman" w:cs="Calibri"/>
                      <w:sz w:val="24"/>
                      <w:szCs w:val="24"/>
                    </w:rPr>
                  </w:pPr>
                  <w:r>
                    <w:rPr>
                      <w:rFonts w:eastAsia="Times New Roman" w:cs="Calibri"/>
                      <w:sz w:val="24"/>
                      <w:szCs w:val="24"/>
                    </w:rPr>
                    <w:t xml:space="preserve">Alexandra </w:t>
                  </w:r>
                  <w:proofErr w:type="spellStart"/>
                  <w:r>
                    <w:rPr>
                      <w:rFonts w:eastAsia="Times New Roman" w:cs="Calibri"/>
                      <w:sz w:val="24"/>
                      <w:szCs w:val="24"/>
                    </w:rPr>
                    <w:t>Louage</w:t>
                  </w:r>
                  <w:proofErr w:type="spellEnd"/>
                </w:p>
              </w:tc>
              <w:tc>
                <w:tcPr>
                  <w:tcW w:w="1170" w:type="dxa"/>
                  <w:shd w:val="clear" w:color="auto" w:fill="auto"/>
                </w:tcPr>
                <w:p w14:paraId="54F98B1C" w14:textId="77777777" w:rsidR="00F14058" w:rsidRDefault="00931513" w:rsidP="00F14058">
                  <w:pPr>
                    <w:spacing w:after="0" w:line="240" w:lineRule="auto"/>
                    <w:jc w:val="center"/>
                    <w:rPr>
                      <w:rFonts w:eastAsia="Times New Roman" w:cs="Calibri"/>
                      <w:sz w:val="24"/>
                      <w:szCs w:val="24"/>
                    </w:rPr>
                  </w:pPr>
                  <w:r>
                    <w:rPr>
                      <w:rFonts w:eastAsia="Times New Roman" w:cs="Calibri"/>
                      <w:sz w:val="24"/>
                      <w:szCs w:val="24"/>
                    </w:rPr>
                    <w:t>FICPI</w:t>
                  </w:r>
                </w:p>
              </w:tc>
            </w:tr>
            <w:tr w:rsidR="00F14058" w:rsidRPr="00AB55AC" w14:paraId="066A5C05" w14:textId="77777777" w:rsidTr="00F14058">
              <w:tc>
                <w:tcPr>
                  <w:tcW w:w="4878" w:type="dxa"/>
                  <w:shd w:val="clear" w:color="auto" w:fill="auto"/>
                </w:tcPr>
                <w:p w14:paraId="245F580D" w14:textId="77777777" w:rsidR="00F14058" w:rsidRPr="00AB55AC" w:rsidRDefault="00931513" w:rsidP="00F14058">
                  <w:pPr>
                    <w:spacing w:after="0" w:line="240" w:lineRule="auto"/>
                    <w:rPr>
                      <w:rFonts w:eastAsia="Times New Roman" w:cs="Calibri"/>
                      <w:sz w:val="24"/>
                      <w:szCs w:val="24"/>
                    </w:rPr>
                  </w:pPr>
                  <w:r>
                    <w:rPr>
                      <w:rFonts w:eastAsia="Times New Roman" w:cs="Calibri"/>
                      <w:sz w:val="24"/>
                      <w:szCs w:val="24"/>
                    </w:rPr>
                    <w:t>Microsoft</w:t>
                  </w:r>
                </w:p>
              </w:tc>
              <w:tc>
                <w:tcPr>
                  <w:tcW w:w="3847" w:type="dxa"/>
                  <w:shd w:val="clear" w:color="auto" w:fill="auto"/>
                </w:tcPr>
                <w:p w14:paraId="78C1B845" w14:textId="77777777" w:rsidR="00F14058" w:rsidRPr="00AB55AC" w:rsidRDefault="001927F5" w:rsidP="00F14058">
                  <w:pPr>
                    <w:spacing w:after="0" w:line="240" w:lineRule="auto"/>
                    <w:rPr>
                      <w:rFonts w:eastAsia="Times New Roman" w:cs="Calibri"/>
                      <w:sz w:val="24"/>
                      <w:szCs w:val="24"/>
                    </w:rPr>
                  </w:pPr>
                  <w:r>
                    <w:rPr>
                      <w:rFonts w:eastAsia="Times New Roman" w:cs="Calibri"/>
                      <w:sz w:val="24"/>
                      <w:szCs w:val="24"/>
                    </w:rPr>
                    <w:t>Tara Knapp</w:t>
                  </w:r>
                </w:p>
              </w:tc>
              <w:tc>
                <w:tcPr>
                  <w:tcW w:w="1170" w:type="dxa"/>
                  <w:shd w:val="clear" w:color="auto" w:fill="auto"/>
                </w:tcPr>
                <w:p w14:paraId="3AC72F32" w14:textId="77777777" w:rsidR="00F14058" w:rsidRPr="00AB55AC" w:rsidRDefault="001927F5" w:rsidP="001927F5">
                  <w:pPr>
                    <w:spacing w:after="0" w:line="240" w:lineRule="auto"/>
                    <w:jc w:val="center"/>
                    <w:rPr>
                      <w:rFonts w:eastAsia="Times New Roman" w:cs="Calibri"/>
                      <w:sz w:val="24"/>
                      <w:szCs w:val="24"/>
                    </w:rPr>
                  </w:pPr>
                  <w:r>
                    <w:rPr>
                      <w:rFonts w:eastAsia="Times New Roman" w:cs="Calibri"/>
                      <w:sz w:val="24"/>
                      <w:szCs w:val="24"/>
                    </w:rPr>
                    <w:t>MIC</w:t>
                  </w:r>
                </w:p>
              </w:tc>
            </w:tr>
            <w:tr w:rsidR="00F14058" w:rsidRPr="00AB55AC" w14:paraId="793ACFB6" w14:textId="77777777" w:rsidTr="00F14058">
              <w:tc>
                <w:tcPr>
                  <w:tcW w:w="4878" w:type="dxa"/>
                  <w:shd w:val="clear" w:color="auto" w:fill="auto"/>
                </w:tcPr>
                <w:p w14:paraId="3958F0E7" w14:textId="77777777" w:rsidR="00F14058" w:rsidRDefault="001927F5" w:rsidP="00F14058">
                  <w:pPr>
                    <w:spacing w:after="0" w:line="240" w:lineRule="auto"/>
                    <w:rPr>
                      <w:rFonts w:eastAsia="Times New Roman" w:cs="Calibri"/>
                      <w:sz w:val="24"/>
                      <w:szCs w:val="24"/>
                    </w:rPr>
                  </w:pPr>
                  <w:r>
                    <w:rPr>
                      <w:rFonts w:eastAsia="Times New Roman" w:cs="Calibri"/>
                      <w:sz w:val="24"/>
                      <w:szCs w:val="24"/>
                    </w:rPr>
                    <w:t>Marques Association</w:t>
                  </w:r>
                </w:p>
              </w:tc>
              <w:tc>
                <w:tcPr>
                  <w:tcW w:w="3847" w:type="dxa"/>
                  <w:shd w:val="clear" w:color="auto" w:fill="auto"/>
                </w:tcPr>
                <w:p w14:paraId="241E9387" w14:textId="77777777" w:rsidR="00F14058" w:rsidRDefault="001927F5" w:rsidP="00F14058">
                  <w:pPr>
                    <w:spacing w:after="0" w:line="240" w:lineRule="auto"/>
                    <w:rPr>
                      <w:rFonts w:eastAsia="Times New Roman" w:cs="Calibri"/>
                      <w:sz w:val="24"/>
                      <w:szCs w:val="24"/>
                    </w:rPr>
                  </w:pPr>
                  <w:r>
                    <w:rPr>
                      <w:rFonts w:eastAsia="Times New Roman" w:cs="Calibri"/>
                      <w:sz w:val="24"/>
                      <w:szCs w:val="24"/>
                    </w:rPr>
                    <w:t xml:space="preserve">Caroline </w:t>
                  </w:r>
                  <w:proofErr w:type="spellStart"/>
                  <w:r>
                    <w:rPr>
                      <w:rFonts w:eastAsia="Times New Roman" w:cs="Calibri"/>
                      <w:sz w:val="24"/>
                      <w:szCs w:val="24"/>
                    </w:rPr>
                    <w:t>Perriard</w:t>
                  </w:r>
                  <w:proofErr w:type="spellEnd"/>
                </w:p>
              </w:tc>
              <w:tc>
                <w:tcPr>
                  <w:tcW w:w="1170" w:type="dxa"/>
                  <w:shd w:val="clear" w:color="auto" w:fill="auto"/>
                </w:tcPr>
                <w:p w14:paraId="440E7211" w14:textId="77777777" w:rsidR="00F14058" w:rsidRDefault="006F174B" w:rsidP="00F14058">
                  <w:pPr>
                    <w:spacing w:after="0" w:line="240" w:lineRule="auto"/>
                    <w:jc w:val="center"/>
                    <w:rPr>
                      <w:rFonts w:eastAsia="Times New Roman" w:cs="Calibri"/>
                      <w:sz w:val="24"/>
                      <w:szCs w:val="24"/>
                    </w:rPr>
                  </w:pPr>
                  <w:r>
                    <w:rPr>
                      <w:rFonts w:eastAsia="Times New Roman" w:cs="Calibri"/>
                      <w:sz w:val="24"/>
                      <w:szCs w:val="24"/>
                    </w:rPr>
                    <w:t>MAR</w:t>
                  </w:r>
                </w:p>
              </w:tc>
            </w:tr>
          </w:tbl>
          <w:p w14:paraId="7E772C99" w14:textId="77777777" w:rsidR="00F14058" w:rsidRPr="00CD7481" w:rsidRDefault="00F14058" w:rsidP="00F14058">
            <w:pPr>
              <w:spacing w:after="0" w:line="240" w:lineRule="auto"/>
              <w:rPr>
                <w:sz w:val="24"/>
                <w:szCs w:val="24"/>
              </w:rPr>
            </w:pPr>
          </w:p>
        </w:tc>
      </w:tr>
      <w:tr w:rsidR="00F14058" w:rsidRPr="0061330B" w14:paraId="154ECD3B" w14:textId="77777777" w:rsidTr="00F14058">
        <w:trPr>
          <w:trHeight w:hRule="exact" w:val="360"/>
        </w:trPr>
        <w:tc>
          <w:tcPr>
            <w:tcW w:w="10188" w:type="dxa"/>
            <w:gridSpan w:val="7"/>
            <w:shd w:val="clear" w:color="auto" w:fill="F2F2F2"/>
            <w:vAlign w:val="center"/>
          </w:tcPr>
          <w:p w14:paraId="6793346B" w14:textId="77777777" w:rsidR="00F14058" w:rsidRPr="0061330B" w:rsidRDefault="00F14058" w:rsidP="00F14058">
            <w:pPr>
              <w:spacing w:after="0" w:line="240" w:lineRule="auto"/>
              <w:rPr>
                <w:b/>
                <w:sz w:val="24"/>
                <w:szCs w:val="24"/>
              </w:rPr>
            </w:pPr>
            <w:r>
              <w:rPr>
                <w:b/>
                <w:sz w:val="24"/>
                <w:szCs w:val="24"/>
              </w:rPr>
              <w:t>Section III:  Summary of Comments</w:t>
            </w:r>
          </w:p>
        </w:tc>
      </w:tr>
      <w:tr w:rsidR="00F14058" w:rsidRPr="0061330B" w14:paraId="6AC71170" w14:textId="77777777" w:rsidTr="00F14058">
        <w:trPr>
          <w:trHeight w:val="360"/>
        </w:trPr>
        <w:tc>
          <w:tcPr>
            <w:tcW w:w="10188" w:type="dxa"/>
            <w:gridSpan w:val="7"/>
            <w:shd w:val="clear" w:color="auto" w:fill="auto"/>
            <w:vAlign w:val="center"/>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95"/>
            </w:tblGrid>
            <w:tr w:rsidR="00F14058" w:rsidRPr="00AB55AC" w14:paraId="031AEC44" w14:textId="77777777" w:rsidTr="00F14058">
              <w:trPr>
                <w:tblCellSpacing w:w="36" w:type="dxa"/>
              </w:trPr>
              <w:tc>
                <w:tcPr>
                  <w:tcW w:w="9751" w:type="dxa"/>
                  <w:shd w:val="clear" w:color="auto" w:fill="auto"/>
                  <w:vAlign w:val="center"/>
                </w:tcPr>
                <w:p w14:paraId="0B241A8B" w14:textId="77777777" w:rsidR="00F14058" w:rsidRPr="00AB55AC" w:rsidRDefault="00F14058" w:rsidP="00F14058">
                  <w:pPr>
                    <w:spacing w:after="0" w:line="240" w:lineRule="auto"/>
                    <w:rPr>
                      <w:i/>
                    </w:rPr>
                  </w:pPr>
                  <w:r w:rsidRPr="00AB55AC">
                    <w:rPr>
                      <w:i/>
                      <w:u w:val="single"/>
                    </w:rPr>
                    <w:t>General Disclaimer</w:t>
                  </w:r>
                  <w:r w:rsidRPr="00AB55AC">
                    <w:rPr>
                      <w:i/>
                    </w:rPr>
                    <w:t xml:space="preserve">:  </w:t>
                  </w:r>
                  <w:proofErr w:type="gramStart"/>
                  <w:r w:rsidRPr="00AB55AC">
                    <w:rPr>
                      <w:i/>
                    </w:rPr>
                    <w:t>This section is intended to broadly and comprehensively summarize</w:t>
                  </w:r>
                  <w:proofErr w:type="gramEnd"/>
                  <w:r w:rsidRPr="00AB55AC">
                    <w:rPr>
                      <w:i/>
                    </w:rPr>
                    <w:t xml:space="preserve"> the comments submitted to this Forum, but not to address every specific position stated by each contributor.  Staff recommends that readers interested in specific aspects of any of the summarized comments, or the full context of others, refer directly to the specific contributions at the link referenced above (View Comments Submitted).  </w:t>
                  </w:r>
                </w:p>
              </w:tc>
            </w:tr>
          </w:tbl>
          <w:p w14:paraId="3521A3FE" w14:textId="77777777" w:rsidR="00E24363" w:rsidRDefault="00E24363" w:rsidP="00F14058">
            <w:pPr>
              <w:pStyle w:val="Default"/>
              <w:rPr>
                <w:rFonts w:ascii="Calibri" w:hAnsi="Calibri"/>
                <w:color w:val="auto"/>
              </w:rPr>
            </w:pPr>
          </w:p>
          <w:p w14:paraId="3A00F464" w14:textId="77777777" w:rsidR="00F14058" w:rsidRPr="00586712" w:rsidRDefault="00F14058" w:rsidP="00F14058">
            <w:pPr>
              <w:pStyle w:val="Default"/>
              <w:rPr>
                <w:rFonts w:ascii="Calibri" w:hAnsi="Calibri"/>
              </w:rPr>
            </w:pPr>
            <w:r w:rsidRPr="00586712">
              <w:rPr>
                <w:rFonts w:ascii="Calibri" w:hAnsi="Calibri"/>
              </w:rPr>
              <w:t xml:space="preserve">A majority of the submitted comments relate to </w:t>
            </w:r>
            <w:r w:rsidR="00487362">
              <w:rPr>
                <w:rFonts w:ascii="Calibri" w:hAnsi="Calibri"/>
              </w:rPr>
              <w:t xml:space="preserve">Paragraph </w:t>
            </w:r>
            <w:r w:rsidR="006F174B">
              <w:rPr>
                <w:rFonts w:ascii="Calibri" w:hAnsi="Calibri"/>
              </w:rPr>
              <w:t>4(b)</w:t>
            </w:r>
            <w:r w:rsidRPr="00586712">
              <w:rPr>
                <w:rFonts w:ascii="Calibri" w:hAnsi="Calibri"/>
              </w:rPr>
              <w:t xml:space="preserve"> of the </w:t>
            </w:r>
            <w:r w:rsidR="006F174B">
              <w:rPr>
                <w:rFonts w:ascii="Calibri" w:hAnsi="Calibri"/>
              </w:rPr>
              <w:t>modified UDRP Rules</w:t>
            </w:r>
            <w:r w:rsidRPr="00586712">
              <w:rPr>
                <w:rFonts w:ascii="Calibri" w:hAnsi="Calibri"/>
              </w:rPr>
              <w:t>.  IPC</w:t>
            </w:r>
            <w:r w:rsidR="006F174B">
              <w:rPr>
                <w:rFonts w:ascii="Calibri" w:hAnsi="Calibri"/>
              </w:rPr>
              <w:t>, FICPI, MIC and MAR</w:t>
            </w:r>
            <w:r w:rsidRPr="00586712">
              <w:rPr>
                <w:rFonts w:ascii="Calibri" w:hAnsi="Calibri"/>
              </w:rPr>
              <w:t xml:space="preserve"> </w:t>
            </w:r>
            <w:r w:rsidR="006F174B">
              <w:rPr>
                <w:rFonts w:ascii="Calibri" w:hAnsi="Calibri"/>
              </w:rPr>
              <w:t>all noted that the reference to “days” is inconsistent throughout the UDRP Rules</w:t>
            </w:r>
            <w:r w:rsidRPr="00586712">
              <w:rPr>
                <w:rFonts w:ascii="Calibri" w:hAnsi="Calibri"/>
              </w:rPr>
              <w:t>.</w:t>
            </w:r>
            <w:r w:rsidR="00AD1537">
              <w:rPr>
                <w:rFonts w:ascii="Calibri" w:hAnsi="Calibri"/>
              </w:rPr>
              <w:t xml:space="preserve">  IPC and FIPCI recommended modifying all references to “days” in the UDRP Rules to “calendar days” for the sake of consistency and to avoid confusion with the term “business days”.  </w:t>
            </w:r>
          </w:p>
          <w:p w14:paraId="51AC675C" w14:textId="77777777" w:rsidR="00F14058" w:rsidRPr="00BE695A" w:rsidRDefault="00F14058" w:rsidP="00F14058">
            <w:pPr>
              <w:spacing w:after="0" w:line="240" w:lineRule="auto"/>
              <w:rPr>
                <w:sz w:val="24"/>
                <w:szCs w:val="24"/>
              </w:rPr>
            </w:pPr>
          </w:p>
          <w:p w14:paraId="5E0615C1" w14:textId="669D0B15" w:rsidR="00F14058" w:rsidRDefault="00AD1537" w:rsidP="00F14058">
            <w:pPr>
              <w:spacing w:after="0" w:line="240" w:lineRule="auto"/>
              <w:rPr>
                <w:sz w:val="24"/>
                <w:szCs w:val="24"/>
              </w:rPr>
            </w:pPr>
            <w:r>
              <w:rPr>
                <w:sz w:val="24"/>
                <w:szCs w:val="24"/>
              </w:rPr>
              <w:t xml:space="preserve">IPC </w:t>
            </w:r>
            <w:r w:rsidR="00E24363">
              <w:rPr>
                <w:sz w:val="24"/>
                <w:szCs w:val="24"/>
              </w:rPr>
              <w:t xml:space="preserve">also </w:t>
            </w:r>
            <w:r>
              <w:rPr>
                <w:sz w:val="24"/>
                <w:szCs w:val="24"/>
              </w:rPr>
              <w:t xml:space="preserve">recommended that the definition of “Lock” in Paragraph 1 be modified to prevent changes to any contacts in the Whois record. The IPC also recommended modifying the definition of “Pendency” to include the language “upon publication of a decision dismissing the Complaint.” </w:t>
            </w:r>
          </w:p>
          <w:p w14:paraId="2A7D6515" w14:textId="77777777" w:rsidR="00926E1D" w:rsidRDefault="00926E1D" w:rsidP="00F14058">
            <w:pPr>
              <w:spacing w:after="0" w:line="240" w:lineRule="auto"/>
              <w:rPr>
                <w:sz w:val="24"/>
                <w:szCs w:val="24"/>
              </w:rPr>
            </w:pPr>
          </w:p>
          <w:p w14:paraId="279B938C" w14:textId="318C862E" w:rsidR="00926E1D" w:rsidRDefault="00ED06AA" w:rsidP="00F14058">
            <w:pPr>
              <w:spacing w:after="0" w:line="240" w:lineRule="auto"/>
              <w:rPr>
                <w:sz w:val="24"/>
                <w:szCs w:val="24"/>
              </w:rPr>
            </w:pPr>
            <w:r>
              <w:rPr>
                <w:sz w:val="24"/>
                <w:szCs w:val="24"/>
              </w:rPr>
              <w:t xml:space="preserve">IPC </w:t>
            </w:r>
            <w:r w:rsidR="00E24363">
              <w:rPr>
                <w:sz w:val="24"/>
                <w:szCs w:val="24"/>
              </w:rPr>
              <w:t xml:space="preserve">also </w:t>
            </w:r>
            <w:r>
              <w:rPr>
                <w:sz w:val="24"/>
                <w:szCs w:val="24"/>
              </w:rPr>
              <w:t>recommended that the Rules be modified to specify when a UDRP Provider is required to submit a verification request to the registrar</w:t>
            </w:r>
            <w:r w:rsidR="00E24363">
              <w:rPr>
                <w:sz w:val="24"/>
                <w:szCs w:val="24"/>
              </w:rPr>
              <w:t xml:space="preserve"> and </w:t>
            </w:r>
            <w:r>
              <w:rPr>
                <w:sz w:val="24"/>
                <w:szCs w:val="24"/>
              </w:rPr>
              <w:t xml:space="preserve">recommended the time period </w:t>
            </w:r>
            <w:r w:rsidR="00E24363">
              <w:rPr>
                <w:sz w:val="24"/>
                <w:szCs w:val="24"/>
              </w:rPr>
              <w:t>should be codified to</w:t>
            </w:r>
            <w:r>
              <w:rPr>
                <w:sz w:val="24"/>
                <w:szCs w:val="24"/>
              </w:rPr>
              <w:t xml:space="preserve"> “one calendar day”. </w:t>
            </w:r>
          </w:p>
          <w:p w14:paraId="16782F30" w14:textId="77777777" w:rsidR="00926E1D" w:rsidRDefault="00926E1D" w:rsidP="00F14058">
            <w:pPr>
              <w:spacing w:after="0" w:line="240" w:lineRule="auto"/>
              <w:rPr>
                <w:sz w:val="24"/>
                <w:szCs w:val="24"/>
              </w:rPr>
            </w:pPr>
          </w:p>
          <w:p w14:paraId="1BB7094D" w14:textId="118DD594" w:rsidR="00ED06AA" w:rsidRDefault="00ED06AA" w:rsidP="00F14058">
            <w:pPr>
              <w:spacing w:after="0" w:line="240" w:lineRule="auto"/>
              <w:rPr>
                <w:sz w:val="24"/>
                <w:szCs w:val="24"/>
              </w:rPr>
            </w:pPr>
            <w:r>
              <w:rPr>
                <w:sz w:val="24"/>
                <w:szCs w:val="24"/>
              </w:rPr>
              <w:t>IPC, MIC</w:t>
            </w:r>
            <w:r w:rsidR="00487362">
              <w:rPr>
                <w:sz w:val="24"/>
                <w:szCs w:val="24"/>
              </w:rPr>
              <w:t xml:space="preserve"> and MAR recommended that Paragraph 4(b) be modified to prohibit registrars from disclosing the complaint to third parties</w:t>
            </w:r>
            <w:r w:rsidR="00E24363">
              <w:rPr>
                <w:sz w:val="24"/>
                <w:szCs w:val="24"/>
              </w:rPr>
              <w:t xml:space="preserve"> in addition to the respondent</w:t>
            </w:r>
            <w:r w:rsidR="00487362">
              <w:rPr>
                <w:sz w:val="24"/>
                <w:szCs w:val="24"/>
              </w:rPr>
              <w:t xml:space="preserve">. </w:t>
            </w:r>
          </w:p>
          <w:p w14:paraId="57EC7FAD" w14:textId="77777777" w:rsidR="00487362" w:rsidRDefault="00487362" w:rsidP="00F14058">
            <w:pPr>
              <w:spacing w:after="0" w:line="240" w:lineRule="auto"/>
              <w:rPr>
                <w:sz w:val="24"/>
                <w:szCs w:val="24"/>
              </w:rPr>
            </w:pPr>
          </w:p>
          <w:p w14:paraId="26EAEC3C" w14:textId="094754AD" w:rsidR="00487362" w:rsidRDefault="00487362" w:rsidP="00F14058">
            <w:pPr>
              <w:spacing w:after="0" w:line="240" w:lineRule="auto"/>
              <w:rPr>
                <w:sz w:val="24"/>
                <w:szCs w:val="24"/>
              </w:rPr>
            </w:pPr>
            <w:r>
              <w:rPr>
                <w:sz w:val="24"/>
                <w:szCs w:val="24"/>
              </w:rPr>
              <w:t xml:space="preserve">IPC and FICPI noted that the extension in Paragraph 5(b) would make the UDRP less efficient and is unnecessary.  They recommended that this extension be deleted from the modified Rules.  </w:t>
            </w:r>
            <w:r w:rsidR="008815C7">
              <w:rPr>
                <w:sz w:val="24"/>
                <w:szCs w:val="24"/>
              </w:rPr>
              <w:t xml:space="preserve">IPC and MIC </w:t>
            </w:r>
            <w:r w:rsidR="00E24363">
              <w:rPr>
                <w:sz w:val="24"/>
                <w:szCs w:val="24"/>
              </w:rPr>
              <w:t xml:space="preserve">also </w:t>
            </w:r>
            <w:r w:rsidR="008815C7">
              <w:rPr>
                <w:sz w:val="24"/>
                <w:szCs w:val="24"/>
              </w:rPr>
              <w:t xml:space="preserve">noted that the extension in Paragraph 5(b) is ambiguous because it refers to “days”.  Both groups suggested that the extension in Paragraph 5(b) be changed to “calendar days”. </w:t>
            </w:r>
          </w:p>
          <w:p w14:paraId="1D759237" w14:textId="77777777" w:rsidR="008815C7" w:rsidRDefault="008815C7" w:rsidP="00F14058">
            <w:pPr>
              <w:spacing w:after="0" w:line="240" w:lineRule="auto"/>
              <w:rPr>
                <w:sz w:val="24"/>
                <w:szCs w:val="24"/>
              </w:rPr>
            </w:pPr>
          </w:p>
          <w:p w14:paraId="42770858" w14:textId="77777777" w:rsidR="008815C7" w:rsidRDefault="008815C7" w:rsidP="00F14058">
            <w:pPr>
              <w:spacing w:after="0" w:line="240" w:lineRule="auto"/>
              <w:rPr>
                <w:sz w:val="24"/>
                <w:szCs w:val="24"/>
              </w:rPr>
            </w:pPr>
            <w:r>
              <w:rPr>
                <w:sz w:val="24"/>
                <w:szCs w:val="24"/>
              </w:rPr>
              <w:t>IPC and MAR recommended that Paragraph 16(a) be modified to include a ti</w:t>
            </w:r>
            <w:r w:rsidR="00CE3376">
              <w:rPr>
                <w:sz w:val="24"/>
                <w:szCs w:val="24"/>
              </w:rPr>
              <w:t>ming requirement in which UDRP p</w:t>
            </w:r>
            <w:r>
              <w:rPr>
                <w:sz w:val="24"/>
                <w:szCs w:val="24"/>
              </w:rPr>
              <w:t xml:space="preserve">roviders must publish the decision.   </w:t>
            </w:r>
            <w:r w:rsidR="00CE3376">
              <w:rPr>
                <w:sz w:val="24"/>
                <w:szCs w:val="24"/>
              </w:rPr>
              <w:t>IPC also recommended that UDRP p</w:t>
            </w:r>
            <w:r>
              <w:rPr>
                <w:sz w:val="24"/>
                <w:szCs w:val="24"/>
              </w:rPr>
              <w:t xml:space="preserve">roviders be required to maintain publication of a decision perpetually.  </w:t>
            </w:r>
          </w:p>
          <w:p w14:paraId="6B87F2EE" w14:textId="77777777" w:rsidR="00CE3376" w:rsidRDefault="00CE3376" w:rsidP="00F14058">
            <w:pPr>
              <w:spacing w:after="0" w:line="240" w:lineRule="auto"/>
              <w:rPr>
                <w:sz w:val="24"/>
                <w:szCs w:val="24"/>
              </w:rPr>
            </w:pPr>
          </w:p>
          <w:p w14:paraId="597F81EE" w14:textId="77777777" w:rsidR="00CE3376" w:rsidRDefault="00CE3376" w:rsidP="00F14058">
            <w:pPr>
              <w:spacing w:after="0" w:line="240" w:lineRule="auto"/>
              <w:rPr>
                <w:sz w:val="24"/>
                <w:szCs w:val="24"/>
              </w:rPr>
            </w:pPr>
            <w:r>
              <w:rPr>
                <w:sz w:val="24"/>
                <w:szCs w:val="24"/>
              </w:rPr>
              <w:t>IPC requested that Paragraph 17(a)(iii) be clarified to include: “If the Parties reach a settlement, they shall inform the Provider in writing as required by the Provider’s supplemental rules, if applicable.”</w:t>
            </w:r>
          </w:p>
          <w:p w14:paraId="0BA86FD7" w14:textId="77777777" w:rsidR="00CE3376" w:rsidRDefault="00CE3376" w:rsidP="00F14058">
            <w:pPr>
              <w:spacing w:after="0" w:line="240" w:lineRule="auto"/>
              <w:rPr>
                <w:sz w:val="24"/>
                <w:szCs w:val="24"/>
              </w:rPr>
            </w:pPr>
          </w:p>
          <w:p w14:paraId="57D73F8E" w14:textId="77777777" w:rsidR="00F14058" w:rsidRDefault="00CE3376" w:rsidP="00CE3376">
            <w:pPr>
              <w:spacing w:after="0" w:line="240" w:lineRule="auto"/>
              <w:rPr>
                <w:sz w:val="24"/>
                <w:szCs w:val="24"/>
              </w:rPr>
            </w:pPr>
            <w:r>
              <w:rPr>
                <w:sz w:val="24"/>
                <w:szCs w:val="24"/>
              </w:rPr>
              <w:t>Finally, MIC requested that Paragraph 17(a)(iii) be modified as follows: “</w:t>
            </w:r>
            <w:r w:rsidRPr="00CE3376">
              <w:rPr>
                <w:sz w:val="24"/>
                <w:szCs w:val="24"/>
              </w:rPr>
              <w:t>The Parties</w:t>
            </w:r>
            <w:r>
              <w:rPr>
                <w:sz w:val="24"/>
                <w:szCs w:val="24"/>
              </w:rPr>
              <w:t xml:space="preserve"> </w:t>
            </w:r>
            <w:r w:rsidRPr="00CE3376">
              <w:rPr>
                <w:sz w:val="24"/>
                <w:szCs w:val="24"/>
              </w:rPr>
              <w:t>reach a</w:t>
            </w:r>
            <w:r>
              <w:rPr>
                <w:sz w:val="24"/>
                <w:szCs w:val="24"/>
              </w:rPr>
              <w:t xml:space="preserve"> </w:t>
            </w:r>
            <w:r w:rsidRPr="00CE3376">
              <w:rPr>
                <w:sz w:val="24"/>
                <w:szCs w:val="24"/>
              </w:rPr>
              <w:t>settlement and provide a standard</w:t>
            </w:r>
            <w:r>
              <w:rPr>
                <w:sz w:val="24"/>
                <w:szCs w:val="24"/>
              </w:rPr>
              <w:t xml:space="preserve"> </w:t>
            </w:r>
            <w:r w:rsidRPr="00CE3376">
              <w:rPr>
                <w:sz w:val="24"/>
                <w:szCs w:val="24"/>
              </w:rPr>
              <w:t>settlement form to the Provider further to the</w:t>
            </w:r>
            <w:r>
              <w:rPr>
                <w:sz w:val="24"/>
                <w:szCs w:val="24"/>
              </w:rPr>
              <w:t xml:space="preserve"> </w:t>
            </w:r>
            <w:r w:rsidRPr="00CE3376">
              <w:rPr>
                <w:sz w:val="24"/>
                <w:szCs w:val="24"/>
              </w:rPr>
              <w:t>Provider's supplemental rules and settlement</w:t>
            </w:r>
            <w:r>
              <w:rPr>
                <w:sz w:val="24"/>
                <w:szCs w:val="24"/>
              </w:rPr>
              <w:t xml:space="preserve"> form</w:t>
            </w:r>
            <w:r w:rsidRPr="00CE3376">
              <w:rPr>
                <w:sz w:val="24"/>
                <w:szCs w:val="24"/>
              </w:rPr>
              <w:t>. The standard settlement form is not</w:t>
            </w:r>
            <w:r>
              <w:rPr>
                <w:sz w:val="24"/>
                <w:szCs w:val="24"/>
              </w:rPr>
              <w:t xml:space="preserve"> </w:t>
            </w:r>
            <w:r w:rsidRPr="00CE3376">
              <w:rPr>
                <w:sz w:val="24"/>
                <w:szCs w:val="24"/>
              </w:rPr>
              <w:t>int</w:t>
            </w:r>
            <w:r>
              <w:rPr>
                <w:sz w:val="24"/>
                <w:szCs w:val="24"/>
              </w:rPr>
              <w:t>ended to be an agreement itself,</w:t>
            </w:r>
            <w:r w:rsidRPr="00CE3376">
              <w:rPr>
                <w:sz w:val="24"/>
                <w:szCs w:val="24"/>
              </w:rPr>
              <w:t xml:space="preserve"> but only to</w:t>
            </w:r>
            <w:r>
              <w:rPr>
                <w:sz w:val="24"/>
                <w:szCs w:val="24"/>
              </w:rPr>
              <w:t xml:space="preserve"> </w:t>
            </w:r>
            <w:r w:rsidRPr="00CE3376">
              <w:rPr>
                <w:sz w:val="24"/>
                <w:szCs w:val="24"/>
              </w:rPr>
              <w:t>summarize the essential terms of the Parties'</w:t>
            </w:r>
            <w:r>
              <w:rPr>
                <w:sz w:val="24"/>
                <w:szCs w:val="24"/>
              </w:rPr>
              <w:t xml:space="preserve"> </w:t>
            </w:r>
            <w:r w:rsidRPr="00CE3376">
              <w:rPr>
                <w:sz w:val="24"/>
                <w:szCs w:val="24"/>
              </w:rPr>
              <w:t>separate settlement agreement. The Provider</w:t>
            </w:r>
            <w:r>
              <w:rPr>
                <w:sz w:val="24"/>
                <w:szCs w:val="24"/>
              </w:rPr>
              <w:t xml:space="preserve"> </w:t>
            </w:r>
            <w:r w:rsidRPr="00CE3376">
              <w:rPr>
                <w:sz w:val="24"/>
                <w:szCs w:val="24"/>
              </w:rPr>
              <w:t>shall not disclose the completed standard</w:t>
            </w:r>
            <w:r>
              <w:rPr>
                <w:sz w:val="24"/>
                <w:szCs w:val="24"/>
              </w:rPr>
              <w:t xml:space="preserve"> </w:t>
            </w:r>
            <w:r w:rsidRPr="00CE3376">
              <w:rPr>
                <w:sz w:val="24"/>
                <w:szCs w:val="24"/>
              </w:rPr>
              <w:t>settlement form to any third party."</w:t>
            </w:r>
          </w:p>
          <w:p w14:paraId="77AE0A1E" w14:textId="77777777" w:rsidR="00CE3376" w:rsidRPr="0061330B" w:rsidRDefault="00CE3376" w:rsidP="00CE3376">
            <w:pPr>
              <w:spacing w:after="0" w:line="240" w:lineRule="auto"/>
              <w:rPr>
                <w:sz w:val="24"/>
                <w:szCs w:val="24"/>
              </w:rPr>
            </w:pPr>
          </w:p>
        </w:tc>
      </w:tr>
      <w:tr w:rsidR="00F14058" w:rsidRPr="003D0C10" w14:paraId="5C8D08F4" w14:textId="77777777" w:rsidTr="00F14058">
        <w:trPr>
          <w:trHeight w:val="360"/>
        </w:trPr>
        <w:tc>
          <w:tcPr>
            <w:tcW w:w="10188" w:type="dxa"/>
            <w:gridSpan w:val="7"/>
            <w:shd w:val="clear" w:color="auto" w:fill="F2F2F2"/>
            <w:vAlign w:val="center"/>
          </w:tcPr>
          <w:p w14:paraId="71F4EF4B" w14:textId="77777777" w:rsidR="00F14058" w:rsidRPr="003D0C10" w:rsidRDefault="00F14058" w:rsidP="00F14058">
            <w:pPr>
              <w:spacing w:after="0" w:line="240" w:lineRule="auto"/>
              <w:rPr>
                <w:b/>
                <w:sz w:val="24"/>
                <w:szCs w:val="24"/>
              </w:rPr>
            </w:pPr>
            <w:r w:rsidRPr="003D0C10">
              <w:rPr>
                <w:b/>
                <w:sz w:val="24"/>
                <w:szCs w:val="24"/>
              </w:rPr>
              <w:t>Section IV:  Analysis of Comments</w:t>
            </w:r>
          </w:p>
        </w:tc>
      </w:tr>
      <w:tr w:rsidR="00F14058" w:rsidRPr="0061330B" w14:paraId="290F0F60" w14:textId="77777777" w:rsidTr="00F14058">
        <w:trPr>
          <w:trHeight w:val="360"/>
        </w:trPr>
        <w:tc>
          <w:tcPr>
            <w:tcW w:w="10188" w:type="dxa"/>
            <w:gridSpan w:val="7"/>
            <w:shd w:val="clear" w:color="auto" w:fill="auto"/>
            <w:vAlign w:val="center"/>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95"/>
            </w:tblGrid>
            <w:tr w:rsidR="00F14058" w:rsidRPr="00AB55AC" w14:paraId="1709E0F9" w14:textId="77777777" w:rsidTr="00F14058">
              <w:trPr>
                <w:tblCellSpacing w:w="36" w:type="dxa"/>
              </w:trPr>
              <w:tc>
                <w:tcPr>
                  <w:tcW w:w="9751" w:type="dxa"/>
                  <w:shd w:val="clear" w:color="auto" w:fill="auto"/>
                </w:tcPr>
                <w:p w14:paraId="299D6A75" w14:textId="77777777" w:rsidR="00F14058" w:rsidRPr="00AB55AC" w:rsidRDefault="00F14058" w:rsidP="00F14058">
                  <w:pPr>
                    <w:spacing w:after="0" w:line="240" w:lineRule="auto"/>
                    <w:rPr>
                      <w:i/>
                    </w:rPr>
                  </w:pPr>
                  <w:r w:rsidRPr="00AB55AC">
                    <w:rPr>
                      <w:i/>
                      <w:u w:val="single"/>
                    </w:rPr>
                    <w:t>General Disclaimer</w:t>
                  </w:r>
                  <w:r w:rsidRPr="00AB55AC">
                    <w:rPr>
                      <w:i/>
                    </w:rPr>
                    <w:t xml:space="preserve">:  This section is intended to provide an analysis and evaluation of the comments received along with </w:t>
                  </w:r>
                  <w:r w:rsidRPr="00F95EB8">
                    <w:rPr>
                      <w:i/>
                    </w:rPr>
                    <w:t>explanation</w:t>
                  </w:r>
                  <w:r>
                    <w:rPr>
                      <w:i/>
                    </w:rPr>
                    <w:t>s</w:t>
                  </w:r>
                  <w:r w:rsidRPr="00F95EB8">
                    <w:rPr>
                      <w:i/>
                    </w:rPr>
                    <w:t xml:space="preserve"> regarding </w:t>
                  </w:r>
                  <w:r>
                    <w:rPr>
                      <w:i/>
                    </w:rPr>
                    <w:t>the basis for any recommendations</w:t>
                  </w:r>
                  <w:r w:rsidRPr="00F95EB8">
                    <w:rPr>
                      <w:i/>
                    </w:rPr>
                    <w:t xml:space="preserve"> provided within the analysis.</w:t>
                  </w:r>
                  <w:r>
                    <w:t xml:space="preserve"> </w:t>
                  </w:r>
                </w:p>
              </w:tc>
            </w:tr>
          </w:tbl>
          <w:p w14:paraId="71087B75" w14:textId="77777777" w:rsidR="00F14058" w:rsidRDefault="00F14058" w:rsidP="00F14058">
            <w:pPr>
              <w:spacing w:after="0" w:line="240" w:lineRule="auto"/>
              <w:rPr>
                <w:sz w:val="24"/>
                <w:szCs w:val="24"/>
              </w:rPr>
            </w:pPr>
          </w:p>
          <w:p w14:paraId="6D7530E3" w14:textId="40DFEA80" w:rsidR="00F14058" w:rsidRDefault="00903981" w:rsidP="00F14058">
            <w:pPr>
              <w:spacing w:after="0" w:line="240" w:lineRule="auto"/>
              <w:rPr>
                <w:sz w:val="24"/>
                <w:szCs w:val="24"/>
              </w:rPr>
            </w:pPr>
            <w:r w:rsidRPr="00903981">
              <w:rPr>
                <w:sz w:val="24"/>
                <w:szCs w:val="24"/>
              </w:rPr>
              <w:t xml:space="preserve">The </w:t>
            </w:r>
            <w:r w:rsidR="00971226">
              <w:rPr>
                <w:sz w:val="24"/>
                <w:szCs w:val="24"/>
              </w:rPr>
              <w:t xml:space="preserve">Implementation Review Team (IRT), that was formed by the GNSO Council to </w:t>
            </w:r>
            <w:r w:rsidR="00971226" w:rsidRPr="00971226">
              <w:rPr>
                <w:sz w:val="24"/>
                <w:szCs w:val="24"/>
              </w:rPr>
              <w:t>evaluate the proposed implementation of the policy recommendations as approved by the Board and which worked with ICANN Staff to ensure that the resultant implementation fulfills the intentions of the approved policy recommendations</w:t>
            </w:r>
            <w:r w:rsidR="00971226">
              <w:rPr>
                <w:sz w:val="24"/>
                <w:szCs w:val="24"/>
              </w:rPr>
              <w:t>,</w:t>
            </w:r>
            <w:r w:rsidR="00971226" w:rsidRPr="00971226">
              <w:rPr>
                <w:sz w:val="24"/>
                <w:szCs w:val="24"/>
              </w:rPr>
              <w:t xml:space="preserve"> assisted staff in reviewing the comments received.</w:t>
            </w:r>
            <w:r w:rsidR="00971226">
              <w:rPr>
                <w:rFonts w:eastAsia="Times New Roman"/>
              </w:rPr>
              <w:t xml:space="preserve"> </w:t>
            </w:r>
            <w:r w:rsidR="00971226">
              <w:rPr>
                <w:sz w:val="24"/>
                <w:szCs w:val="24"/>
              </w:rPr>
              <w:t>The IRT</w:t>
            </w:r>
            <w:r w:rsidR="00971226" w:rsidRPr="00903981">
              <w:rPr>
                <w:sz w:val="24"/>
                <w:szCs w:val="24"/>
              </w:rPr>
              <w:t xml:space="preserve"> </w:t>
            </w:r>
            <w:r w:rsidR="00A612AC">
              <w:rPr>
                <w:sz w:val="24"/>
                <w:szCs w:val="24"/>
              </w:rPr>
              <w:t xml:space="preserve">noted that the PDP WG </w:t>
            </w:r>
            <w:r w:rsidRPr="00903981">
              <w:rPr>
                <w:sz w:val="24"/>
                <w:szCs w:val="24"/>
              </w:rPr>
              <w:t>discussed the use of business days</w:t>
            </w:r>
            <w:r>
              <w:rPr>
                <w:sz w:val="24"/>
                <w:szCs w:val="24"/>
              </w:rPr>
              <w:t xml:space="preserve"> vs. calendar days</w:t>
            </w:r>
            <w:r w:rsidRPr="00903981">
              <w:rPr>
                <w:sz w:val="24"/>
                <w:szCs w:val="24"/>
              </w:rPr>
              <w:t xml:space="preserve"> at length and </w:t>
            </w:r>
            <w:r>
              <w:rPr>
                <w:sz w:val="24"/>
                <w:szCs w:val="24"/>
              </w:rPr>
              <w:t xml:space="preserve">specifically included the term </w:t>
            </w:r>
            <w:r w:rsidRPr="00903981">
              <w:rPr>
                <w:sz w:val="24"/>
                <w:szCs w:val="24"/>
              </w:rPr>
              <w:t xml:space="preserve">business days in its recommendation to prevent contracted parties and UDRP providers from </w:t>
            </w:r>
            <w:r>
              <w:rPr>
                <w:sz w:val="24"/>
                <w:szCs w:val="24"/>
              </w:rPr>
              <w:t xml:space="preserve">having to </w:t>
            </w:r>
            <w:r w:rsidRPr="00903981">
              <w:rPr>
                <w:sz w:val="24"/>
                <w:szCs w:val="24"/>
              </w:rPr>
              <w:t>work on weekends and holidays.  The</w:t>
            </w:r>
            <w:r w:rsidR="00A612AC">
              <w:rPr>
                <w:sz w:val="24"/>
                <w:szCs w:val="24"/>
              </w:rPr>
              <w:t xml:space="preserve"> IRT also noted that the PDP</w:t>
            </w:r>
            <w:r w:rsidRPr="00903981">
              <w:rPr>
                <w:sz w:val="24"/>
                <w:szCs w:val="24"/>
              </w:rPr>
              <w:t xml:space="preserve"> WG also purposely chose not to </w:t>
            </w:r>
            <w:r>
              <w:rPr>
                <w:sz w:val="24"/>
                <w:szCs w:val="24"/>
              </w:rPr>
              <w:t>modify</w:t>
            </w:r>
            <w:r w:rsidRPr="00903981">
              <w:rPr>
                <w:sz w:val="24"/>
                <w:szCs w:val="24"/>
              </w:rPr>
              <w:t xml:space="preserve"> the reference to “days” throughout the UDRP Rules because it believed it was outside the scope of its charter.  Accordingly, the IRT recommended that the modified UDRP Rules remain unchanged in reference to this suggested change </w:t>
            </w:r>
            <w:r w:rsidR="005207BA">
              <w:rPr>
                <w:sz w:val="24"/>
                <w:szCs w:val="24"/>
              </w:rPr>
              <w:t>to</w:t>
            </w:r>
            <w:bookmarkStart w:id="0" w:name="_GoBack"/>
            <w:bookmarkEnd w:id="0"/>
            <w:r w:rsidRPr="00903981">
              <w:rPr>
                <w:sz w:val="24"/>
                <w:szCs w:val="24"/>
              </w:rPr>
              <w:t xml:space="preserve"> Rule 4(b).</w:t>
            </w:r>
          </w:p>
          <w:p w14:paraId="43E15832" w14:textId="77777777" w:rsidR="00903981" w:rsidRDefault="00903981" w:rsidP="00F14058">
            <w:pPr>
              <w:spacing w:after="0" w:line="240" w:lineRule="auto"/>
              <w:rPr>
                <w:sz w:val="24"/>
                <w:szCs w:val="24"/>
              </w:rPr>
            </w:pPr>
          </w:p>
          <w:p w14:paraId="37014703" w14:textId="6CF94EF4" w:rsidR="00926E1D" w:rsidRDefault="00903981" w:rsidP="00926E1D">
            <w:pPr>
              <w:spacing w:after="0" w:line="240" w:lineRule="auto"/>
              <w:rPr>
                <w:sz w:val="24"/>
                <w:szCs w:val="24"/>
              </w:rPr>
            </w:pPr>
            <w:r>
              <w:rPr>
                <w:sz w:val="24"/>
                <w:szCs w:val="24"/>
              </w:rPr>
              <w:t xml:space="preserve">Regarding the definition of “Lock”, the IRT </w:t>
            </w:r>
            <w:r w:rsidR="00A612AC">
              <w:rPr>
                <w:sz w:val="24"/>
                <w:szCs w:val="24"/>
              </w:rPr>
              <w:t xml:space="preserve">noted that the PDP WG </w:t>
            </w:r>
            <w:r>
              <w:rPr>
                <w:sz w:val="24"/>
                <w:szCs w:val="24"/>
              </w:rPr>
              <w:t xml:space="preserve">discussed this and </w:t>
            </w:r>
            <w:r w:rsidR="00A612AC">
              <w:rPr>
                <w:sz w:val="24"/>
                <w:szCs w:val="24"/>
              </w:rPr>
              <w:t xml:space="preserve">agreed </w:t>
            </w:r>
            <w:r>
              <w:rPr>
                <w:sz w:val="24"/>
                <w:szCs w:val="24"/>
              </w:rPr>
              <w:t xml:space="preserve">that </w:t>
            </w:r>
            <w:r w:rsidR="00926E1D">
              <w:rPr>
                <w:sz w:val="24"/>
                <w:szCs w:val="24"/>
              </w:rPr>
              <w:t xml:space="preserve">a </w:t>
            </w:r>
            <w:r>
              <w:rPr>
                <w:sz w:val="24"/>
                <w:szCs w:val="24"/>
              </w:rPr>
              <w:t xml:space="preserve">registered name holder should be permitted to modify </w:t>
            </w:r>
            <w:r w:rsidR="00A612AC">
              <w:rPr>
                <w:sz w:val="24"/>
                <w:szCs w:val="24"/>
              </w:rPr>
              <w:t xml:space="preserve">certain information such as, for example, </w:t>
            </w:r>
            <w:r>
              <w:rPr>
                <w:sz w:val="24"/>
                <w:szCs w:val="24"/>
              </w:rPr>
              <w:t>its billing contact</w:t>
            </w:r>
            <w:r w:rsidR="00A612AC">
              <w:rPr>
                <w:sz w:val="24"/>
                <w:szCs w:val="24"/>
              </w:rPr>
              <w:t xml:space="preserve"> </w:t>
            </w:r>
            <w:r>
              <w:rPr>
                <w:sz w:val="24"/>
                <w:szCs w:val="24"/>
              </w:rPr>
              <w:t xml:space="preserve">during the course of a UDRP Proceeding.  Accordingly, the IRT recommended leaving the definition of “Lock” unchanged.  </w:t>
            </w:r>
            <w:r w:rsidR="00926E1D">
              <w:rPr>
                <w:sz w:val="24"/>
                <w:szCs w:val="24"/>
              </w:rPr>
              <w:t>Regarding the definition of “Pendency”, the IRT noted that the implementation of a decision could include various actions performed by a registrar, e.g., transferring a domain, removing a lock, deleting a domain</w:t>
            </w:r>
            <w:r w:rsidR="0088549A">
              <w:rPr>
                <w:sz w:val="24"/>
                <w:szCs w:val="24"/>
              </w:rPr>
              <w:t>, etc</w:t>
            </w:r>
            <w:r w:rsidR="00926E1D">
              <w:rPr>
                <w:sz w:val="24"/>
                <w:szCs w:val="24"/>
              </w:rPr>
              <w:t>.  Accordingly, the IRT deemed the added language as unnecessary.</w:t>
            </w:r>
          </w:p>
          <w:p w14:paraId="470E178E" w14:textId="77777777" w:rsidR="00903981" w:rsidRDefault="00903981" w:rsidP="00F14058">
            <w:pPr>
              <w:spacing w:after="0" w:line="240" w:lineRule="auto"/>
              <w:rPr>
                <w:sz w:val="24"/>
                <w:szCs w:val="24"/>
              </w:rPr>
            </w:pPr>
          </w:p>
          <w:p w14:paraId="02AA77C9" w14:textId="4F9EF9E6" w:rsidR="00926E1D" w:rsidRDefault="00926E1D" w:rsidP="00926E1D">
            <w:pPr>
              <w:spacing w:after="0" w:line="240" w:lineRule="auto"/>
              <w:rPr>
                <w:sz w:val="24"/>
                <w:szCs w:val="24"/>
              </w:rPr>
            </w:pPr>
            <w:r>
              <w:rPr>
                <w:sz w:val="24"/>
                <w:szCs w:val="24"/>
              </w:rPr>
              <w:t xml:space="preserve">The IRT discussed </w:t>
            </w:r>
            <w:r w:rsidR="0088549A">
              <w:rPr>
                <w:sz w:val="24"/>
                <w:szCs w:val="24"/>
              </w:rPr>
              <w:t>IPC’s recommendation to require</w:t>
            </w:r>
            <w:r>
              <w:rPr>
                <w:sz w:val="24"/>
                <w:szCs w:val="24"/>
              </w:rPr>
              <w:t xml:space="preserve"> providers to submit a request for registrar verification within one business day.  The IRT noted that providers generally have a practice of submitting verification requests on the day they receive the complaint, provided the complaint is received on a working day.  Adding “one calendar day” to this requirement would require UDRP Providers to work during weekends and holidays and is therefore not recommended by the IRT.</w:t>
            </w:r>
          </w:p>
          <w:p w14:paraId="60C1FB49" w14:textId="77777777" w:rsidR="00903981" w:rsidRDefault="00903981" w:rsidP="00F14058">
            <w:pPr>
              <w:spacing w:after="0" w:line="240" w:lineRule="auto"/>
              <w:rPr>
                <w:sz w:val="24"/>
                <w:szCs w:val="24"/>
              </w:rPr>
            </w:pPr>
          </w:p>
          <w:p w14:paraId="0CD2123E" w14:textId="3356E0C6" w:rsidR="00926E1D" w:rsidRDefault="003879AE" w:rsidP="00F14058">
            <w:pPr>
              <w:spacing w:after="0" w:line="240" w:lineRule="auto"/>
              <w:rPr>
                <w:sz w:val="24"/>
                <w:szCs w:val="24"/>
              </w:rPr>
            </w:pPr>
            <w:r w:rsidRPr="003879AE">
              <w:rPr>
                <w:sz w:val="24"/>
                <w:szCs w:val="24"/>
              </w:rPr>
              <w:t xml:space="preserve">The IRT noted that the </w:t>
            </w:r>
            <w:r w:rsidR="00A612AC">
              <w:rPr>
                <w:sz w:val="24"/>
                <w:szCs w:val="24"/>
              </w:rPr>
              <w:t xml:space="preserve">PDP </w:t>
            </w:r>
            <w:r w:rsidRPr="003879AE">
              <w:rPr>
                <w:sz w:val="24"/>
                <w:szCs w:val="24"/>
              </w:rPr>
              <w:t xml:space="preserve">WG discussed </w:t>
            </w:r>
            <w:r>
              <w:rPr>
                <w:sz w:val="24"/>
                <w:szCs w:val="24"/>
              </w:rPr>
              <w:t xml:space="preserve">the text of Paragraph 4(b) regarding notification to third parties, and it </w:t>
            </w:r>
            <w:r w:rsidRPr="003879AE">
              <w:rPr>
                <w:sz w:val="24"/>
                <w:szCs w:val="24"/>
              </w:rPr>
              <w:t xml:space="preserve">decided that adding this language would prevent </w:t>
            </w:r>
            <w:r>
              <w:rPr>
                <w:sz w:val="24"/>
                <w:szCs w:val="24"/>
              </w:rPr>
              <w:t>a</w:t>
            </w:r>
            <w:r w:rsidRPr="003879AE">
              <w:rPr>
                <w:sz w:val="24"/>
                <w:szCs w:val="24"/>
              </w:rPr>
              <w:t xml:space="preserve"> privacy or proxy service </w:t>
            </w:r>
            <w:r>
              <w:rPr>
                <w:sz w:val="24"/>
                <w:szCs w:val="24"/>
              </w:rPr>
              <w:t xml:space="preserve">from being </w:t>
            </w:r>
            <w:r w:rsidR="0088549A">
              <w:rPr>
                <w:sz w:val="24"/>
                <w:szCs w:val="24"/>
              </w:rPr>
              <w:t xml:space="preserve">lifted </w:t>
            </w:r>
            <w:r w:rsidRPr="003879AE">
              <w:rPr>
                <w:sz w:val="24"/>
                <w:szCs w:val="24"/>
              </w:rPr>
              <w:t xml:space="preserve">before the lock is applied. For that reason, the IRT </w:t>
            </w:r>
            <w:r w:rsidR="00A612AC">
              <w:rPr>
                <w:sz w:val="24"/>
                <w:szCs w:val="24"/>
              </w:rPr>
              <w:t>was</w:t>
            </w:r>
            <w:r w:rsidR="00A612AC" w:rsidRPr="003879AE">
              <w:rPr>
                <w:sz w:val="24"/>
                <w:szCs w:val="24"/>
              </w:rPr>
              <w:t xml:space="preserve"> </w:t>
            </w:r>
            <w:r w:rsidRPr="003879AE">
              <w:rPr>
                <w:sz w:val="24"/>
                <w:szCs w:val="24"/>
              </w:rPr>
              <w:t xml:space="preserve">opposed to making any change to this recommendation based on </w:t>
            </w:r>
            <w:r>
              <w:rPr>
                <w:sz w:val="24"/>
                <w:szCs w:val="24"/>
              </w:rPr>
              <w:t>the comment from IPC, MIC and MAR</w:t>
            </w:r>
            <w:r w:rsidRPr="003879AE">
              <w:rPr>
                <w:sz w:val="24"/>
                <w:szCs w:val="24"/>
              </w:rPr>
              <w:t xml:space="preserve">. </w:t>
            </w:r>
          </w:p>
          <w:p w14:paraId="2538F304" w14:textId="77777777" w:rsidR="001A7464" w:rsidRDefault="001A7464" w:rsidP="00F14058">
            <w:pPr>
              <w:spacing w:after="0" w:line="240" w:lineRule="auto"/>
              <w:rPr>
                <w:sz w:val="24"/>
                <w:szCs w:val="24"/>
              </w:rPr>
            </w:pPr>
          </w:p>
          <w:p w14:paraId="14CFB905" w14:textId="70A7F12C" w:rsidR="001A7464" w:rsidRDefault="001A7464" w:rsidP="00F14058">
            <w:pPr>
              <w:spacing w:after="0" w:line="240" w:lineRule="auto"/>
              <w:rPr>
                <w:sz w:val="24"/>
                <w:szCs w:val="24"/>
              </w:rPr>
            </w:pPr>
            <w:r>
              <w:rPr>
                <w:sz w:val="24"/>
                <w:szCs w:val="24"/>
              </w:rPr>
              <w:t>T</w:t>
            </w:r>
            <w:r w:rsidRPr="001A7464">
              <w:rPr>
                <w:sz w:val="24"/>
                <w:szCs w:val="24"/>
              </w:rPr>
              <w:t>he</w:t>
            </w:r>
            <w:r>
              <w:rPr>
                <w:sz w:val="24"/>
                <w:szCs w:val="24"/>
              </w:rPr>
              <w:t xml:space="preserve"> IRT noted that the</w:t>
            </w:r>
            <w:r w:rsidRPr="001A7464">
              <w:rPr>
                <w:sz w:val="24"/>
                <w:szCs w:val="24"/>
              </w:rPr>
              <w:t xml:space="preserve"> </w:t>
            </w:r>
            <w:r>
              <w:rPr>
                <w:sz w:val="24"/>
                <w:szCs w:val="24"/>
              </w:rPr>
              <w:t xml:space="preserve">extension in Paragraph 5(b), opposed by IPC and FIPCI, was the product of community discussion and specifically included because of feedback from the community.  Accordingly, the IRT is opposed to removing this extension.  The IRT, however, agreed that “days” should be modified to “calendar days” to </w:t>
            </w:r>
            <w:r w:rsidR="00A612AC">
              <w:rPr>
                <w:sz w:val="24"/>
                <w:szCs w:val="24"/>
              </w:rPr>
              <w:t>avoid any</w:t>
            </w:r>
            <w:r>
              <w:rPr>
                <w:sz w:val="24"/>
                <w:szCs w:val="24"/>
              </w:rPr>
              <w:t xml:space="preserve"> ambiguity.  The UDRP Rules </w:t>
            </w:r>
            <w:r w:rsidR="00A612AC">
              <w:rPr>
                <w:sz w:val="24"/>
                <w:szCs w:val="24"/>
              </w:rPr>
              <w:t xml:space="preserve">will </w:t>
            </w:r>
            <w:r w:rsidR="0088549A">
              <w:rPr>
                <w:sz w:val="24"/>
                <w:szCs w:val="24"/>
              </w:rPr>
              <w:t xml:space="preserve">therefore </w:t>
            </w:r>
            <w:r>
              <w:rPr>
                <w:sz w:val="24"/>
                <w:szCs w:val="24"/>
              </w:rPr>
              <w:t>be modified to incorporate this comment.</w:t>
            </w:r>
          </w:p>
          <w:p w14:paraId="6B1C1F53" w14:textId="77777777" w:rsidR="00E56D11" w:rsidRDefault="00E56D11" w:rsidP="00F14058">
            <w:pPr>
              <w:spacing w:after="0" w:line="240" w:lineRule="auto"/>
              <w:rPr>
                <w:sz w:val="24"/>
                <w:szCs w:val="24"/>
              </w:rPr>
            </w:pPr>
          </w:p>
          <w:p w14:paraId="30EAACE9" w14:textId="4EDAA1A3" w:rsidR="00E56D11" w:rsidRDefault="00E56D11" w:rsidP="00F14058">
            <w:pPr>
              <w:spacing w:after="0" w:line="240" w:lineRule="auto"/>
              <w:rPr>
                <w:sz w:val="24"/>
                <w:szCs w:val="24"/>
              </w:rPr>
            </w:pPr>
            <w:r>
              <w:rPr>
                <w:sz w:val="24"/>
                <w:szCs w:val="24"/>
              </w:rPr>
              <w:t>The IRT believed the comments regarding how long a UDRP Provider has to publish a decision and how long the decision should be published for were outside the scope of the WG’s charter and should be reserved for the review of the UDRP in 2015.</w:t>
            </w:r>
          </w:p>
          <w:p w14:paraId="3477D2F7" w14:textId="77777777" w:rsidR="00E56D11" w:rsidRDefault="00E56D11" w:rsidP="00F14058">
            <w:pPr>
              <w:spacing w:after="0" w:line="240" w:lineRule="auto"/>
              <w:rPr>
                <w:sz w:val="24"/>
                <w:szCs w:val="24"/>
              </w:rPr>
            </w:pPr>
          </w:p>
          <w:p w14:paraId="73E52505" w14:textId="74162ECC" w:rsidR="00E56D11" w:rsidRDefault="00E56D11" w:rsidP="00F14058">
            <w:pPr>
              <w:spacing w:after="0" w:line="240" w:lineRule="auto"/>
              <w:rPr>
                <w:sz w:val="24"/>
                <w:szCs w:val="24"/>
              </w:rPr>
            </w:pPr>
            <w:r>
              <w:rPr>
                <w:sz w:val="24"/>
                <w:szCs w:val="24"/>
              </w:rPr>
              <w:t>The IRT was unsure what the IPC’s comment regarding Paragraph 17(a)(iii) meant.</w:t>
            </w:r>
          </w:p>
          <w:p w14:paraId="120E4983" w14:textId="77777777" w:rsidR="00E56D11" w:rsidRDefault="00E56D11" w:rsidP="00F14058">
            <w:pPr>
              <w:spacing w:after="0" w:line="240" w:lineRule="auto"/>
              <w:rPr>
                <w:sz w:val="24"/>
                <w:szCs w:val="24"/>
              </w:rPr>
            </w:pPr>
          </w:p>
          <w:p w14:paraId="1A5E271C" w14:textId="7F8AD163" w:rsidR="00F14058" w:rsidRDefault="00E56D11" w:rsidP="0088549A">
            <w:pPr>
              <w:spacing w:after="0" w:line="240" w:lineRule="auto"/>
              <w:rPr>
                <w:sz w:val="24"/>
                <w:szCs w:val="24"/>
              </w:rPr>
            </w:pPr>
            <w:r>
              <w:rPr>
                <w:sz w:val="24"/>
                <w:szCs w:val="24"/>
              </w:rPr>
              <w:t xml:space="preserve">Lastly, the IRT believed that the comment from MIC to include the specified language in Paragraph 17(a)(iii) codifies a practice that UDRP providers are already engaged in; however, the IRT </w:t>
            </w:r>
            <w:r w:rsidR="0088549A">
              <w:rPr>
                <w:sz w:val="24"/>
                <w:szCs w:val="24"/>
              </w:rPr>
              <w:t xml:space="preserve">added </w:t>
            </w:r>
            <w:r w:rsidR="00624755">
              <w:rPr>
                <w:sz w:val="24"/>
                <w:szCs w:val="24"/>
              </w:rPr>
              <w:t>the language for the avoidance of doubt.  The UDRP Rules have been modified to include the suggested language.</w:t>
            </w:r>
          </w:p>
        </w:tc>
      </w:tr>
    </w:tbl>
    <w:p w14:paraId="41CDA42D" w14:textId="77777777" w:rsidR="00F14058" w:rsidRPr="0051510C" w:rsidRDefault="00F14058" w:rsidP="00F14058">
      <w:pPr>
        <w:spacing w:after="0" w:line="240" w:lineRule="auto"/>
        <w:outlineLvl w:val="0"/>
        <w:rPr>
          <w:rFonts w:eastAsia="Times New Roman" w:cs="Calibri"/>
          <w:bCs/>
          <w:color w:val="000000"/>
          <w:kern w:val="36"/>
          <w:sz w:val="24"/>
          <w:szCs w:val="24"/>
        </w:rPr>
      </w:pPr>
    </w:p>
    <w:p w14:paraId="09202512" w14:textId="77777777" w:rsidR="00A905AF" w:rsidRDefault="00A905AF"/>
    <w:sectPr w:rsidR="00A905AF" w:rsidSect="00F14058">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58"/>
    <w:rsid w:val="001927F5"/>
    <w:rsid w:val="001A7464"/>
    <w:rsid w:val="003879AE"/>
    <w:rsid w:val="00487362"/>
    <w:rsid w:val="005207BA"/>
    <w:rsid w:val="005B19A2"/>
    <w:rsid w:val="00624755"/>
    <w:rsid w:val="006F174B"/>
    <w:rsid w:val="008815C7"/>
    <w:rsid w:val="0088549A"/>
    <w:rsid w:val="00903981"/>
    <w:rsid w:val="00926E1D"/>
    <w:rsid w:val="00931513"/>
    <w:rsid w:val="00971226"/>
    <w:rsid w:val="009873BB"/>
    <w:rsid w:val="009A6FAF"/>
    <w:rsid w:val="00A369A2"/>
    <w:rsid w:val="00A612AC"/>
    <w:rsid w:val="00A905AF"/>
    <w:rsid w:val="00AD1537"/>
    <w:rsid w:val="00CB4D33"/>
    <w:rsid w:val="00CE3376"/>
    <w:rsid w:val="00E24363"/>
    <w:rsid w:val="00E56D11"/>
    <w:rsid w:val="00ED06AA"/>
    <w:rsid w:val="00F14058"/>
    <w:rsid w:val="00F21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1D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5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F14058"/>
  </w:style>
  <w:style w:type="character" w:styleId="Hyperlink">
    <w:name w:val="Hyperlink"/>
    <w:uiPriority w:val="99"/>
    <w:unhideWhenUsed/>
    <w:rsid w:val="00F14058"/>
    <w:rPr>
      <w:color w:val="0000FF"/>
      <w:u w:val="single"/>
    </w:rPr>
  </w:style>
  <w:style w:type="paragraph" w:customStyle="1" w:styleId="Default">
    <w:name w:val="Default"/>
    <w:rsid w:val="00F14058"/>
    <w:pPr>
      <w:widowControl w:val="0"/>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CB4D33"/>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CB4D33"/>
  </w:style>
  <w:style w:type="paragraph" w:styleId="BalloonText">
    <w:name w:val="Balloon Text"/>
    <w:basedOn w:val="Normal"/>
    <w:link w:val="BalloonTextChar"/>
    <w:uiPriority w:val="99"/>
    <w:semiHidden/>
    <w:unhideWhenUsed/>
    <w:rsid w:val="009712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226"/>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5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F14058"/>
  </w:style>
  <w:style w:type="character" w:styleId="Hyperlink">
    <w:name w:val="Hyperlink"/>
    <w:uiPriority w:val="99"/>
    <w:unhideWhenUsed/>
    <w:rsid w:val="00F14058"/>
    <w:rPr>
      <w:color w:val="0000FF"/>
      <w:u w:val="single"/>
    </w:rPr>
  </w:style>
  <w:style w:type="paragraph" w:customStyle="1" w:styleId="Default">
    <w:name w:val="Default"/>
    <w:rsid w:val="00F14058"/>
    <w:pPr>
      <w:widowControl w:val="0"/>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CB4D33"/>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CB4D33"/>
  </w:style>
  <w:style w:type="paragraph" w:styleId="BalloonText">
    <w:name w:val="Balloon Text"/>
    <w:basedOn w:val="Normal"/>
    <w:link w:val="BalloonTextChar"/>
    <w:uiPriority w:val="99"/>
    <w:semiHidden/>
    <w:unhideWhenUsed/>
    <w:rsid w:val="009712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226"/>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734">
      <w:bodyDiv w:val="1"/>
      <w:marLeft w:val="0"/>
      <w:marRight w:val="0"/>
      <w:marTop w:val="0"/>
      <w:marBottom w:val="0"/>
      <w:divBdr>
        <w:top w:val="none" w:sz="0" w:space="0" w:color="auto"/>
        <w:left w:val="none" w:sz="0" w:space="0" w:color="auto"/>
        <w:bottom w:val="none" w:sz="0" w:space="0" w:color="auto"/>
        <w:right w:val="none" w:sz="0" w:space="0" w:color="auto"/>
      </w:divBdr>
      <w:divsChild>
        <w:div w:id="16729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787690">
      <w:bodyDiv w:val="1"/>
      <w:marLeft w:val="0"/>
      <w:marRight w:val="0"/>
      <w:marTop w:val="0"/>
      <w:marBottom w:val="0"/>
      <w:divBdr>
        <w:top w:val="none" w:sz="0" w:space="0" w:color="auto"/>
        <w:left w:val="none" w:sz="0" w:space="0" w:color="auto"/>
        <w:bottom w:val="none" w:sz="0" w:space="0" w:color="auto"/>
        <w:right w:val="none" w:sz="0" w:space="0" w:color="auto"/>
      </w:divBdr>
      <w:divsChild>
        <w:div w:id="26569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288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public-comments/udrp-rules-proposed-2014-05-19-e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news/announcement-2014-05-20-en" TargetMode="External"/><Relationship Id="rId6" Type="http://schemas.openxmlformats.org/officeDocument/2006/relationships/hyperlink" Target="https://www.icann.org/public-comments/udrp-rules-proposed-2014-05-19-en" TargetMode="External"/><Relationship Id="rId7" Type="http://schemas.openxmlformats.org/officeDocument/2006/relationships/hyperlink" Target="http://forum.icann.org/lists/comments-udrp-rules-proposed-19may14/" TargetMode="External"/><Relationship Id="rId8" Type="http://schemas.openxmlformats.org/officeDocument/2006/relationships/hyperlink" Target="https://www.icann.org/en/news/public-comment/locking-domain-name-15mar13-en.htm" TargetMode="External"/><Relationship Id="rId9" Type="http://schemas.openxmlformats.org/officeDocument/2006/relationships/hyperlink" Target="http://gnso.icann.org/en/issues/locking/domain-name-final-05jul13-en.pdf" TargetMode="External"/><Relationship Id="rId10" Type="http://schemas.openxmlformats.org/officeDocument/2006/relationships/hyperlink" Target="http://gnso.icann.org/en/node/40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1552</Words>
  <Characters>8849</Characters>
  <Application>Microsoft Macintosh Word</Application>
  <DocSecurity>4</DocSecurity>
  <Lines>73</Lines>
  <Paragraphs>20</Paragraphs>
  <ScaleCrop>false</ScaleCrop>
  <Company>ICANN</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dcterms:created xsi:type="dcterms:W3CDTF">2014-08-18T18:38:00Z</dcterms:created>
  <dcterms:modified xsi:type="dcterms:W3CDTF">2014-08-18T18:38:00Z</dcterms:modified>
</cp:coreProperties>
</file>