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83031" w14:textId="77777777" w:rsidR="009F7745" w:rsidRPr="0019132F" w:rsidRDefault="009F7745" w:rsidP="009F7745">
      <w:pPr>
        <w:widowControl w:val="0"/>
        <w:autoSpaceDE w:val="0"/>
        <w:autoSpaceDN w:val="0"/>
        <w:adjustRightInd w:val="0"/>
        <w:spacing w:after="240"/>
        <w:rPr>
          <w:rFonts w:ascii="Calibri" w:hAnsi="Calibri" w:cs="Arial"/>
          <w:b/>
          <w:sz w:val="26"/>
          <w:szCs w:val="26"/>
        </w:rPr>
      </w:pPr>
      <w:r w:rsidRPr="0019132F">
        <w:rPr>
          <w:rFonts w:ascii="Calibri" w:hAnsi="Calibri" w:cs="Arial"/>
          <w:b/>
          <w:sz w:val="26"/>
          <w:szCs w:val="26"/>
        </w:rPr>
        <w:t>Information related to Domain transfer disputes</w:t>
      </w:r>
    </w:p>
    <w:p w14:paraId="273E258F" w14:textId="77777777" w:rsidR="009F7745" w:rsidRPr="0019132F" w:rsidRDefault="009F7745" w:rsidP="009F7745">
      <w:pPr>
        <w:widowControl w:val="0"/>
        <w:autoSpaceDE w:val="0"/>
        <w:autoSpaceDN w:val="0"/>
        <w:adjustRightInd w:val="0"/>
        <w:spacing w:after="240"/>
        <w:rPr>
          <w:rFonts w:ascii="Calibri" w:hAnsi="Calibri" w:cs="Arial"/>
          <w:sz w:val="22"/>
          <w:szCs w:val="22"/>
        </w:rPr>
      </w:pPr>
    </w:p>
    <w:p w14:paraId="16339E7E" w14:textId="77777777" w:rsidR="009F7745" w:rsidRPr="0019132F" w:rsidRDefault="009F7745" w:rsidP="009F7745">
      <w:pPr>
        <w:widowControl w:val="0"/>
        <w:autoSpaceDE w:val="0"/>
        <w:autoSpaceDN w:val="0"/>
        <w:adjustRightInd w:val="0"/>
        <w:spacing w:after="240"/>
        <w:rPr>
          <w:rFonts w:ascii="Calibri" w:hAnsi="Calibri" w:cs="Arial"/>
          <w:sz w:val="22"/>
          <w:szCs w:val="22"/>
        </w:rPr>
      </w:pPr>
      <w:r w:rsidRPr="0019132F">
        <w:rPr>
          <w:rFonts w:ascii="Calibri" w:hAnsi="Calibri" w:cs="Arial"/>
          <w:b/>
          <w:sz w:val="22"/>
          <w:szCs w:val="22"/>
        </w:rPr>
        <w:t>ICANN’s Contractual Compliance Department (period: January 2012-February 2013)</w:t>
      </w:r>
    </w:p>
    <w:p w14:paraId="5E94BB53" w14:textId="77777777" w:rsidR="00885C72" w:rsidRPr="0019132F" w:rsidRDefault="00885C72" w:rsidP="009F7745">
      <w:pPr>
        <w:widowControl w:val="0"/>
        <w:autoSpaceDE w:val="0"/>
        <w:autoSpaceDN w:val="0"/>
        <w:adjustRightInd w:val="0"/>
        <w:spacing w:after="240"/>
        <w:rPr>
          <w:rFonts w:ascii="Calibri" w:hAnsi="Calibri" w:cs="Arial"/>
          <w:sz w:val="22"/>
          <w:szCs w:val="22"/>
        </w:rPr>
      </w:pPr>
      <w:r w:rsidRPr="0019132F">
        <w:rPr>
          <w:rFonts w:ascii="Calibri" w:hAnsi="Calibri" w:cs="Arial"/>
          <w:sz w:val="22"/>
          <w:szCs w:val="22"/>
        </w:rPr>
        <w:t xml:space="preserve">Total of </w:t>
      </w:r>
      <w:r w:rsidR="009F7745" w:rsidRPr="0019132F">
        <w:rPr>
          <w:rFonts w:ascii="Calibri" w:hAnsi="Calibri" w:cs="Arial"/>
          <w:b/>
          <w:sz w:val="22"/>
          <w:szCs w:val="22"/>
        </w:rPr>
        <w:t xml:space="preserve">6594 </w:t>
      </w:r>
      <w:r w:rsidRPr="0019132F">
        <w:rPr>
          <w:rFonts w:ascii="Calibri" w:hAnsi="Calibri" w:cs="Arial"/>
          <w:b/>
          <w:sz w:val="22"/>
          <w:szCs w:val="22"/>
        </w:rPr>
        <w:t>received</w:t>
      </w:r>
      <w:r w:rsidRPr="0019132F">
        <w:rPr>
          <w:rFonts w:ascii="Calibri" w:hAnsi="Calibri" w:cs="Arial"/>
          <w:sz w:val="22"/>
          <w:szCs w:val="22"/>
        </w:rPr>
        <w:t xml:space="preserve"> and processed IRTP-related complaints</w:t>
      </w:r>
    </w:p>
    <w:p w14:paraId="5553FC72" w14:textId="4AEB8FFD" w:rsidR="009F7745" w:rsidRPr="0019132F" w:rsidRDefault="00885C72" w:rsidP="009F7745">
      <w:pPr>
        <w:widowControl w:val="0"/>
        <w:autoSpaceDE w:val="0"/>
        <w:autoSpaceDN w:val="0"/>
        <w:adjustRightInd w:val="0"/>
        <w:spacing w:after="240"/>
        <w:rPr>
          <w:rFonts w:ascii="Calibri" w:hAnsi="Calibri" w:cs="Arial"/>
          <w:sz w:val="22"/>
          <w:szCs w:val="22"/>
        </w:rPr>
      </w:pPr>
      <w:r w:rsidRPr="0019132F">
        <w:rPr>
          <w:rFonts w:ascii="Calibri" w:hAnsi="Calibri" w:cs="Arial"/>
          <w:sz w:val="22"/>
          <w:szCs w:val="22"/>
        </w:rPr>
        <w:t xml:space="preserve">Of those, </w:t>
      </w:r>
      <w:r w:rsidR="009F7745" w:rsidRPr="0019132F">
        <w:rPr>
          <w:rFonts w:ascii="Calibri" w:hAnsi="Calibri" w:cs="Arial"/>
          <w:sz w:val="22"/>
          <w:szCs w:val="22"/>
        </w:rPr>
        <w:t>2778 complaints (42%) corresponded to invalid (those that did not involve a potential breach to the IRTP) or FAQ-type complaints</w:t>
      </w:r>
    </w:p>
    <w:p w14:paraId="120895DB" w14:textId="77777777" w:rsidR="009F7745" w:rsidRPr="0019132F" w:rsidRDefault="009F7745" w:rsidP="009F7745">
      <w:pPr>
        <w:widowControl w:val="0"/>
        <w:autoSpaceDE w:val="0"/>
        <w:autoSpaceDN w:val="0"/>
        <w:adjustRightInd w:val="0"/>
        <w:spacing w:after="240"/>
        <w:rPr>
          <w:rFonts w:ascii="Calibri" w:hAnsi="Calibri" w:cs="Times"/>
          <w:sz w:val="22"/>
          <w:szCs w:val="22"/>
        </w:rPr>
      </w:pPr>
      <w:r w:rsidRPr="0019132F">
        <w:rPr>
          <w:rFonts w:ascii="Calibri" w:hAnsi="Calibri" w:cs="Arial"/>
          <w:sz w:val="22"/>
          <w:szCs w:val="22"/>
        </w:rPr>
        <w:t xml:space="preserve">Remaining </w:t>
      </w:r>
      <w:r w:rsidRPr="0019132F">
        <w:rPr>
          <w:rFonts w:ascii="Calibri" w:hAnsi="Calibri" w:cs="Arial"/>
          <w:b/>
          <w:sz w:val="22"/>
          <w:szCs w:val="22"/>
        </w:rPr>
        <w:t>3816 complaints</w:t>
      </w:r>
      <w:r w:rsidRPr="0019132F">
        <w:rPr>
          <w:rFonts w:ascii="Calibri" w:hAnsi="Calibri" w:cs="Arial"/>
          <w:sz w:val="22"/>
          <w:szCs w:val="22"/>
        </w:rPr>
        <w:t xml:space="preserve"> (58%) were </w:t>
      </w:r>
      <w:r w:rsidRPr="0019132F">
        <w:rPr>
          <w:rFonts w:ascii="Calibri" w:hAnsi="Calibri" w:cs="Arial"/>
          <w:b/>
          <w:sz w:val="22"/>
          <w:szCs w:val="22"/>
        </w:rPr>
        <w:t>valid IRTP complaints</w:t>
      </w:r>
      <w:r w:rsidRPr="0019132F">
        <w:rPr>
          <w:rFonts w:ascii="Calibri" w:hAnsi="Calibri" w:cs="Arial"/>
          <w:sz w:val="22"/>
          <w:szCs w:val="22"/>
        </w:rPr>
        <w:t xml:space="preserve">, of which </w:t>
      </w:r>
      <w:r w:rsidRPr="0019132F">
        <w:rPr>
          <w:rFonts w:ascii="Calibri" w:hAnsi="Calibri" w:cs="Arial"/>
          <w:b/>
          <w:sz w:val="22"/>
          <w:szCs w:val="22"/>
        </w:rPr>
        <w:t>47</w:t>
      </w:r>
      <w:r w:rsidRPr="0019132F">
        <w:rPr>
          <w:rFonts w:ascii="Calibri" w:hAnsi="Calibri" w:cs="Arial"/>
          <w:sz w:val="22"/>
          <w:szCs w:val="22"/>
        </w:rPr>
        <w:t xml:space="preserve"> (1.2%) were related to </w:t>
      </w:r>
      <w:r w:rsidRPr="0019132F">
        <w:rPr>
          <w:rFonts w:ascii="Calibri" w:hAnsi="Calibri" w:cs="Arial"/>
          <w:b/>
          <w:sz w:val="22"/>
          <w:szCs w:val="22"/>
        </w:rPr>
        <w:t>unauthorized transfers</w:t>
      </w:r>
      <w:r w:rsidRPr="0019132F">
        <w:rPr>
          <w:rFonts w:ascii="Calibri" w:hAnsi="Calibri" w:cs="Arial"/>
          <w:sz w:val="22"/>
          <w:szCs w:val="22"/>
        </w:rPr>
        <w:t xml:space="preserve"> of domain names.</w:t>
      </w:r>
    </w:p>
    <w:p w14:paraId="6E69B05F" w14:textId="77777777" w:rsidR="009F7745" w:rsidRPr="0019132F" w:rsidRDefault="009F7745" w:rsidP="009F7745">
      <w:pPr>
        <w:widowControl w:val="0"/>
        <w:autoSpaceDE w:val="0"/>
        <w:autoSpaceDN w:val="0"/>
        <w:adjustRightInd w:val="0"/>
        <w:spacing w:after="240"/>
        <w:rPr>
          <w:rFonts w:ascii="Calibri" w:hAnsi="Calibri" w:cs="Arial"/>
          <w:sz w:val="22"/>
          <w:szCs w:val="22"/>
        </w:rPr>
      </w:pPr>
      <w:r w:rsidRPr="0019132F">
        <w:rPr>
          <w:rFonts w:ascii="Calibri" w:hAnsi="Calibri" w:cs="Arial"/>
          <w:sz w:val="22"/>
          <w:szCs w:val="22"/>
        </w:rPr>
        <w:t>Of the 47 complaints related to unauthorized transfers of domain names, 31 complaints (0.8% of the total valid IRTP complaints) were related to email address hijacking or hijacking of access credentials to the registrant's control panel.</w:t>
      </w:r>
    </w:p>
    <w:p w14:paraId="67A02718" w14:textId="77777777" w:rsidR="009F7745" w:rsidRPr="0019132F" w:rsidRDefault="009F7745" w:rsidP="009F7745">
      <w:pPr>
        <w:widowControl w:val="0"/>
        <w:autoSpaceDE w:val="0"/>
        <w:autoSpaceDN w:val="0"/>
        <w:adjustRightInd w:val="0"/>
        <w:spacing w:after="240"/>
        <w:rPr>
          <w:rFonts w:ascii="Calibri" w:hAnsi="Calibri" w:cs="Arial"/>
          <w:sz w:val="22"/>
          <w:szCs w:val="22"/>
        </w:rPr>
      </w:pPr>
      <w:r w:rsidRPr="0019132F">
        <w:rPr>
          <w:rFonts w:ascii="Calibri" w:hAnsi="Calibri" w:cs="Arial"/>
          <w:sz w:val="22"/>
          <w:szCs w:val="22"/>
        </w:rPr>
        <w:t>While processing the 16 remaining complaints related to unauthorized transfers (0.4% of the total valid IRTP complaints) none of the involved registrars stated, or provided evidence that they initiated a TDRP procedure.</w:t>
      </w:r>
    </w:p>
    <w:p w14:paraId="37AD8D32" w14:textId="77777777" w:rsidR="00E8149B" w:rsidRDefault="00E8149B" w:rsidP="009F7745">
      <w:pPr>
        <w:widowControl w:val="0"/>
        <w:autoSpaceDE w:val="0"/>
        <w:autoSpaceDN w:val="0"/>
        <w:adjustRightInd w:val="0"/>
        <w:spacing w:after="240"/>
        <w:rPr>
          <w:rFonts w:ascii="Calibri" w:hAnsi="Calibri" w:cs="Arial"/>
          <w:sz w:val="22"/>
          <w:szCs w:val="22"/>
        </w:rPr>
      </w:pPr>
    </w:p>
    <w:p w14:paraId="63CD9EBF" w14:textId="27D4732A" w:rsidR="002F301D" w:rsidRDefault="002F301D" w:rsidP="009F7745">
      <w:pPr>
        <w:widowControl w:val="0"/>
        <w:autoSpaceDE w:val="0"/>
        <w:autoSpaceDN w:val="0"/>
        <w:adjustRightInd w:val="0"/>
        <w:spacing w:after="240"/>
        <w:rPr>
          <w:rFonts w:ascii="Calibri" w:hAnsi="Calibri" w:cs="Arial"/>
          <w:sz w:val="22"/>
          <w:szCs w:val="22"/>
        </w:rPr>
      </w:pPr>
      <w:r>
        <w:rPr>
          <w:rFonts w:ascii="Calibri" w:hAnsi="Calibri" w:cs="Arial"/>
          <w:noProof/>
          <w:sz w:val="22"/>
          <w:szCs w:val="22"/>
        </w:rPr>
        <w:drawing>
          <wp:inline distT="0" distB="0" distL="0" distR="0" wp14:anchorId="1C52D851" wp14:editId="764EB2FC">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4FFB19" w14:textId="77777777" w:rsidR="002F301D" w:rsidRDefault="002F301D" w:rsidP="009F7745">
      <w:pPr>
        <w:widowControl w:val="0"/>
        <w:autoSpaceDE w:val="0"/>
        <w:autoSpaceDN w:val="0"/>
        <w:adjustRightInd w:val="0"/>
        <w:spacing w:after="240"/>
        <w:rPr>
          <w:rFonts w:ascii="Calibri" w:hAnsi="Calibri" w:cs="Arial"/>
          <w:sz w:val="22"/>
          <w:szCs w:val="22"/>
        </w:rPr>
      </w:pPr>
    </w:p>
    <w:p w14:paraId="3160D5A2" w14:textId="77777777" w:rsidR="002F301D" w:rsidRPr="0019132F" w:rsidRDefault="002F301D" w:rsidP="009F7745">
      <w:pPr>
        <w:widowControl w:val="0"/>
        <w:autoSpaceDE w:val="0"/>
        <w:autoSpaceDN w:val="0"/>
        <w:adjustRightInd w:val="0"/>
        <w:spacing w:after="240"/>
        <w:rPr>
          <w:rFonts w:ascii="Calibri" w:hAnsi="Calibri" w:cs="Arial"/>
          <w:sz w:val="22"/>
          <w:szCs w:val="22"/>
        </w:rPr>
      </w:pPr>
    </w:p>
    <w:p w14:paraId="180E961A" w14:textId="5415F5F5" w:rsidR="00E8149B" w:rsidRPr="0019132F" w:rsidRDefault="00E8149B" w:rsidP="009F7745">
      <w:pPr>
        <w:widowControl w:val="0"/>
        <w:autoSpaceDE w:val="0"/>
        <w:autoSpaceDN w:val="0"/>
        <w:adjustRightInd w:val="0"/>
        <w:spacing w:after="240"/>
        <w:rPr>
          <w:rFonts w:ascii="Calibri" w:hAnsi="Calibri" w:cs="Arial"/>
          <w:b/>
          <w:sz w:val="22"/>
          <w:szCs w:val="22"/>
        </w:rPr>
      </w:pPr>
      <w:r w:rsidRPr="0019132F">
        <w:rPr>
          <w:rFonts w:ascii="Calibri" w:hAnsi="Calibri" w:cs="Arial"/>
          <w:b/>
          <w:sz w:val="22"/>
          <w:szCs w:val="22"/>
        </w:rPr>
        <w:t xml:space="preserve">Anecdotal Evidence from Registrars about non-escalated inter-registrar disputes </w:t>
      </w:r>
    </w:p>
    <w:p w14:paraId="0608A3DB" w14:textId="6783B2F8" w:rsidR="004F54FC" w:rsidRPr="0019132F" w:rsidRDefault="00885C72" w:rsidP="009F7745">
      <w:pPr>
        <w:widowControl w:val="0"/>
        <w:autoSpaceDE w:val="0"/>
        <w:autoSpaceDN w:val="0"/>
        <w:adjustRightInd w:val="0"/>
        <w:spacing w:after="240"/>
        <w:rPr>
          <w:rFonts w:ascii="Calibri" w:hAnsi="Calibri" w:cs="Arial"/>
          <w:sz w:val="22"/>
          <w:szCs w:val="22"/>
        </w:rPr>
      </w:pPr>
      <w:r w:rsidRPr="0019132F">
        <w:rPr>
          <w:rFonts w:ascii="Calibri" w:hAnsi="Calibri" w:cs="Arial"/>
          <w:b/>
          <w:sz w:val="22"/>
          <w:szCs w:val="22"/>
        </w:rPr>
        <w:lastRenderedPageBreak/>
        <w:t>Key-Systems</w:t>
      </w:r>
      <w:r w:rsidRPr="0019132F">
        <w:rPr>
          <w:rFonts w:ascii="Calibri" w:hAnsi="Calibri" w:cs="Arial"/>
          <w:sz w:val="22"/>
          <w:szCs w:val="22"/>
        </w:rPr>
        <w:t xml:space="preserve"> also in the last 5-6 years has initiated or been subject to </w:t>
      </w:r>
      <w:r w:rsidR="00877795" w:rsidRPr="0019132F">
        <w:rPr>
          <w:rFonts w:ascii="Calibri" w:hAnsi="Calibri" w:cs="Arial"/>
          <w:b/>
          <w:sz w:val="22"/>
          <w:szCs w:val="22"/>
        </w:rPr>
        <w:t xml:space="preserve">zero </w:t>
      </w:r>
      <w:r w:rsidRPr="0019132F">
        <w:rPr>
          <w:rFonts w:ascii="Calibri" w:hAnsi="Calibri" w:cs="Arial"/>
          <w:sz w:val="22"/>
          <w:szCs w:val="22"/>
        </w:rPr>
        <w:t>TDRP-procedures.</w:t>
      </w:r>
    </w:p>
    <w:p w14:paraId="76B693F7" w14:textId="6398D054" w:rsidR="00A125CA" w:rsidRPr="0019132F" w:rsidRDefault="00885C72" w:rsidP="004E40FC">
      <w:pPr>
        <w:widowControl w:val="0"/>
        <w:autoSpaceDE w:val="0"/>
        <w:autoSpaceDN w:val="0"/>
        <w:adjustRightInd w:val="0"/>
        <w:spacing w:after="240"/>
        <w:rPr>
          <w:rFonts w:ascii="Calibri" w:hAnsi="Calibri" w:cs="Arial"/>
          <w:sz w:val="22"/>
          <w:szCs w:val="22"/>
        </w:rPr>
      </w:pPr>
      <w:proofErr w:type="spellStart"/>
      <w:r w:rsidRPr="0019132F">
        <w:rPr>
          <w:rFonts w:ascii="Calibri" w:hAnsi="Calibri" w:cs="Arial"/>
          <w:b/>
          <w:sz w:val="22"/>
          <w:szCs w:val="22"/>
        </w:rPr>
        <w:t>Tucows</w:t>
      </w:r>
      <w:proofErr w:type="spellEnd"/>
      <w:r w:rsidRPr="0019132F">
        <w:rPr>
          <w:rFonts w:ascii="Calibri" w:hAnsi="Calibri" w:cs="Arial"/>
          <w:sz w:val="22"/>
          <w:szCs w:val="22"/>
        </w:rPr>
        <w:t xml:space="preserve"> has taken part in approximately </w:t>
      </w:r>
      <w:r w:rsidRPr="0019132F">
        <w:rPr>
          <w:rFonts w:ascii="Calibri" w:hAnsi="Calibri" w:cs="Arial"/>
          <w:b/>
          <w:sz w:val="22"/>
          <w:szCs w:val="22"/>
        </w:rPr>
        <w:t>four</w:t>
      </w:r>
      <w:r w:rsidRPr="0019132F">
        <w:rPr>
          <w:rFonts w:ascii="Calibri" w:hAnsi="Calibri" w:cs="Arial"/>
          <w:sz w:val="22"/>
          <w:szCs w:val="22"/>
        </w:rPr>
        <w:t xml:space="preserve"> TDRPs ever (none in the past couple years)</w:t>
      </w:r>
      <w:r w:rsidR="00877795" w:rsidRPr="0019132F">
        <w:rPr>
          <w:rFonts w:ascii="Calibri" w:hAnsi="Calibri" w:cs="Arial"/>
          <w:sz w:val="22"/>
          <w:szCs w:val="22"/>
        </w:rPr>
        <w:t xml:space="preserve">. </w:t>
      </w:r>
      <w:proofErr w:type="spellStart"/>
      <w:r w:rsidRPr="0019132F">
        <w:rPr>
          <w:rFonts w:ascii="Calibri" w:hAnsi="Calibri" w:cs="Arial"/>
          <w:sz w:val="22"/>
          <w:szCs w:val="22"/>
        </w:rPr>
        <w:t>Tocows</w:t>
      </w:r>
      <w:proofErr w:type="spellEnd"/>
      <w:r w:rsidRPr="0019132F">
        <w:rPr>
          <w:rFonts w:ascii="Calibri" w:hAnsi="Calibri" w:cs="Arial"/>
          <w:sz w:val="22"/>
          <w:szCs w:val="22"/>
        </w:rPr>
        <w:t xml:space="preserve"> reports that there </w:t>
      </w:r>
      <w:proofErr w:type="gramStart"/>
      <w:r w:rsidRPr="0019132F">
        <w:rPr>
          <w:rFonts w:ascii="Calibri" w:hAnsi="Calibri" w:cs="Arial"/>
          <w:sz w:val="22"/>
          <w:szCs w:val="22"/>
        </w:rPr>
        <w:t>is</w:t>
      </w:r>
      <w:proofErr w:type="gramEnd"/>
      <w:r w:rsidRPr="0019132F">
        <w:rPr>
          <w:rFonts w:ascii="Calibri" w:hAnsi="Calibri" w:cs="Arial"/>
          <w:sz w:val="22"/>
          <w:szCs w:val="22"/>
        </w:rPr>
        <w:t xml:space="preserve"> a low level number of complaints and issues around transfers that they deal with informally (ca. 12 per year) with the </w:t>
      </w:r>
      <w:r w:rsidR="00877795" w:rsidRPr="0019132F">
        <w:rPr>
          <w:rFonts w:ascii="Calibri" w:hAnsi="Calibri" w:cs="Arial"/>
          <w:sz w:val="22"/>
          <w:szCs w:val="22"/>
        </w:rPr>
        <w:t>other registrars. These include</w:t>
      </w:r>
      <w:r w:rsidRPr="0019132F">
        <w:rPr>
          <w:rFonts w:ascii="Calibri" w:hAnsi="Calibri" w:cs="Arial"/>
          <w:sz w:val="22"/>
          <w:szCs w:val="22"/>
        </w:rPr>
        <w:t xml:space="preserve"> both gaining and losing issues. As </w:t>
      </w:r>
      <w:r w:rsidR="00877795" w:rsidRPr="0019132F">
        <w:rPr>
          <w:rFonts w:ascii="Calibri" w:hAnsi="Calibri" w:cs="Arial"/>
          <w:sz w:val="22"/>
          <w:szCs w:val="22"/>
        </w:rPr>
        <w:t xml:space="preserve">their </w:t>
      </w:r>
      <w:r w:rsidRPr="0019132F">
        <w:rPr>
          <w:rFonts w:ascii="Calibri" w:hAnsi="Calibri" w:cs="Arial"/>
          <w:sz w:val="22"/>
          <w:szCs w:val="22"/>
        </w:rPr>
        <w:t>model is primarily wholesale, it’s safe to assume there is going to be at least some transfer issues that are dealt with at the reseller level without reaching us, but the volume is low enough not to generate any material issues.</w:t>
      </w:r>
    </w:p>
    <w:p w14:paraId="787D21C5" w14:textId="77777777" w:rsidR="0061125B" w:rsidRPr="0019132F" w:rsidRDefault="0061125B" w:rsidP="004E40FC">
      <w:pPr>
        <w:widowControl w:val="0"/>
        <w:autoSpaceDE w:val="0"/>
        <w:autoSpaceDN w:val="0"/>
        <w:adjustRightInd w:val="0"/>
        <w:spacing w:after="240"/>
        <w:rPr>
          <w:rFonts w:ascii="Calibri" w:hAnsi="Calibri" w:cs="Arial"/>
          <w:sz w:val="22"/>
          <w:szCs w:val="22"/>
        </w:rPr>
      </w:pPr>
    </w:p>
    <w:p w14:paraId="230B80FA" w14:textId="74D200B4" w:rsidR="0061125B" w:rsidRPr="0019132F" w:rsidRDefault="0061125B" w:rsidP="0061125B">
      <w:pPr>
        <w:widowControl w:val="0"/>
        <w:autoSpaceDE w:val="0"/>
        <w:autoSpaceDN w:val="0"/>
        <w:adjustRightInd w:val="0"/>
        <w:rPr>
          <w:rFonts w:ascii="Calibri" w:hAnsi="Calibri" w:cs="Arial"/>
          <w:b/>
          <w:sz w:val="22"/>
          <w:szCs w:val="22"/>
        </w:rPr>
      </w:pPr>
      <w:r w:rsidRPr="0019132F">
        <w:rPr>
          <w:rFonts w:ascii="Calibri" w:hAnsi="Calibri" w:cs="Arial"/>
          <w:b/>
          <w:sz w:val="22"/>
          <w:szCs w:val="22"/>
        </w:rPr>
        <w:t xml:space="preserve">TDRP-Data from </w:t>
      </w:r>
      <w:proofErr w:type="spellStart"/>
      <w:r w:rsidRPr="0019132F">
        <w:rPr>
          <w:rFonts w:ascii="Calibri" w:hAnsi="Calibri" w:cs="Arial"/>
          <w:b/>
          <w:sz w:val="22"/>
          <w:szCs w:val="22"/>
        </w:rPr>
        <w:t>Verisign</w:t>
      </w:r>
      <w:proofErr w:type="spellEnd"/>
    </w:p>
    <w:p w14:paraId="0B5FC9EB" w14:textId="77777777" w:rsidR="0061125B" w:rsidRPr="0019132F" w:rsidRDefault="0061125B" w:rsidP="0061125B">
      <w:pPr>
        <w:widowControl w:val="0"/>
        <w:autoSpaceDE w:val="0"/>
        <w:autoSpaceDN w:val="0"/>
        <w:adjustRightInd w:val="0"/>
        <w:rPr>
          <w:rFonts w:ascii="Calibri" w:hAnsi="Calibri" w:cs="Arial"/>
          <w:sz w:val="22"/>
          <w:szCs w:val="22"/>
        </w:rPr>
      </w:pPr>
    </w:p>
    <w:p w14:paraId="0E2E6900" w14:textId="48CB8ED3" w:rsidR="0061125B" w:rsidRPr="0019132F" w:rsidRDefault="0061125B" w:rsidP="0061125B">
      <w:pPr>
        <w:widowControl w:val="0"/>
        <w:autoSpaceDE w:val="0"/>
        <w:autoSpaceDN w:val="0"/>
        <w:adjustRightInd w:val="0"/>
        <w:rPr>
          <w:rFonts w:ascii="Calibri" w:hAnsi="Calibri" w:cs="Arial"/>
          <w:sz w:val="22"/>
          <w:szCs w:val="22"/>
        </w:rPr>
      </w:pPr>
      <w:r w:rsidRPr="0019132F">
        <w:rPr>
          <w:rFonts w:ascii="Calibri" w:hAnsi="Calibri" w:cs="Arial"/>
          <w:sz w:val="22"/>
          <w:szCs w:val="22"/>
        </w:rPr>
        <w:t xml:space="preserve">Since October 2009 there were </w:t>
      </w:r>
      <w:r w:rsidRPr="0019132F">
        <w:rPr>
          <w:rFonts w:ascii="Calibri" w:hAnsi="Calibri" w:cs="Arial"/>
          <w:b/>
          <w:sz w:val="22"/>
          <w:szCs w:val="22"/>
        </w:rPr>
        <w:t>154 cases</w:t>
      </w:r>
      <w:r w:rsidRPr="0019132F">
        <w:rPr>
          <w:rFonts w:ascii="Calibri" w:hAnsi="Calibri" w:cs="Arial"/>
          <w:sz w:val="22"/>
          <w:szCs w:val="22"/>
        </w:rPr>
        <w:t xml:space="preserve"> filed with </w:t>
      </w:r>
      <w:proofErr w:type="spellStart"/>
      <w:r w:rsidRPr="0019132F">
        <w:rPr>
          <w:rFonts w:ascii="Calibri" w:hAnsi="Calibri" w:cs="Arial"/>
          <w:sz w:val="22"/>
          <w:szCs w:val="22"/>
        </w:rPr>
        <w:t>Verisign</w:t>
      </w:r>
      <w:proofErr w:type="spellEnd"/>
      <w:r w:rsidRPr="0019132F">
        <w:rPr>
          <w:rFonts w:ascii="Calibri" w:hAnsi="Calibri" w:cs="Arial"/>
          <w:sz w:val="22"/>
          <w:szCs w:val="22"/>
        </w:rPr>
        <w:t>, of which 142 were related to .com and 12 to .net</w:t>
      </w:r>
    </w:p>
    <w:p w14:paraId="257EED4F" w14:textId="77777777" w:rsidR="0061125B" w:rsidRPr="0019132F" w:rsidRDefault="0061125B" w:rsidP="0061125B">
      <w:pPr>
        <w:widowControl w:val="0"/>
        <w:autoSpaceDE w:val="0"/>
        <w:autoSpaceDN w:val="0"/>
        <w:adjustRightInd w:val="0"/>
        <w:rPr>
          <w:rFonts w:ascii="Calibri" w:hAnsi="Calibri" w:cs="Arial"/>
          <w:sz w:val="22"/>
          <w:szCs w:val="22"/>
        </w:rPr>
      </w:pPr>
      <w:r w:rsidRPr="0019132F">
        <w:rPr>
          <w:rFonts w:ascii="Calibri" w:hAnsi="Calibri" w:cs="Arial"/>
          <w:sz w:val="22"/>
          <w:szCs w:val="22"/>
        </w:rPr>
        <w:t> </w:t>
      </w:r>
    </w:p>
    <w:p w14:paraId="1162AE0B" w14:textId="56BF5EEE" w:rsidR="0061125B" w:rsidRPr="0019132F" w:rsidRDefault="0061125B" w:rsidP="0061125B">
      <w:pPr>
        <w:widowControl w:val="0"/>
        <w:autoSpaceDE w:val="0"/>
        <w:autoSpaceDN w:val="0"/>
        <w:adjustRightInd w:val="0"/>
        <w:rPr>
          <w:rFonts w:ascii="Calibri" w:hAnsi="Calibri" w:cs="Arial"/>
          <w:sz w:val="22"/>
          <w:szCs w:val="22"/>
        </w:rPr>
      </w:pPr>
      <w:r w:rsidRPr="0019132F">
        <w:rPr>
          <w:rFonts w:ascii="Calibri" w:hAnsi="Calibri" w:cs="Arial"/>
          <w:sz w:val="22"/>
          <w:szCs w:val="22"/>
        </w:rPr>
        <w:t xml:space="preserve">Of the 154 cases, </w:t>
      </w:r>
      <w:r w:rsidRPr="0019132F">
        <w:rPr>
          <w:rFonts w:ascii="Calibri" w:hAnsi="Calibri" w:cs="Arial"/>
          <w:b/>
          <w:sz w:val="22"/>
          <w:szCs w:val="22"/>
        </w:rPr>
        <w:t>109 were Requests for Enforcement</w:t>
      </w:r>
      <w:r w:rsidRPr="0019132F">
        <w:rPr>
          <w:rFonts w:ascii="Calibri" w:hAnsi="Calibri" w:cs="Arial"/>
          <w:sz w:val="22"/>
          <w:szCs w:val="22"/>
        </w:rPr>
        <w:t xml:space="preserve"> (RFEs) and 45 were Application for Reinstatement of Sponsorships (ARSs).</w:t>
      </w:r>
      <w:r w:rsidR="00B269AB" w:rsidRPr="0019132F">
        <w:rPr>
          <w:rStyle w:val="FootnoteReference"/>
          <w:rFonts w:ascii="Calibri" w:hAnsi="Calibri" w:cs="Arial"/>
          <w:sz w:val="22"/>
          <w:szCs w:val="22"/>
        </w:rPr>
        <w:footnoteReference w:id="1"/>
      </w:r>
      <w:r w:rsidRPr="0019132F">
        <w:rPr>
          <w:rFonts w:ascii="Calibri" w:hAnsi="Calibri" w:cs="Arial"/>
          <w:sz w:val="22"/>
          <w:szCs w:val="22"/>
        </w:rPr>
        <w:t xml:space="preserve">  </w:t>
      </w:r>
    </w:p>
    <w:p w14:paraId="11BB9445" w14:textId="77777777" w:rsidR="0061125B" w:rsidRPr="0019132F" w:rsidRDefault="0061125B" w:rsidP="0061125B">
      <w:pPr>
        <w:widowControl w:val="0"/>
        <w:autoSpaceDE w:val="0"/>
        <w:autoSpaceDN w:val="0"/>
        <w:adjustRightInd w:val="0"/>
        <w:rPr>
          <w:rFonts w:ascii="Calibri" w:hAnsi="Calibri" w:cs="Arial"/>
          <w:sz w:val="22"/>
          <w:szCs w:val="22"/>
        </w:rPr>
      </w:pPr>
      <w:r w:rsidRPr="0019132F">
        <w:rPr>
          <w:rFonts w:ascii="Calibri" w:hAnsi="Calibri" w:cs="Arial"/>
          <w:sz w:val="22"/>
          <w:szCs w:val="22"/>
        </w:rPr>
        <w:t> </w:t>
      </w:r>
    </w:p>
    <w:p w14:paraId="581AAC8A" w14:textId="62D79164" w:rsidR="00B269AB" w:rsidRPr="0019132F" w:rsidRDefault="00B269AB" w:rsidP="0061125B">
      <w:pPr>
        <w:widowControl w:val="0"/>
        <w:autoSpaceDE w:val="0"/>
        <w:autoSpaceDN w:val="0"/>
        <w:adjustRightInd w:val="0"/>
        <w:rPr>
          <w:rFonts w:ascii="Calibri" w:hAnsi="Calibri" w:cs="Arial"/>
          <w:sz w:val="22"/>
          <w:szCs w:val="22"/>
        </w:rPr>
      </w:pPr>
      <w:r w:rsidRPr="0019132F">
        <w:rPr>
          <w:rFonts w:ascii="Calibri" w:hAnsi="Calibri" w:cs="Arial"/>
          <w:sz w:val="22"/>
          <w:szCs w:val="22"/>
        </w:rPr>
        <w:t xml:space="preserve">Of these 109 cases, </w:t>
      </w:r>
      <w:proofErr w:type="spellStart"/>
      <w:r w:rsidRPr="0019132F">
        <w:rPr>
          <w:rFonts w:ascii="Calibri" w:hAnsi="Calibri" w:cs="Arial"/>
          <w:b/>
          <w:sz w:val="22"/>
          <w:szCs w:val="22"/>
        </w:rPr>
        <w:t>Verisign</w:t>
      </w:r>
      <w:proofErr w:type="spellEnd"/>
      <w:r w:rsidRPr="0019132F">
        <w:rPr>
          <w:rFonts w:ascii="Calibri" w:hAnsi="Calibri" w:cs="Arial"/>
          <w:b/>
          <w:sz w:val="22"/>
          <w:szCs w:val="22"/>
        </w:rPr>
        <w:t xml:space="preserve"> rendered a decision on 59 cases</w:t>
      </w:r>
      <w:r w:rsidR="00E63657" w:rsidRPr="0019132F">
        <w:rPr>
          <w:rFonts w:ascii="Calibri" w:hAnsi="Calibri" w:cs="Arial"/>
          <w:b/>
          <w:sz w:val="22"/>
          <w:szCs w:val="22"/>
        </w:rPr>
        <w:t xml:space="preserve"> (38 </w:t>
      </w:r>
      <w:r w:rsidR="00E63657" w:rsidRPr="0019132F">
        <w:rPr>
          <w:rFonts w:ascii="Calibri" w:hAnsi="Calibri" w:cs="Arial"/>
          <w:sz w:val="22"/>
          <w:szCs w:val="22"/>
        </w:rPr>
        <w:t>times the filing registrar prevailed</w:t>
      </w:r>
      <w:r w:rsidR="00225C3E" w:rsidRPr="0019132F">
        <w:rPr>
          <w:rFonts w:ascii="Calibri" w:hAnsi="Calibri" w:cs="Arial"/>
          <w:sz w:val="22"/>
          <w:szCs w:val="22"/>
        </w:rPr>
        <w:t xml:space="preserve">; </w:t>
      </w:r>
      <w:r w:rsidR="00225C3E" w:rsidRPr="0019132F">
        <w:rPr>
          <w:rFonts w:ascii="Calibri" w:hAnsi="Calibri" w:cs="Arial"/>
          <w:b/>
          <w:sz w:val="22"/>
          <w:szCs w:val="22"/>
        </w:rPr>
        <w:t xml:space="preserve">2 cases </w:t>
      </w:r>
      <w:r w:rsidR="00225C3E" w:rsidRPr="0019132F">
        <w:rPr>
          <w:rFonts w:ascii="Calibri" w:hAnsi="Calibri" w:cs="Arial"/>
          <w:sz w:val="22"/>
          <w:szCs w:val="22"/>
        </w:rPr>
        <w:t>were ‘</w:t>
      </w:r>
      <w:proofErr w:type="spellStart"/>
      <w:r w:rsidR="00225C3E" w:rsidRPr="0019132F">
        <w:rPr>
          <w:rFonts w:ascii="Calibri" w:hAnsi="Calibri" w:cs="Arial"/>
          <w:sz w:val="22"/>
          <w:szCs w:val="22"/>
        </w:rPr>
        <w:t>nacked</w:t>
      </w:r>
      <w:proofErr w:type="spellEnd"/>
      <w:r w:rsidR="00225C3E" w:rsidRPr="0019132F">
        <w:rPr>
          <w:rFonts w:ascii="Calibri" w:hAnsi="Calibri" w:cs="Arial"/>
          <w:sz w:val="22"/>
          <w:szCs w:val="22"/>
        </w:rPr>
        <w:t xml:space="preserve">’; 2 cases were appealed to dispute provider, </w:t>
      </w:r>
      <w:r w:rsidR="000B7668" w:rsidRPr="0019132F">
        <w:rPr>
          <w:rFonts w:ascii="Calibri" w:hAnsi="Calibri" w:cs="Arial"/>
          <w:sz w:val="22"/>
          <w:szCs w:val="22"/>
        </w:rPr>
        <w:t>original</w:t>
      </w:r>
      <w:r w:rsidR="00225C3E" w:rsidRPr="0019132F">
        <w:rPr>
          <w:rFonts w:ascii="Calibri" w:hAnsi="Calibri" w:cs="Arial"/>
          <w:sz w:val="22"/>
          <w:szCs w:val="22"/>
        </w:rPr>
        <w:t xml:space="preserve"> decision upheld in both cases</w:t>
      </w:r>
      <w:r w:rsidR="00E63657" w:rsidRPr="0019132F">
        <w:rPr>
          <w:rFonts w:ascii="Calibri" w:hAnsi="Calibri" w:cs="Arial"/>
          <w:sz w:val="22"/>
          <w:szCs w:val="22"/>
        </w:rPr>
        <w:t>)</w:t>
      </w:r>
      <w:r w:rsidRPr="0019132F">
        <w:rPr>
          <w:rFonts w:ascii="Calibri" w:hAnsi="Calibri" w:cs="Arial"/>
          <w:sz w:val="22"/>
          <w:szCs w:val="22"/>
        </w:rPr>
        <w:t xml:space="preserve"> and issued a no-decision on the remaining 50.</w:t>
      </w:r>
    </w:p>
    <w:p w14:paraId="7C4696B9" w14:textId="77777777" w:rsidR="00B269AB" w:rsidRPr="0019132F" w:rsidRDefault="00B269AB" w:rsidP="0061125B">
      <w:pPr>
        <w:widowControl w:val="0"/>
        <w:autoSpaceDE w:val="0"/>
        <w:autoSpaceDN w:val="0"/>
        <w:adjustRightInd w:val="0"/>
        <w:rPr>
          <w:rFonts w:ascii="Calibri" w:hAnsi="Calibri" w:cs="Arial"/>
          <w:sz w:val="22"/>
          <w:szCs w:val="22"/>
        </w:rPr>
      </w:pPr>
    </w:p>
    <w:p w14:paraId="3D03F719" w14:textId="4D600422" w:rsidR="0061125B" w:rsidRPr="0019132F" w:rsidRDefault="00B269AB" w:rsidP="0061125B">
      <w:pPr>
        <w:widowControl w:val="0"/>
        <w:autoSpaceDE w:val="0"/>
        <w:autoSpaceDN w:val="0"/>
        <w:adjustRightInd w:val="0"/>
        <w:rPr>
          <w:rFonts w:ascii="Calibri" w:hAnsi="Calibri" w:cs="Arial"/>
          <w:sz w:val="22"/>
          <w:szCs w:val="22"/>
        </w:rPr>
      </w:pPr>
      <w:r w:rsidRPr="0019132F">
        <w:rPr>
          <w:rFonts w:ascii="Calibri" w:hAnsi="Calibri" w:cs="Arial"/>
          <w:sz w:val="22"/>
          <w:szCs w:val="22"/>
        </w:rPr>
        <w:t>Of these 59 cases the complaint was related to:</w:t>
      </w:r>
    </w:p>
    <w:p w14:paraId="3F2703CA" w14:textId="778B73D3" w:rsidR="00B269AB" w:rsidRPr="0019132F" w:rsidRDefault="00B269AB" w:rsidP="0061125B">
      <w:pPr>
        <w:widowControl w:val="0"/>
        <w:autoSpaceDE w:val="0"/>
        <w:autoSpaceDN w:val="0"/>
        <w:adjustRightInd w:val="0"/>
        <w:rPr>
          <w:rFonts w:ascii="Calibri" w:hAnsi="Calibri" w:cs="Arial"/>
          <w:sz w:val="22"/>
          <w:szCs w:val="22"/>
        </w:rPr>
      </w:pPr>
    </w:p>
    <w:p w14:paraId="339A18DC" w14:textId="180410A7" w:rsidR="00E63657" w:rsidRPr="0019132F" w:rsidRDefault="00E63657" w:rsidP="00E63657">
      <w:pPr>
        <w:pStyle w:val="ListParagraph"/>
        <w:widowControl w:val="0"/>
        <w:numPr>
          <w:ilvl w:val="0"/>
          <w:numId w:val="1"/>
        </w:numPr>
        <w:autoSpaceDE w:val="0"/>
        <w:autoSpaceDN w:val="0"/>
        <w:adjustRightInd w:val="0"/>
        <w:rPr>
          <w:rFonts w:ascii="Calibri" w:hAnsi="Calibri" w:cs="Arial"/>
          <w:sz w:val="22"/>
          <w:szCs w:val="22"/>
        </w:rPr>
      </w:pPr>
      <w:r w:rsidRPr="0019132F">
        <w:rPr>
          <w:rFonts w:ascii="Calibri" w:hAnsi="Calibri" w:cs="Arial"/>
          <w:sz w:val="22"/>
          <w:szCs w:val="22"/>
        </w:rPr>
        <w:t>Someone other than the Admin Contact or Registered Name Holder listed in the Losing Registrar’s Whois record authorized the transfer (37 cases)</w:t>
      </w:r>
    </w:p>
    <w:p w14:paraId="5C2B5E1C" w14:textId="47EA158B" w:rsidR="0061125B" w:rsidRPr="0019132F" w:rsidRDefault="0061125B" w:rsidP="00E63657">
      <w:pPr>
        <w:pStyle w:val="ListParagraph"/>
        <w:widowControl w:val="0"/>
        <w:numPr>
          <w:ilvl w:val="0"/>
          <w:numId w:val="1"/>
        </w:numPr>
        <w:autoSpaceDE w:val="0"/>
        <w:autoSpaceDN w:val="0"/>
        <w:adjustRightInd w:val="0"/>
        <w:rPr>
          <w:rFonts w:ascii="Calibri" w:hAnsi="Calibri" w:cs="Arial"/>
          <w:sz w:val="22"/>
          <w:szCs w:val="22"/>
        </w:rPr>
      </w:pPr>
      <w:r w:rsidRPr="0019132F">
        <w:rPr>
          <w:rFonts w:ascii="Calibri" w:hAnsi="Calibri" w:cs="Arial"/>
          <w:sz w:val="22"/>
          <w:szCs w:val="22"/>
        </w:rPr>
        <w:t xml:space="preserve">Administrative contact authorized the transfer without knowledge of the registered name holder </w:t>
      </w:r>
      <w:r w:rsidR="00E63657" w:rsidRPr="0019132F">
        <w:rPr>
          <w:rFonts w:ascii="Calibri" w:hAnsi="Calibri" w:cs="Arial"/>
          <w:sz w:val="22"/>
          <w:szCs w:val="22"/>
        </w:rPr>
        <w:t>(</w:t>
      </w:r>
      <w:r w:rsidRPr="0019132F">
        <w:rPr>
          <w:rFonts w:ascii="Calibri" w:hAnsi="Calibri" w:cs="Arial"/>
          <w:sz w:val="22"/>
          <w:szCs w:val="22"/>
        </w:rPr>
        <w:t>8 cases</w:t>
      </w:r>
      <w:r w:rsidR="00E63657" w:rsidRPr="0019132F">
        <w:rPr>
          <w:rFonts w:ascii="Calibri" w:hAnsi="Calibri" w:cs="Arial"/>
          <w:sz w:val="22"/>
          <w:szCs w:val="22"/>
        </w:rPr>
        <w:t>)</w:t>
      </w:r>
    </w:p>
    <w:p w14:paraId="0F6335A8" w14:textId="77777777" w:rsidR="00E63657" w:rsidRPr="0019132F" w:rsidRDefault="00E63657" w:rsidP="00E63657">
      <w:pPr>
        <w:pStyle w:val="ListParagraph"/>
        <w:widowControl w:val="0"/>
        <w:numPr>
          <w:ilvl w:val="0"/>
          <w:numId w:val="1"/>
        </w:numPr>
        <w:autoSpaceDE w:val="0"/>
        <w:autoSpaceDN w:val="0"/>
        <w:adjustRightInd w:val="0"/>
        <w:rPr>
          <w:rFonts w:ascii="Calibri" w:hAnsi="Calibri" w:cs="Arial"/>
          <w:sz w:val="22"/>
          <w:szCs w:val="22"/>
        </w:rPr>
      </w:pPr>
      <w:r w:rsidRPr="0019132F">
        <w:rPr>
          <w:rFonts w:ascii="Calibri" w:hAnsi="Calibri" w:cs="Arial"/>
          <w:sz w:val="22"/>
          <w:szCs w:val="22"/>
        </w:rPr>
        <w:t>Failure by gaining registrar to obtain express written consent of the transfer from the administrative contact or registered name holder (5 cases)</w:t>
      </w:r>
    </w:p>
    <w:p w14:paraId="06C644D2" w14:textId="6ADBA03E" w:rsidR="0061125B" w:rsidRPr="0019132F" w:rsidRDefault="0061125B" w:rsidP="00E63657">
      <w:pPr>
        <w:pStyle w:val="ListParagraph"/>
        <w:widowControl w:val="0"/>
        <w:numPr>
          <w:ilvl w:val="0"/>
          <w:numId w:val="1"/>
        </w:numPr>
        <w:autoSpaceDE w:val="0"/>
        <w:autoSpaceDN w:val="0"/>
        <w:adjustRightInd w:val="0"/>
        <w:rPr>
          <w:rFonts w:ascii="Calibri" w:hAnsi="Calibri" w:cs="Arial"/>
          <w:sz w:val="22"/>
          <w:szCs w:val="22"/>
        </w:rPr>
      </w:pPr>
      <w:r w:rsidRPr="0019132F">
        <w:rPr>
          <w:rFonts w:ascii="Calibri" w:hAnsi="Calibri" w:cs="Arial"/>
          <w:sz w:val="22"/>
          <w:szCs w:val="22"/>
        </w:rPr>
        <w:t xml:space="preserve">Payment for the domains was disputed </w:t>
      </w:r>
      <w:r w:rsidR="00E63657" w:rsidRPr="0019132F">
        <w:rPr>
          <w:rFonts w:ascii="Calibri" w:hAnsi="Calibri" w:cs="Arial"/>
          <w:sz w:val="22"/>
          <w:szCs w:val="22"/>
        </w:rPr>
        <w:t>(</w:t>
      </w:r>
      <w:r w:rsidRPr="0019132F">
        <w:rPr>
          <w:rFonts w:ascii="Calibri" w:hAnsi="Calibri" w:cs="Arial"/>
          <w:sz w:val="22"/>
          <w:szCs w:val="22"/>
        </w:rPr>
        <w:t>3 cases</w:t>
      </w:r>
      <w:r w:rsidR="00E63657" w:rsidRPr="0019132F">
        <w:rPr>
          <w:rFonts w:ascii="Calibri" w:hAnsi="Calibri" w:cs="Arial"/>
          <w:sz w:val="22"/>
          <w:szCs w:val="22"/>
        </w:rPr>
        <w:t>)</w:t>
      </w:r>
    </w:p>
    <w:p w14:paraId="7F4AEE4C" w14:textId="4366E607" w:rsidR="0061125B" w:rsidRPr="0019132F" w:rsidRDefault="0061125B" w:rsidP="00E63657">
      <w:pPr>
        <w:pStyle w:val="ListParagraph"/>
        <w:widowControl w:val="0"/>
        <w:numPr>
          <w:ilvl w:val="0"/>
          <w:numId w:val="1"/>
        </w:numPr>
        <w:autoSpaceDE w:val="0"/>
        <w:autoSpaceDN w:val="0"/>
        <w:adjustRightInd w:val="0"/>
        <w:rPr>
          <w:rFonts w:ascii="Calibri" w:hAnsi="Calibri" w:cs="Arial"/>
          <w:sz w:val="22"/>
          <w:szCs w:val="22"/>
        </w:rPr>
      </w:pPr>
      <w:r w:rsidRPr="0019132F">
        <w:rPr>
          <w:rFonts w:ascii="Calibri" w:hAnsi="Calibri" w:cs="Arial"/>
          <w:sz w:val="22"/>
          <w:szCs w:val="22"/>
        </w:rPr>
        <w:t xml:space="preserve">Domain transferred without the original registrant’s approval </w:t>
      </w:r>
      <w:r w:rsidR="00E63657" w:rsidRPr="0019132F">
        <w:rPr>
          <w:rFonts w:ascii="Calibri" w:hAnsi="Calibri" w:cs="Arial"/>
          <w:sz w:val="22"/>
          <w:szCs w:val="22"/>
        </w:rPr>
        <w:t>(</w:t>
      </w:r>
      <w:r w:rsidRPr="0019132F">
        <w:rPr>
          <w:rFonts w:ascii="Calibri" w:hAnsi="Calibri" w:cs="Arial"/>
          <w:sz w:val="22"/>
          <w:szCs w:val="22"/>
        </w:rPr>
        <w:t>2 cases</w:t>
      </w:r>
      <w:r w:rsidR="00E63657" w:rsidRPr="0019132F">
        <w:rPr>
          <w:rFonts w:ascii="Calibri" w:hAnsi="Calibri" w:cs="Arial"/>
          <w:sz w:val="22"/>
          <w:szCs w:val="22"/>
        </w:rPr>
        <w:t>)</w:t>
      </w:r>
    </w:p>
    <w:p w14:paraId="78A4DAC8" w14:textId="6699457A" w:rsidR="0061125B" w:rsidRPr="0019132F" w:rsidRDefault="0061125B" w:rsidP="00E63657">
      <w:pPr>
        <w:pStyle w:val="ListParagraph"/>
        <w:widowControl w:val="0"/>
        <w:numPr>
          <w:ilvl w:val="0"/>
          <w:numId w:val="1"/>
        </w:numPr>
        <w:autoSpaceDE w:val="0"/>
        <w:autoSpaceDN w:val="0"/>
        <w:adjustRightInd w:val="0"/>
        <w:rPr>
          <w:rFonts w:ascii="Calibri" w:hAnsi="Calibri" w:cs="Arial"/>
          <w:sz w:val="22"/>
          <w:szCs w:val="22"/>
        </w:rPr>
      </w:pPr>
      <w:r w:rsidRPr="0019132F">
        <w:rPr>
          <w:rFonts w:ascii="Calibri" w:hAnsi="Calibri" w:cs="Arial"/>
          <w:sz w:val="22"/>
          <w:szCs w:val="22"/>
        </w:rPr>
        <w:t xml:space="preserve">Gaining registrar failed to provide FOA within 5 days of request </w:t>
      </w:r>
      <w:r w:rsidR="00E63657" w:rsidRPr="0019132F">
        <w:rPr>
          <w:rFonts w:ascii="Calibri" w:hAnsi="Calibri" w:cs="Arial"/>
          <w:sz w:val="22"/>
          <w:szCs w:val="22"/>
        </w:rPr>
        <w:t>(</w:t>
      </w:r>
      <w:r w:rsidRPr="0019132F">
        <w:rPr>
          <w:rFonts w:ascii="Calibri" w:hAnsi="Calibri" w:cs="Arial"/>
          <w:sz w:val="22"/>
          <w:szCs w:val="22"/>
        </w:rPr>
        <w:t>2 cases</w:t>
      </w:r>
      <w:r w:rsidR="00E63657" w:rsidRPr="0019132F">
        <w:rPr>
          <w:rFonts w:ascii="Calibri" w:hAnsi="Calibri" w:cs="Arial"/>
          <w:sz w:val="22"/>
          <w:szCs w:val="22"/>
        </w:rPr>
        <w:t>)</w:t>
      </w:r>
    </w:p>
    <w:p w14:paraId="676A308D" w14:textId="1A643E33" w:rsidR="0061125B" w:rsidRPr="0019132F" w:rsidRDefault="0061125B" w:rsidP="00E63657">
      <w:pPr>
        <w:pStyle w:val="ListParagraph"/>
        <w:widowControl w:val="0"/>
        <w:numPr>
          <w:ilvl w:val="0"/>
          <w:numId w:val="1"/>
        </w:numPr>
        <w:autoSpaceDE w:val="0"/>
        <w:autoSpaceDN w:val="0"/>
        <w:adjustRightInd w:val="0"/>
        <w:rPr>
          <w:rFonts w:ascii="Calibri" w:hAnsi="Calibri" w:cs="Arial"/>
          <w:sz w:val="22"/>
          <w:szCs w:val="22"/>
        </w:rPr>
      </w:pPr>
      <w:r w:rsidRPr="0019132F">
        <w:rPr>
          <w:rFonts w:ascii="Calibri" w:hAnsi="Calibri" w:cs="Arial"/>
          <w:sz w:val="22"/>
          <w:szCs w:val="22"/>
        </w:rPr>
        <w:t xml:space="preserve">Losing registrar failed to provide evidence relied on for denial of transfer when requested </w:t>
      </w:r>
      <w:r w:rsidR="00E63657" w:rsidRPr="0019132F">
        <w:rPr>
          <w:rFonts w:ascii="Calibri" w:hAnsi="Calibri" w:cs="Arial"/>
          <w:sz w:val="22"/>
          <w:szCs w:val="22"/>
        </w:rPr>
        <w:t>(</w:t>
      </w:r>
      <w:r w:rsidRPr="0019132F">
        <w:rPr>
          <w:rFonts w:ascii="Calibri" w:hAnsi="Calibri" w:cs="Arial"/>
          <w:sz w:val="22"/>
          <w:szCs w:val="22"/>
        </w:rPr>
        <w:t>1 case</w:t>
      </w:r>
      <w:r w:rsidR="00E63657" w:rsidRPr="0019132F">
        <w:rPr>
          <w:rFonts w:ascii="Calibri" w:hAnsi="Calibri" w:cs="Arial"/>
          <w:sz w:val="22"/>
          <w:szCs w:val="22"/>
        </w:rPr>
        <w:t>)</w:t>
      </w:r>
    </w:p>
    <w:p w14:paraId="58FE2B59" w14:textId="3CD6E8C2" w:rsidR="0061125B" w:rsidRPr="0019132F" w:rsidRDefault="00E63657" w:rsidP="00E63657">
      <w:pPr>
        <w:pStyle w:val="ListParagraph"/>
        <w:widowControl w:val="0"/>
        <w:numPr>
          <w:ilvl w:val="0"/>
          <w:numId w:val="1"/>
        </w:numPr>
        <w:autoSpaceDE w:val="0"/>
        <w:autoSpaceDN w:val="0"/>
        <w:adjustRightInd w:val="0"/>
        <w:rPr>
          <w:rFonts w:ascii="Calibri" w:hAnsi="Calibri" w:cs="Arial"/>
          <w:sz w:val="22"/>
          <w:szCs w:val="22"/>
        </w:rPr>
      </w:pPr>
      <w:r w:rsidRPr="0019132F">
        <w:rPr>
          <w:rFonts w:ascii="Calibri" w:hAnsi="Calibri" w:cs="Arial"/>
          <w:sz w:val="22"/>
          <w:szCs w:val="22"/>
        </w:rPr>
        <w:t>Other (</w:t>
      </w:r>
      <w:r w:rsidR="0061125B" w:rsidRPr="0019132F">
        <w:rPr>
          <w:rFonts w:ascii="Calibri" w:hAnsi="Calibri" w:cs="Arial"/>
          <w:sz w:val="22"/>
          <w:szCs w:val="22"/>
        </w:rPr>
        <w:t>1 case</w:t>
      </w:r>
      <w:r w:rsidRPr="0019132F">
        <w:rPr>
          <w:rFonts w:ascii="Calibri" w:hAnsi="Calibri" w:cs="Arial"/>
          <w:sz w:val="22"/>
          <w:szCs w:val="22"/>
        </w:rPr>
        <w:t>)</w:t>
      </w:r>
    </w:p>
    <w:p w14:paraId="481D1D01" w14:textId="77777777" w:rsidR="00AE2799" w:rsidRPr="0019132F" w:rsidRDefault="00AE2799" w:rsidP="00AE2799">
      <w:pPr>
        <w:widowControl w:val="0"/>
        <w:autoSpaceDE w:val="0"/>
        <w:autoSpaceDN w:val="0"/>
        <w:adjustRightInd w:val="0"/>
        <w:rPr>
          <w:rFonts w:ascii="Calibri" w:hAnsi="Calibri" w:cs="Arial"/>
          <w:sz w:val="22"/>
          <w:szCs w:val="22"/>
        </w:rPr>
      </w:pPr>
    </w:p>
    <w:p w14:paraId="4A1F509A" w14:textId="77777777" w:rsidR="00050916" w:rsidRDefault="00050916" w:rsidP="00AE2799">
      <w:pPr>
        <w:widowControl w:val="0"/>
        <w:autoSpaceDE w:val="0"/>
        <w:autoSpaceDN w:val="0"/>
        <w:adjustRightInd w:val="0"/>
        <w:rPr>
          <w:rFonts w:ascii="Calibri" w:hAnsi="Calibri" w:cs="Arial"/>
          <w:b/>
          <w:sz w:val="22"/>
          <w:szCs w:val="22"/>
        </w:rPr>
      </w:pPr>
      <w:bookmarkStart w:id="0" w:name="_GoBack"/>
      <w:bookmarkEnd w:id="0"/>
    </w:p>
    <w:p w14:paraId="2EBD9EAE" w14:textId="77777777" w:rsidR="00F10955" w:rsidRPr="0019132F" w:rsidRDefault="00F10955" w:rsidP="00AE2799">
      <w:pPr>
        <w:widowControl w:val="0"/>
        <w:autoSpaceDE w:val="0"/>
        <w:autoSpaceDN w:val="0"/>
        <w:adjustRightInd w:val="0"/>
        <w:rPr>
          <w:rFonts w:ascii="Calibri" w:hAnsi="Calibri" w:cs="Arial"/>
          <w:b/>
          <w:sz w:val="22"/>
          <w:szCs w:val="22"/>
        </w:rPr>
      </w:pPr>
    </w:p>
    <w:p w14:paraId="76EA72FA" w14:textId="4D005A35" w:rsidR="00AE2799" w:rsidRPr="0019132F" w:rsidRDefault="00050916" w:rsidP="00AE2799">
      <w:pPr>
        <w:widowControl w:val="0"/>
        <w:autoSpaceDE w:val="0"/>
        <w:autoSpaceDN w:val="0"/>
        <w:adjustRightInd w:val="0"/>
        <w:rPr>
          <w:rFonts w:ascii="Calibri" w:hAnsi="Calibri" w:cs="Arial"/>
          <w:b/>
          <w:sz w:val="22"/>
          <w:szCs w:val="22"/>
        </w:rPr>
      </w:pPr>
      <w:r w:rsidRPr="0019132F">
        <w:rPr>
          <w:rFonts w:ascii="Calibri" w:hAnsi="Calibri" w:cs="Arial"/>
          <w:b/>
          <w:sz w:val="22"/>
          <w:szCs w:val="22"/>
        </w:rPr>
        <w:t>TDRP cases from the National Arbitration Forum (NAF)</w:t>
      </w:r>
    </w:p>
    <w:p w14:paraId="71339A96" w14:textId="21918D21" w:rsidR="0061125B" w:rsidRPr="0019132F" w:rsidRDefault="0061125B" w:rsidP="0061125B">
      <w:pPr>
        <w:widowControl w:val="0"/>
        <w:autoSpaceDE w:val="0"/>
        <w:autoSpaceDN w:val="0"/>
        <w:adjustRightInd w:val="0"/>
        <w:rPr>
          <w:rFonts w:ascii="Calibri" w:hAnsi="Calibri" w:cs="Arial"/>
          <w:sz w:val="22"/>
          <w:szCs w:val="22"/>
        </w:rPr>
      </w:pPr>
      <w:r w:rsidRPr="0019132F">
        <w:rPr>
          <w:rFonts w:ascii="Calibri" w:hAnsi="Calibri" w:cs="Arial"/>
          <w:sz w:val="22"/>
          <w:szCs w:val="22"/>
        </w:rPr>
        <w:t>                 </w:t>
      </w:r>
    </w:p>
    <w:p w14:paraId="67DFF7B6" w14:textId="49B36B9E" w:rsidR="00050916" w:rsidRPr="0019132F" w:rsidRDefault="00050916" w:rsidP="0061125B">
      <w:pPr>
        <w:widowControl w:val="0"/>
        <w:autoSpaceDE w:val="0"/>
        <w:autoSpaceDN w:val="0"/>
        <w:adjustRightInd w:val="0"/>
        <w:rPr>
          <w:rFonts w:ascii="Calibri" w:hAnsi="Calibri" w:cs="Arial"/>
          <w:sz w:val="22"/>
          <w:szCs w:val="22"/>
        </w:rPr>
      </w:pPr>
      <w:r w:rsidRPr="0019132F">
        <w:rPr>
          <w:rFonts w:ascii="Calibri" w:hAnsi="Calibri" w:cs="Arial"/>
          <w:sz w:val="22"/>
          <w:szCs w:val="22"/>
        </w:rPr>
        <w:t>The NAGF has deal</w:t>
      </w:r>
      <w:r w:rsidR="00F93FCF" w:rsidRPr="0019132F">
        <w:rPr>
          <w:rFonts w:ascii="Calibri" w:hAnsi="Calibri" w:cs="Arial"/>
          <w:sz w:val="22"/>
          <w:szCs w:val="22"/>
        </w:rPr>
        <w:t>t</w:t>
      </w:r>
      <w:r w:rsidRPr="0019132F">
        <w:rPr>
          <w:rFonts w:ascii="Calibri" w:hAnsi="Calibri" w:cs="Arial"/>
          <w:sz w:val="22"/>
          <w:szCs w:val="22"/>
        </w:rPr>
        <w:t xml:space="preserve"> with </w:t>
      </w:r>
      <w:r w:rsidR="00F93FCF" w:rsidRPr="0019132F">
        <w:rPr>
          <w:rFonts w:ascii="Calibri" w:hAnsi="Calibri" w:cs="Arial"/>
          <w:b/>
          <w:sz w:val="22"/>
          <w:szCs w:val="22"/>
        </w:rPr>
        <w:t>6</w:t>
      </w:r>
      <w:r w:rsidRPr="0019132F">
        <w:rPr>
          <w:rFonts w:ascii="Calibri" w:hAnsi="Calibri" w:cs="Arial"/>
          <w:b/>
          <w:sz w:val="22"/>
          <w:szCs w:val="22"/>
        </w:rPr>
        <w:t xml:space="preserve"> TDR</w:t>
      </w:r>
      <w:r w:rsidR="00F93FCF" w:rsidRPr="0019132F">
        <w:rPr>
          <w:rFonts w:ascii="Calibri" w:hAnsi="Calibri" w:cs="Arial"/>
          <w:b/>
          <w:sz w:val="22"/>
          <w:szCs w:val="22"/>
        </w:rPr>
        <w:t>P</w:t>
      </w:r>
      <w:r w:rsidRPr="0019132F">
        <w:rPr>
          <w:rFonts w:ascii="Calibri" w:hAnsi="Calibri" w:cs="Arial"/>
          <w:b/>
          <w:sz w:val="22"/>
          <w:szCs w:val="22"/>
        </w:rPr>
        <w:t xml:space="preserve"> cases</w:t>
      </w:r>
    </w:p>
    <w:p w14:paraId="162F0153" w14:textId="66501187" w:rsidR="00050916" w:rsidRPr="0019132F" w:rsidRDefault="00050916" w:rsidP="00050916">
      <w:pPr>
        <w:pStyle w:val="ListParagraph"/>
        <w:widowControl w:val="0"/>
        <w:numPr>
          <w:ilvl w:val="0"/>
          <w:numId w:val="2"/>
        </w:numPr>
        <w:autoSpaceDE w:val="0"/>
        <w:autoSpaceDN w:val="0"/>
        <w:adjustRightInd w:val="0"/>
        <w:rPr>
          <w:rFonts w:ascii="Calibri" w:hAnsi="Calibri" w:cs="Arial"/>
          <w:sz w:val="22"/>
          <w:szCs w:val="22"/>
        </w:rPr>
      </w:pPr>
      <w:r w:rsidRPr="0019132F">
        <w:rPr>
          <w:rFonts w:ascii="Calibri" w:hAnsi="Calibri" w:cs="Arial"/>
          <w:b/>
          <w:sz w:val="22"/>
          <w:szCs w:val="22"/>
        </w:rPr>
        <w:t>All 6 were appeals of first level decisions</w:t>
      </w:r>
      <w:r w:rsidRPr="0019132F">
        <w:rPr>
          <w:rFonts w:ascii="Calibri" w:hAnsi="Calibri" w:cs="Arial"/>
          <w:sz w:val="22"/>
          <w:szCs w:val="22"/>
        </w:rPr>
        <w:t xml:space="preserve"> and concerned </w:t>
      </w:r>
      <w:proofErr w:type="spellStart"/>
      <w:r w:rsidRPr="0019132F">
        <w:rPr>
          <w:rFonts w:ascii="Calibri" w:hAnsi="Calibri" w:cs="Arial"/>
          <w:sz w:val="22"/>
          <w:szCs w:val="22"/>
        </w:rPr>
        <w:t>versigin</w:t>
      </w:r>
      <w:proofErr w:type="spellEnd"/>
      <w:r w:rsidRPr="0019132F">
        <w:rPr>
          <w:rFonts w:ascii="Calibri" w:hAnsi="Calibri" w:cs="Arial"/>
          <w:sz w:val="22"/>
          <w:szCs w:val="22"/>
        </w:rPr>
        <w:t>-administered domains</w:t>
      </w:r>
    </w:p>
    <w:p w14:paraId="728DF590" w14:textId="43FBDDC3" w:rsidR="00050916" w:rsidRPr="0019132F" w:rsidRDefault="00050916" w:rsidP="00050916">
      <w:pPr>
        <w:pStyle w:val="ListParagraph"/>
        <w:widowControl w:val="0"/>
        <w:numPr>
          <w:ilvl w:val="0"/>
          <w:numId w:val="2"/>
        </w:numPr>
        <w:autoSpaceDE w:val="0"/>
        <w:autoSpaceDN w:val="0"/>
        <w:adjustRightInd w:val="0"/>
        <w:rPr>
          <w:rFonts w:ascii="Calibri" w:hAnsi="Calibri" w:cs="Arial"/>
          <w:sz w:val="22"/>
          <w:szCs w:val="22"/>
        </w:rPr>
      </w:pPr>
      <w:r w:rsidRPr="0019132F">
        <w:rPr>
          <w:rFonts w:ascii="Calibri" w:hAnsi="Calibri" w:cs="Arial"/>
          <w:sz w:val="22"/>
          <w:szCs w:val="22"/>
        </w:rPr>
        <w:t>At the first level (of those 6 cases), the gaining r</w:t>
      </w:r>
      <w:r w:rsidR="00F93FCF" w:rsidRPr="0019132F">
        <w:rPr>
          <w:rFonts w:ascii="Calibri" w:hAnsi="Calibri" w:cs="Arial"/>
          <w:sz w:val="22"/>
          <w:szCs w:val="22"/>
        </w:rPr>
        <w:t>egistrar prevailed once, one re</w:t>
      </w:r>
      <w:r w:rsidRPr="0019132F">
        <w:rPr>
          <w:rFonts w:ascii="Calibri" w:hAnsi="Calibri" w:cs="Arial"/>
          <w:sz w:val="22"/>
          <w:szCs w:val="22"/>
        </w:rPr>
        <w:t>quest was denied and four resulted in no-decision</w:t>
      </w:r>
    </w:p>
    <w:p w14:paraId="30ABE9A5" w14:textId="6AB22180" w:rsidR="00050916" w:rsidRPr="0019132F" w:rsidRDefault="00050916" w:rsidP="00050916">
      <w:pPr>
        <w:pStyle w:val="ListParagraph"/>
        <w:widowControl w:val="0"/>
        <w:numPr>
          <w:ilvl w:val="0"/>
          <w:numId w:val="2"/>
        </w:numPr>
        <w:autoSpaceDE w:val="0"/>
        <w:autoSpaceDN w:val="0"/>
        <w:adjustRightInd w:val="0"/>
        <w:rPr>
          <w:rFonts w:ascii="Calibri" w:hAnsi="Calibri" w:cs="Arial"/>
          <w:sz w:val="22"/>
          <w:szCs w:val="22"/>
        </w:rPr>
      </w:pPr>
      <w:r w:rsidRPr="0019132F">
        <w:rPr>
          <w:rFonts w:ascii="Calibri" w:hAnsi="Calibri" w:cs="Arial"/>
          <w:sz w:val="22"/>
          <w:szCs w:val="22"/>
        </w:rPr>
        <w:t>At the second level (NAF) the appellant prevailed in 5 cases and the appellee</w:t>
      </w:r>
      <w:r w:rsidR="00C9128B" w:rsidRPr="0019132F">
        <w:rPr>
          <w:rFonts w:ascii="Calibri" w:hAnsi="Calibri" w:cs="Arial"/>
          <w:sz w:val="22"/>
          <w:szCs w:val="22"/>
        </w:rPr>
        <w:t xml:space="preserve"> prevailed </w:t>
      </w:r>
      <w:r w:rsidRPr="0019132F">
        <w:rPr>
          <w:rFonts w:ascii="Calibri" w:hAnsi="Calibri" w:cs="Arial"/>
          <w:sz w:val="22"/>
          <w:szCs w:val="22"/>
        </w:rPr>
        <w:t>in 1 case</w:t>
      </w:r>
    </w:p>
    <w:p w14:paraId="28BD54D7" w14:textId="4EBC2688" w:rsidR="00050916" w:rsidRPr="0019132F" w:rsidRDefault="00F93FCF" w:rsidP="00050916">
      <w:pPr>
        <w:pStyle w:val="ListParagraph"/>
        <w:widowControl w:val="0"/>
        <w:numPr>
          <w:ilvl w:val="0"/>
          <w:numId w:val="2"/>
        </w:numPr>
        <w:autoSpaceDE w:val="0"/>
        <w:autoSpaceDN w:val="0"/>
        <w:adjustRightInd w:val="0"/>
        <w:rPr>
          <w:rFonts w:ascii="Calibri" w:hAnsi="Calibri" w:cs="Arial"/>
          <w:sz w:val="22"/>
          <w:szCs w:val="22"/>
        </w:rPr>
      </w:pPr>
      <w:r w:rsidRPr="0019132F">
        <w:rPr>
          <w:rFonts w:ascii="Calibri" w:hAnsi="Calibri" w:cs="Arial"/>
          <w:sz w:val="22"/>
          <w:szCs w:val="22"/>
        </w:rPr>
        <w:t>5 of these cases were fraudulent transfer</w:t>
      </w:r>
      <w:r w:rsidR="00C9128B" w:rsidRPr="0019132F">
        <w:rPr>
          <w:rFonts w:ascii="Calibri" w:hAnsi="Calibri" w:cs="Arial"/>
          <w:sz w:val="22"/>
          <w:szCs w:val="22"/>
        </w:rPr>
        <w:t>s</w:t>
      </w:r>
      <w:r w:rsidRPr="0019132F">
        <w:rPr>
          <w:rFonts w:ascii="Calibri" w:hAnsi="Calibri" w:cs="Arial"/>
          <w:sz w:val="22"/>
          <w:szCs w:val="22"/>
        </w:rPr>
        <w:t xml:space="preserve"> and 1 case was an attempted transfer</w:t>
      </w:r>
    </w:p>
    <w:p w14:paraId="669A5DE6" w14:textId="77777777" w:rsidR="00F93FCF" w:rsidRPr="0019132F" w:rsidRDefault="00F93FCF" w:rsidP="00F93FCF">
      <w:pPr>
        <w:widowControl w:val="0"/>
        <w:autoSpaceDE w:val="0"/>
        <w:autoSpaceDN w:val="0"/>
        <w:adjustRightInd w:val="0"/>
        <w:rPr>
          <w:rFonts w:ascii="Calibri" w:hAnsi="Calibri" w:cs="Arial"/>
          <w:sz w:val="22"/>
          <w:szCs w:val="22"/>
        </w:rPr>
      </w:pPr>
    </w:p>
    <w:p w14:paraId="07E0FDCD" w14:textId="77777777" w:rsidR="00F93FCF" w:rsidRPr="0019132F" w:rsidRDefault="00F93FCF" w:rsidP="00F93FCF">
      <w:pPr>
        <w:widowControl w:val="0"/>
        <w:autoSpaceDE w:val="0"/>
        <w:autoSpaceDN w:val="0"/>
        <w:adjustRightInd w:val="0"/>
        <w:rPr>
          <w:rFonts w:ascii="Calibri" w:hAnsi="Calibri" w:cs="Arial"/>
          <w:b/>
          <w:sz w:val="22"/>
          <w:szCs w:val="22"/>
        </w:rPr>
      </w:pPr>
    </w:p>
    <w:p w14:paraId="084004F7" w14:textId="655B1060" w:rsidR="00F93FCF" w:rsidRPr="0019132F" w:rsidRDefault="00F93FCF" w:rsidP="00F93FCF">
      <w:pPr>
        <w:widowControl w:val="0"/>
        <w:autoSpaceDE w:val="0"/>
        <w:autoSpaceDN w:val="0"/>
        <w:adjustRightInd w:val="0"/>
        <w:rPr>
          <w:rFonts w:ascii="Calibri" w:hAnsi="Calibri" w:cs="Arial"/>
          <w:b/>
          <w:sz w:val="22"/>
          <w:szCs w:val="22"/>
        </w:rPr>
      </w:pPr>
      <w:r w:rsidRPr="0019132F">
        <w:rPr>
          <w:rFonts w:ascii="Calibri" w:hAnsi="Calibri" w:cs="Arial"/>
          <w:b/>
          <w:sz w:val="22"/>
          <w:szCs w:val="22"/>
        </w:rPr>
        <w:t>TDRP cases from the Asian Doman Name Dispute Resolution Centre (ADNDRC)</w:t>
      </w:r>
    </w:p>
    <w:p w14:paraId="6682A4AF" w14:textId="77777777" w:rsidR="00F93FCF" w:rsidRPr="0019132F" w:rsidRDefault="00F93FCF" w:rsidP="00F93FCF">
      <w:pPr>
        <w:widowControl w:val="0"/>
        <w:autoSpaceDE w:val="0"/>
        <w:autoSpaceDN w:val="0"/>
        <w:adjustRightInd w:val="0"/>
        <w:rPr>
          <w:rFonts w:ascii="Calibri" w:hAnsi="Calibri" w:cs="Arial"/>
          <w:sz w:val="22"/>
          <w:szCs w:val="22"/>
        </w:rPr>
      </w:pPr>
    </w:p>
    <w:p w14:paraId="285BB91C" w14:textId="0ED54638" w:rsidR="00F93FCF" w:rsidRPr="0019132F" w:rsidRDefault="00F93FCF" w:rsidP="00F93FCF">
      <w:pPr>
        <w:widowControl w:val="0"/>
        <w:autoSpaceDE w:val="0"/>
        <w:autoSpaceDN w:val="0"/>
        <w:adjustRightInd w:val="0"/>
        <w:rPr>
          <w:rFonts w:ascii="Calibri" w:hAnsi="Calibri" w:cs="Arial"/>
          <w:b/>
          <w:sz w:val="22"/>
          <w:szCs w:val="22"/>
        </w:rPr>
      </w:pPr>
      <w:r w:rsidRPr="0019132F">
        <w:rPr>
          <w:rFonts w:ascii="Calibri" w:hAnsi="Calibri" w:cs="Arial"/>
          <w:sz w:val="22"/>
          <w:szCs w:val="22"/>
        </w:rPr>
        <w:t xml:space="preserve">The ADNDRC has dealt with </w:t>
      </w:r>
      <w:r w:rsidRPr="0019132F">
        <w:rPr>
          <w:rFonts w:ascii="Calibri" w:hAnsi="Calibri" w:cs="Arial"/>
          <w:b/>
          <w:sz w:val="22"/>
          <w:szCs w:val="22"/>
        </w:rPr>
        <w:t>4 TDRP cases</w:t>
      </w:r>
    </w:p>
    <w:p w14:paraId="1812DD77" w14:textId="77777777" w:rsidR="00700DCE" w:rsidRPr="0019132F" w:rsidRDefault="00700DCE" w:rsidP="00F93FCF">
      <w:pPr>
        <w:pStyle w:val="ListParagraph"/>
        <w:widowControl w:val="0"/>
        <w:numPr>
          <w:ilvl w:val="0"/>
          <w:numId w:val="4"/>
        </w:numPr>
        <w:autoSpaceDE w:val="0"/>
        <w:autoSpaceDN w:val="0"/>
        <w:adjustRightInd w:val="0"/>
        <w:rPr>
          <w:rFonts w:ascii="Calibri" w:hAnsi="Calibri" w:cs="Arial"/>
          <w:sz w:val="22"/>
          <w:szCs w:val="22"/>
        </w:rPr>
      </w:pPr>
      <w:r w:rsidRPr="0019132F">
        <w:rPr>
          <w:rFonts w:ascii="Calibri" w:hAnsi="Calibri" w:cs="Arial"/>
          <w:sz w:val="22"/>
          <w:szCs w:val="22"/>
        </w:rPr>
        <w:t>Procedural problems in all four cases</w:t>
      </w:r>
    </w:p>
    <w:p w14:paraId="523D382F" w14:textId="77777777" w:rsidR="00700DCE" w:rsidRPr="0019132F" w:rsidRDefault="00700DCE" w:rsidP="00F93FCF">
      <w:pPr>
        <w:pStyle w:val="ListParagraph"/>
        <w:widowControl w:val="0"/>
        <w:numPr>
          <w:ilvl w:val="0"/>
          <w:numId w:val="4"/>
        </w:numPr>
        <w:autoSpaceDE w:val="0"/>
        <w:autoSpaceDN w:val="0"/>
        <w:adjustRightInd w:val="0"/>
        <w:rPr>
          <w:rFonts w:ascii="Calibri" w:hAnsi="Calibri" w:cs="Arial"/>
          <w:sz w:val="22"/>
          <w:szCs w:val="22"/>
        </w:rPr>
      </w:pPr>
      <w:r w:rsidRPr="0019132F">
        <w:rPr>
          <w:rFonts w:ascii="Calibri" w:hAnsi="Calibri" w:cs="Arial"/>
          <w:sz w:val="22"/>
          <w:szCs w:val="22"/>
        </w:rPr>
        <w:t xml:space="preserve">In all </w:t>
      </w:r>
      <w:r w:rsidRPr="0019132F">
        <w:rPr>
          <w:rFonts w:ascii="Calibri" w:hAnsi="Calibri" w:cs="Arial"/>
          <w:b/>
          <w:sz w:val="22"/>
          <w:szCs w:val="22"/>
        </w:rPr>
        <w:t>4 cases did the appellee fail to provide sufficient information</w:t>
      </w:r>
      <w:r w:rsidRPr="0019132F">
        <w:rPr>
          <w:rFonts w:ascii="Calibri" w:hAnsi="Calibri" w:cs="Arial"/>
          <w:sz w:val="22"/>
          <w:szCs w:val="22"/>
        </w:rPr>
        <w:t xml:space="preserve"> or any information at </w:t>
      </w:r>
      <w:proofErr w:type="gramStart"/>
      <w:r w:rsidRPr="0019132F">
        <w:rPr>
          <w:rFonts w:ascii="Calibri" w:hAnsi="Calibri" w:cs="Arial"/>
          <w:sz w:val="22"/>
          <w:szCs w:val="22"/>
        </w:rPr>
        <w:t>all.</w:t>
      </w:r>
      <w:proofErr w:type="gramEnd"/>
    </w:p>
    <w:p w14:paraId="75598442" w14:textId="77777777" w:rsidR="00700DCE" w:rsidRPr="0019132F" w:rsidRDefault="00700DCE" w:rsidP="00F93FCF">
      <w:pPr>
        <w:pStyle w:val="ListParagraph"/>
        <w:widowControl w:val="0"/>
        <w:numPr>
          <w:ilvl w:val="0"/>
          <w:numId w:val="4"/>
        </w:numPr>
        <w:autoSpaceDE w:val="0"/>
        <w:autoSpaceDN w:val="0"/>
        <w:adjustRightInd w:val="0"/>
        <w:rPr>
          <w:rFonts w:ascii="Calibri" w:hAnsi="Calibri" w:cs="Arial"/>
          <w:sz w:val="22"/>
          <w:szCs w:val="22"/>
        </w:rPr>
      </w:pPr>
      <w:r w:rsidRPr="0019132F">
        <w:rPr>
          <w:rFonts w:ascii="Calibri" w:hAnsi="Calibri" w:cs="Arial"/>
          <w:sz w:val="22"/>
          <w:szCs w:val="22"/>
        </w:rPr>
        <w:t>In 2 cases did the appellant fail to provide sufficient information</w:t>
      </w:r>
    </w:p>
    <w:p w14:paraId="26F394BC" w14:textId="16A36F08" w:rsidR="00F93FCF" w:rsidRPr="0019132F" w:rsidRDefault="00700DCE" w:rsidP="00F93FCF">
      <w:pPr>
        <w:pStyle w:val="ListParagraph"/>
        <w:widowControl w:val="0"/>
        <w:numPr>
          <w:ilvl w:val="0"/>
          <w:numId w:val="4"/>
        </w:numPr>
        <w:autoSpaceDE w:val="0"/>
        <w:autoSpaceDN w:val="0"/>
        <w:adjustRightInd w:val="0"/>
        <w:rPr>
          <w:rFonts w:ascii="Calibri" w:hAnsi="Calibri" w:cs="Arial"/>
          <w:sz w:val="22"/>
          <w:szCs w:val="22"/>
        </w:rPr>
      </w:pPr>
      <w:r w:rsidRPr="0019132F">
        <w:rPr>
          <w:rFonts w:ascii="Calibri" w:hAnsi="Calibri" w:cs="Arial"/>
          <w:sz w:val="22"/>
          <w:szCs w:val="22"/>
        </w:rPr>
        <w:t>This resulted in only one case being properly arbitrated – with the appellant prevailing</w:t>
      </w:r>
    </w:p>
    <w:p w14:paraId="34009D68" w14:textId="663BAD4A" w:rsidR="00700DCE" w:rsidRPr="0019132F" w:rsidRDefault="00700DCE" w:rsidP="00F93FCF">
      <w:pPr>
        <w:pStyle w:val="ListParagraph"/>
        <w:widowControl w:val="0"/>
        <w:numPr>
          <w:ilvl w:val="0"/>
          <w:numId w:val="4"/>
        </w:numPr>
        <w:autoSpaceDE w:val="0"/>
        <w:autoSpaceDN w:val="0"/>
        <w:adjustRightInd w:val="0"/>
        <w:rPr>
          <w:rFonts w:ascii="Calibri" w:hAnsi="Calibri" w:cs="Arial"/>
          <w:sz w:val="22"/>
          <w:szCs w:val="22"/>
        </w:rPr>
      </w:pPr>
      <w:r w:rsidRPr="0019132F">
        <w:rPr>
          <w:rFonts w:ascii="Calibri" w:hAnsi="Calibri" w:cs="Arial"/>
          <w:sz w:val="22"/>
          <w:szCs w:val="22"/>
        </w:rPr>
        <w:t>In 2 cases no-decision was rendered, in 1 case the ADNDRC determined that it had no jurisdiction to render a decision.</w:t>
      </w:r>
    </w:p>
    <w:sectPr w:rsidR="00700DCE" w:rsidRPr="0019132F" w:rsidSect="00E8149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ACA40" w14:textId="77777777" w:rsidR="00F10955" w:rsidRDefault="00F10955" w:rsidP="00B269AB">
      <w:r>
        <w:separator/>
      </w:r>
    </w:p>
  </w:endnote>
  <w:endnote w:type="continuationSeparator" w:id="0">
    <w:p w14:paraId="16462D06" w14:textId="77777777" w:rsidR="00F10955" w:rsidRDefault="00F10955" w:rsidP="00B2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DCAED" w14:textId="77777777" w:rsidR="00F10955" w:rsidRDefault="00F10955" w:rsidP="00B269AB">
      <w:r>
        <w:separator/>
      </w:r>
    </w:p>
  </w:footnote>
  <w:footnote w:type="continuationSeparator" w:id="0">
    <w:p w14:paraId="5502CD26" w14:textId="77777777" w:rsidR="00F10955" w:rsidRDefault="00F10955" w:rsidP="00B269AB">
      <w:r>
        <w:continuationSeparator/>
      </w:r>
    </w:p>
  </w:footnote>
  <w:footnote w:id="1">
    <w:p w14:paraId="696B6550" w14:textId="77777777" w:rsidR="00F10955" w:rsidRPr="00B269AB" w:rsidRDefault="00F10955" w:rsidP="00B269AB">
      <w:pPr>
        <w:widowControl w:val="0"/>
        <w:autoSpaceDE w:val="0"/>
        <w:autoSpaceDN w:val="0"/>
        <w:adjustRightInd w:val="0"/>
        <w:rPr>
          <w:rFonts w:ascii="Calibri" w:hAnsi="Calibri" w:cs="Arial"/>
          <w:sz w:val="20"/>
          <w:szCs w:val="20"/>
        </w:rPr>
      </w:pPr>
      <w:r>
        <w:rPr>
          <w:rStyle w:val="FootnoteReference"/>
        </w:rPr>
        <w:footnoteRef/>
      </w:r>
      <w:r>
        <w:t xml:space="preserve"> </w:t>
      </w:r>
      <w:r w:rsidRPr="00B269AB">
        <w:rPr>
          <w:rFonts w:ascii="Calibri" w:hAnsi="Calibri" w:cs="Arial"/>
          <w:sz w:val="20"/>
          <w:szCs w:val="20"/>
        </w:rPr>
        <w:t xml:space="preserve">If the registrars are able to resolve the dispute between </w:t>
      </w:r>
      <w:proofErr w:type="gramStart"/>
      <w:r w:rsidRPr="00B269AB">
        <w:rPr>
          <w:rFonts w:ascii="Calibri" w:hAnsi="Calibri" w:cs="Arial"/>
          <w:sz w:val="20"/>
          <w:szCs w:val="20"/>
        </w:rPr>
        <w:t>themselves</w:t>
      </w:r>
      <w:proofErr w:type="gramEnd"/>
      <w:r w:rsidRPr="00B269AB">
        <w:rPr>
          <w:rFonts w:ascii="Calibri" w:hAnsi="Calibri" w:cs="Arial"/>
          <w:sz w:val="20"/>
          <w:szCs w:val="20"/>
        </w:rPr>
        <w:t xml:space="preserve"> but just need assistance with reversing a transfer, they may file an Application for Reinstatement of Sponsorship, or ARS, with </w:t>
      </w:r>
      <w:proofErr w:type="spellStart"/>
      <w:r w:rsidRPr="00B269AB">
        <w:rPr>
          <w:rFonts w:ascii="Calibri" w:hAnsi="Calibri" w:cs="Arial"/>
          <w:sz w:val="20"/>
          <w:szCs w:val="20"/>
        </w:rPr>
        <w:t>Verisign</w:t>
      </w:r>
      <w:proofErr w:type="spellEnd"/>
      <w:r w:rsidRPr="00B269AB">
        <w:rPr>
          <w:rFonts w:ascii="Calibri" w:hAnsi="Calibri" w:cs="Arial"/>
          <w:sz w:val="20"/>
          <w:szCs w:val="20"/>
        </w:rPr>
        <w:t xml:space="preserve">.  Upon receipt of agreement by both registrars that a domain name transfer should be reversed, </w:t>
      </w:r>
      <w:proofErr w:type="spellStart"/>
      <w:r w:rsidRPr="00B269AB">
        <w:rPr>
          <w:rFonts w:ascii="Calibri" w:hAnsi="Calibri" w:cs="Arial"/>
          <w:sz w:val="20"/>
          <w:szCs w:val="20"/>
        </w:rPr>
        <w:t>Verisign</w:t>
      </w:r>
      <w:proofErr w:type="spellEnd"/>
      <w:r w:rsidRPr="00B269AB">
        <w:rPr>
          <w:rFonts w:ascii="Calibri" w:hAnsi="Calibri" w:cs="Arial"/>
          <w:sz w:val="20"/>
          <w:szCs w:val="20"/>
        </w:rPr>
        <w:t xml:space="preserve"> will perform the ‘transfer undo’ process to return the domain name at issue to the losing registrar.  This allows the domain to be ‘reinstated’ with the agreed upon registrar without adding an additional year to the registration period.</w:t>
      </w:r>
    </w:p>
    <w:p w14:paraId="06A9B578" w14:textId="1334BE0B" w:rsidR="00F10955" w:rsidRDefault="00F1095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6CB5"/>
    <w:multiLevelType w:val="hybridMultilevel"/>
    <w:tmpl w:val="52F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4136D"/>
    <w:multiLevelType w:val="hybridMultilevel"/>
    <w:tmpl w:val="E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C62B0"/>
    <w:multiLevelType w:val="hybridMultilevel"/>
    <w:tmpl w:val="98A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F7C38"/>
    <w:multiLevelType w:val="hybridMultilevel"/>
    <w:tmpl w:val="8EEC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45"/>
    <w:rsid w:val="00050916"/>
    <w:rsid w:val="000B7668"/>
    <w:rsid w:val="00116821"/>
    <w:rsid w:val="0019132F"/>
    <w:rsid w:val="00225C3E"/>
    <w:rsid w:val="002F301D"/>
    <w:rsid w:val="004E40FC"/>
    <w:rsid w:val="004F54FC"/>
    <w:rsid w:val="0061125B"/>
    <w:rsid w:val="00700DCE"/>
    <w:rsid w:val="00736ABC"/>
    <w:rsid w:val="00877795"/>
    <w:rsid w:val="00885C72"/>
    <w:rsid w:val="009F7745"/>
    <w:rsid w:val="00A125CA"/>
    <w:rsid w:val="00AE2799"/>
    <w:rsid w:val="00B269AB"/>
    <w:rsid w:val="00B4775E"/>
    <w:rsid w:val="00B83A74"/>
    <w:rsid w:val="00C9128B"/>
    <w:rsid w:val="00E63657"/>
    <w:rsid w:val="00E8149B"/>
    <w:rsid w:val="00F10955"/>
    <w:rsid w:val="00F93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82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69AB"/>
  </w:style>
  <w:style w:type="character" w:customStyle="1" w:styleId="FootnoteTextChar">
    <w:name w:val="Footnote Text Char"/>
    <w:basedOn w:val="DefaultParagraphFont"/>
    <w:link w:val="FootnoteText"/>
    <w:uiPriority w:val="99"/>
    <w:rsid w:val="00B269AB"/>
  </w:style>
  <w:style w:type="character" w:styleId="FootnoteReference">
    <w:name w:val="footnote reference"/>
    <w:basedOn w:val="DefaultParagraphFont"/>
    <w:uiPriority w:val="99"/>
    <w:unhideWhenUsed/>
    <w:rsid w:val="00B269AB"/>
    <w:rPr>
      <w:vertAlign w:val="superscript"/>
    </w:rPr>
  </w:style>
  <w:style w:type="paragraph" w:styleId="ListParagraph">
    <w:name w:val="List Paragraph"/>
    <w:basedOn w:val="Normal"/>
    <w:uiPriority w:val="34"/>
    <w:qFormat/>
    <w:rsid w:val="00E63657"/>
    <w:pPr>
      <w:ind w:left="720"/>
      <w:contextualSpacing/>
    </w:pPr>
  </w:style>
  <w:style w:type="paragraph" w:styleId="BalloonText">
    <w:name w:val="Balloon Text"/>
    <w:basedOn w:val="Normal"/>
    <w:link w:val="BalloonTextChar"/>
    <w:uiPriority w:val="99"/>
    <w:semiHidden/>
    <w:unhideWhenUsed/>
    <w:rsid w:val="002F3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0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69AB"/>
  </w:style>
  <w:style w:type="character" w:customStyle="1" w:styleId="FootnoteTextChar">
    <w:name w:val="Footnote Text Char"/>
    <w:basedOn w:val="DefaultParagraphFont"/>
    <w:link w:val="FootnoteText"/>
    <w:uiPriority w:val="99"/>
    <w:rsid w:val="00B269AB"/>
  </w:style>
  <w:style w:type="character" w:styleId="FootnoteReference">
    <w:name w:val="footnote reference"/>
    <w:basedOn w:val="DefaultParagraphFont"/>
    <w:uiPriority w:val="99"/>
    <w:unhideWhenUsed/>
    <w:rsid w:val="00B269AB"/>
    <w:rPr>
      <w:vertAlign w:val="superscript"/>
    </w:rPr>
  </w:style>
  <w:style w:type="paragraph" w:styleId="ListParagraph">
    <w:name w:val="List Paragraph"/>
    <w:basedOn w:val="Normal"/>
    <w:uiPriority w:val="34"/>
    <w:qFormat/>
    <w:rsid w:val="00E63657"/>
    <w:pPr>
      <w:ind w:left="720"/>
      <w:contextualSpacing/>
    </w:pPr>
  </w:style>
  <w:style w:type="paragraph" w:styleId="BalloonText">
    <w:name w:val="Balloon Text"/>
    <w:basedOn w:val="Normal"/>
    <w:link w:val="BalloonTextChar"/>
    <w:uiPriority w:val="99"/>
    <w:semiHidden/>
    <w:unhideWhenUsed/>
    <w:rsid w:val="002F3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0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i="0">
                <a:latin typeface="+mj-lt"/>
              </a:defRPr>
            </a:pPr>
            <a:r>
              <a:rPr lang="en-US" sz="1200" b="1" i="0">
                <a:latin typeface="+mj-lt"/>
              </a:rPr>
              <a:t>IRTP-related comlaints filed with ICANN Compliance (6594</a:t>
            </a:r>
            <a:r>
              <a:rPr lang="en-US" sz="1200" b="1" i="0" baseline="0">
                <a:latin typeface="+mj-lt"/>
              </a:rPr>
              <a:t> total)</a:t>
            </a:r>
            <a:endParaRPr lang="en-US" sz="1200" b="1" i="0">
              <a:latin typeface="+mj-lt"/>
            </a:endParaRPr>
          </a:p>
        </c:rich>
      </c:tx>
      <c:layout/>
      <c:overlay val="0"/>
    </c:title>
    <c:autoTitleDeleted val="0"/>
    <c:plotArea>
      <c:layout/>
      <c:ofPieChart>
        <c:ofPieType val="pie"/>
        <c:varyColors val="1"/>
        <c:ser>
          <c:idx val="0"/>
          <c:order val="0"/>
          <c:tx>
            <c:strRef>
              <c:f>Sheet1!$B$1</c:f>
              <c:strCache>
                <c:ptCount val="1"/>
                <c:pt idx="0">
                  <c:v>Sales</c:v>
                </c:pt>
              </c:strCache>
            </c:strRef>
          </c:tx>
          <c:dPt>
            <c:idx val="0"/>
            <c:bubble3D val="0"/>
            <c:spPr>
              <a:solidFill>
                <a:schemeClr val="accent3">
                  <a:lumMod val="75000"/>
                </a:schemeClr>
              </a:solidFill>
            </c:spPr>
          </c:dPt>
          <c:dPt>
            <c:idx val="1"/>
            <c:bubble3D val="0"/>
            <c:spPr>
              <a:solidFill>
                <a:schemeClr val="tx2">
                  <a:lumMod val="60000"/>
                  <a:lumOff val="40000"/>
                </a:schemeClr>
              </a:solidFill>
            </c:spPr>
          </c:dPt>
          <c:dPt>
            <c:idx val="2"/>
            <c:bubble3D val="0"/>
            <c:spPr>
              <a:solidFill>
                <a:schemeClr val="accent6"/>
              </a:solidFill>
            </c:spPr>
          </c:dPt>
          <c:dPt>
            <c:idx val="3"/>
            <c:bubble3D val="0"/>
            <c:spPr>
              <a:solidFill>
                <a:schemeClr val="accent2"/>
              </a:solidFill>
            </c:spPr>
          </c:dPt>
          <c:dPt>
            <c:idx val="4"/>
            <c:bubble3D val="0"/>
            <c:spPr>
              <a:solidFill>
                <a:schemeClr val="tx1"/>
              </a:solidFill>
            </c:spPr>
          </c:dPt>
          <c:cat>
            <c:strRef>
              <c:f>Sheet1!$A$2:$A$5</c:f>
              <c:strCache>
                <c:ptCount val="4"/>
                <c:pt idx="0">
                  <c:v>Invalid Complaints</c:v>
                </c:pt>
                <c:pt idx="1">
                  <c:v>Valid Complaints</c:v>
                </c:pt>
                <c:pt idx="2">
                  <c:v>Complaints related to email or other hijacking</c:v>
                </c:pt>
                <c:pt idx="3">
                  <c:v>Complaints related to unauthorised transfers</c:v>
                </c:pt>
              </c:strCache>
            </c:strRef>
          </c:cat>
          <c:val>
            <c:numRef>
              <c:f>Sheet1!$B$2:$B$5</c:f>
              <c:numCache>
                <c:formatCode>General</c:formatCode>
                <c:ptCount val="4"/>
                <c:pt idx="0">
                  <c:v>2778.0</c:v>
                </c:pt>
                <c:pt idx="1">
                  <c:v>3769.0</c:v>
                </c:pt>
                <c:pt idx="2">
                  <c:v>31.0</c:v>
                </c:pt>
                <c:pt idx="3">
                  <c:v>16.0</c:v>
                </c:pt>
              </c:numCache>
            </c:numRef>
          </c:val>
        </c:ser>
        <c:dLbls>
          <c:showLegendKey val="0"/>
          <c:showVal val="0"/>
          <c:showCatName val="0"/>
          <c:showSerName val="0"/>
          <c:showPercent val="0"/>
          <c:showBubbleSize val="0"/>
          <c:showLeaderLines val="1"/>
        </c:dLbls>
        <c:gapWidth val="100"/>
        <c:secondPieSize val="75"/>
        <c:serLines/>
      </c:of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590</Words>
  <Characters>3365</Characters>
  <Application>Microsoft Macintosh Word</Application>
  <DocSecurity>0</DocSecurity>
  <Lines>28</Lines>
  <Paragraphs>7</Paragraphs>
  <ScaleCrop>false</ScaleCrop>
  <Company>ICANN</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13</cp:revision>
  <cp:lastPrinted>2013-05-16T12:54:00Z</cp:lastPrinted>
  <dcterms:created xsi:type="dcterms:W3CDTF">2013-05-13T14:10:00Z</dcterms:created>
  <dcterms:modified xsi:type="dcterms:W3CDTF">2013-05-16T13:27:00Z</dcterms:modified>
</cp:coreProperties>
</file>