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9D" w:rsidRPr="00D84B9D" w:rsidRDefault="00D84B9D" w:rsidP="00D84B9D">
      <w:r w:rsidRPr="00D84B9D">
        <w:t xml:space="preserve">Dear </w:t>
      </w:r>
      <w:r w:rsidRPr="00D84B9D">
        <w:t xml:space="preserve">Cherine, Manal, Alan, Patrik, Tripti, Kristina, </w:t>
      </w:r>
      <w:r w:rsidR="007E20C3">
        <w:t>Rod,</w:t>
      </w:r>
      <w:bookmarkStart w:id="0" w:name="_GoBack"/>
      <w:bookmarkEnd w:id="0"/>
    </w:p>
    <w:p w:rsidR="00D84B9D" w:rsidRPr="00D84B9D" w:rsidRDefault="00D84B9D" w:rsidP="00D84B9D">
      <w:pPr>
        <w:rPr>
          <w:rFonts w:eastAsia="Times New Roman" w:cs="Times New Roman"/>
          <w:color w:val="222222"/>
        </w:rPr>
      </w:pPr>
      <w:r w:rsidRPr="00D84B9D">
        <w:t>We wish to advise</w:t>
      </w:r>
      <w:r w:rsidRPr="00D84B9D">
        <w:t xml:space="preserve"> you </w:t>
      </w:r>
      <w:r w:rsidRPr="00D84B9D">
        <w:t xml:space="preserve">of the conclusion of the work of the Cross </w:t>
      </w:r>
      <w:r w:rsidRPr="00D84B9D">
        <w:rPr>
          <w:rFonts w:eastAsia="Times New Roman" w:cs="Times New Roman"/>
          <w:color w:val="222222"/>
        </w:rPr>
        <w:t>Cross-Community Working Group on the Use of Country and Territory Names as Top-Level Domains (CWG – UCTN)</w:t>
      </w:r>
      <w:r w:rsidRPr="00D84B9D">
        <w:rPr>
          <w:rFonts w:eastAsia="Times New Roman" w:cs="Times New Roman"/>
          <w:color w:val="222222"/>
        </w:rPr>
        <w:t xml:space="preserve"> and </w:t>
      </w:r>
      <w:r>
        <w:rPr>
          <w:rFonts w:eastAsia="Times New Roman" w:cs="Times New Roman"/>
          <w:color w:val="222222"/>
        </w:rPr>
        <w:t xml:space="preserve">chartering organization adoption of </w:t>
      </w:r>
      <w:r w:rsidRPr="00D84B9D">
        <w:rPr>
          <w:rFonts w:eastAsia="Times New Roman" w:cs="Times New Roman"/>
          <w:color w:val="222222"/>
        </w:rPr>
        <w:t>additional recommendations of the CWG-UCTN as set out in its Final Paper (</w:t>
      </w:r>
      <w:hyperlink r:id="rId5" w:tgtFrame="_blank" w:history="1">
        <w:r w:rsidRPr="00D84B9D">
          <w:rPr>
            <w:rFonts w:eastAsia="Times New Roman" w:cs="Times New Roman"/>
            <w:color w:val="1155CC"/>
            <w:u w:val="single"/>
          </w:rPr>
          <w:t>https://ccnso.icann.org/workinggroups/ccwg-ctn-final-paper-15jun17-en.pdf)[ccnso.icann.org]</w:t>
        </w:r>
      </w:hyperlink>
      <w:r w:rsidRPr="00D84B9D">
        <w:rPr>
          <w:rFonts w:eastAsia="Times New Roman" w:cs="Times New Roman"/>
          <w:color w:val="222222"/>
        </w:rPr>
        <w:t>.</w:t>
      </w:r>
    </w:p>
    <w:p w:rsidR="00D84B9D" w:rsidRP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84B9D">
        <w:rPr>
          <w:rFonts w:eastAsia="Times New Roman" w:cs="Times New Roman"/>
          <w:color w:val="222222"/>
        </w:rPr>
        <w:t>The CWG – UCTN was chartered by the ccNSO and GNSO in 2014 with the following objectives:</w:t>
      </w:r>
    </w:p>
    <w:p w:rsidR="00D84B9D" w:rsidRP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84B9D">
        <w:rPr>
          <w:rFonts w:eastAsia="Times New Roman" w:cs="Times New Roman"/>
          <w:color w:val="222222"/>
        </w:rPr>
        <w:t> </w:t>
      </w:r>
    </w:p>
    <w:p w:rsidR="00D84B9D" w:rsidRPr="00D84B9D" w:rsidRDefault="00D84B9D" w:rsidP="00D84B9D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567"/>
        <w:rPr>
          <w:rFonts w:eastAsia="Times New Roman" w:cs="Arial"/>
          <w:color w:val="222222"/>
        </w:rPr>
      </w:pPr>
      <w:r w:rsidRPr="00D84B9D">
        <w:rPr>
          <w:rFonts w:eastAsia="Times New Roman" w:cs="Arial"/>
          <w:color w:val="222222"/>
        </w:rPr>
        <w:t>Further review the current status of representations of country and territory names, as they exist under current ICANN policies, guidelines and procedures;</w:t>
      </w:r>
    </w:p>
    <w:p w:rsidR="00D84B9D" w:rsidRPr="00D84B9D" w:rsidRDefault="00D84B9D" w:rsidP="00D84B9D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567"/>
        <w:rPr>
          <w:rFonts w:eastAsia="Times New Roman" w:cs="Arial"/>
          <w:color w:val="222222"/>
        </w:rPr>
      </w:pPr>
      <w:r w:rsidRPr="00D84B9D">
        <w:rPr>
          <w:rFonts w:eastAsia="Times New Roman" w:cs="Arial"/>
          <w:color w:val="222222"/>
        </w:rPr>
        <w:t>Provide advice regarding the feasibility of developing a consistent and uniform definitional framework that could be applicable across the respective SOs and ACs; and</w:t>
      </w:r>
    </w:p>
    <w:p w:rsidR="00D84B9D" w:rsidRPr="00D84B9D" w:rsidRDefault="00D84B9D" w:rsidP="00D84B9D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567"/>
        <w:rPr>
          <w:rFonts w:eastAsia="Times New Roman" w:cs="Arial"/>
          <w:color w:val="222222"/>
        </w:rPr>
      </w:pPr>
      <w:r w:rsidRPr="00D84B9D">
        <w:rPr>
          <w:rFonts w:eastAsia="Times New Roman" w:cs="Arial"/>
          <w:color w:val="222222"/>
        </w:rPr>
        <w:t>Should such a framework be deemed feasible, provide detailed advice as to the content of the framework.</w:t>
      </w:r>
    </w:p>
    <w:p w:rsidR="00D84B9D" w:rsidRP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84B9D">
        <w:rPr>
          <w:rFonts w:eastAsia="Times New Roman" w:cs="Times New Roman"/>
          <w:color w:val="222222"/>
        </w:rPr>
        <w:t> </w:t>
      </w:r>
    </w:p>
    <w:p w:rsidR="00D84B9D" w:rsidRP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84B9D">
        <w:rPr>
          <w:rFonts w:eastAsia="Times New Roman" w:cs="Times New Roman"/>
          <w:color w:val="222222"/>
        </w:rPr>
        <w:t xml:space="preserve">Following extensive debate and consultation with the broader community, as documented in the Final Paper, the majority of the membership of the </w:t>
      </w:r>
      <w:r>
        <w:rPr>
          <w:rFonts w:eastAsia="Times New Roman" w:cs="Times New Roman"/>
          <w:color w:val="222222"/>
        </w:rPr>
        <w:t>Working Group concluded that continuing the</w:t>
      </w:r>
      <w:r w:rsidRPr="00D84B9D">
        <w:rPr>
          <w:rFonts w:eastAsia="Times New Roman" w:cs="Times New Roman"/>
          <w:color w:val="222222"/>
        </w:rPr>
        <w:t xml:space="preserve"> work</w:t>
      </w:r>
      <w:r>
        <w:rPr>
          <w:rFonts w:eastAsia="Times New Roman" w:cs="Times New Roman"/>
          <w:color w:val="222222"/>
        </w:rPr>
        <w:t xml:space="preserve"> of the CWG-UCTN would not be</w:t>
      </w:r>
      <w:r w:rsidRPr="00D84B9D">
        <w:rPr>
          <w:rFonts w:eastAsia="Times New Roman" w:cs="Times New Roman"/>
          <w:color w:val="222222"/>
        </w:rPr>
        <w:t xml:space="preserve"> conducive to achieving the harmonized framework </w:t>
      </w:r>
      <w:r>
        <w:rPr>
          <w:rFonts w:eastAsia="Times New Roman" w:cs="Times New Roman"/>
          <w:color w:val="222222"/>
        </w:rPr>
        <w:t xml:space="preserve">envisioned by the charter. </w:t>
      </w:r>
    </w:p>
    <w:p w:rsidR="00D84B9D" w:rsidRP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84B9D">
        <w:rPr>
          <w:rFonts w:eastAsia="Times New Roman" w:cs="Times New Roman"/>
          <w:color w:val="222222"/>
        </w:rPr>
        <w:t> </w:t>
      </w:r>
    </w:p>
    <w:p w:rsid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In its meeting of [July 2017], the ccNSO Council adopted the recommendations of the CWG-UCTN: [INSERT LINK].</w:t>
      </w:r>
    </w:p>
    <w:p w:rsidR="00D84B9D" w:rsidRP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By a motion of 20 September 2017, the GNSO Council adopted the recommendations of the CWG-UCTN: </w:t>
      </w:r>
      <w:hyperlink r:id="rId6" w:history="1">
        <w:r w:rsidRPr="00BF0031">
          <w:rPr>
            <w:rStyle w:val="Hyperlink"/>
            <w:rFonts w:eastAsia="Times New Roman" w:cs="Times New Roman"/>
          </w:rPr>
          <w:t>https://community.icann.org/display/gnsocouncilmeetings/Motions+20+September+2017</w:t>
        </w:r>
      </w:hyperlink>
    </w:p>
    <w:p w:rsid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D84B9D" w:rsidRPr="00D84B9D" w:rsidRDefault="00D84B9D" w:rsidP="00622F1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Accordingly, we wish to advise that the CWG-UCTN has concluded its work</w:t>
      </w:r>
      <w:r w:rsidRPr="00D84B9D">
        <w:rPr>
          <w:rFonts w:eastAsia="Times New Roman" w:cs="Times New Roman"/>
          <w:color w:val="222222"/>
        </w:rPr>
        <w:t>.</w:t>
      </w:r>
      <w:r w:rsidR="00622F11">
        <w:rPr>
          <w:rFonts w:eastAsia="Times New Roman" w:cs="Times New Roman"/>
          <w:color w:val="222222"/>
        </w:rPr>
        <w:t xml:space="preserve"> Further, we note the formation of a new work track 5 in the GNSO Subsequent Procedures PDP WG devoted to the topic of geographic names at the top level; as envisioned by the Subsequent Procedures PDP charter, we have provided the Final Report of the CWG-UCTN to the PDP leadership for consideration in its work.</w:t>
      </w:r>
    </w:p>
    <w:p w:rsidR="00D84B9D" w:rsidRP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84B9D">
        <w:rPr>
          <w:rFonts w:eastAsia="Times New Roman" w:cs="Times New Roman"/>
          <w:color w:val="222222"/>
        </w:rPr>
        <w:t> </w:t>
      </w:r>
    </w:p>
    <w:p w:rsidR="00D84B9D" w:rsidRPr="00D84B9D" w:rsidRDefault="00D84B9D" w:rsidP="00D84B9D">
      <w:r w:rsidRPr="00D84B9D">
        <w:t>On behalf of the CWG-UCTN</w:t>
      </w:r>
      <w:r w:rsidRPr="00D84B9D">
        <w:t>,</w:t>
      </w:r>
    </w:p>
    <w:p w:rsidR="00D84B9D" w:rsidRP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84B9D">
        <w:rPr>
          <w:rFonts w:eastAsia="Times New Roman" w:cs="Times New Roman"/>
          <w:color w:val="222222"/>
        </w:rPr>
        <w:t> </w:t>
      </w:r>
    </w:p>
    <w:p w:rsidR="00D84B9D" w:rsidRP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84B9D">
        <w:rPr>
          <w:rFonts w:eastAsia="Times New Roman" w:cs="Times New Roman"/>
          <w:color w:val="222222"/>
        </w:rPr>
        <w:t>Annebeth Lange (ccNSO)</w:t>
      </w:r>
    </w:p>
    <w:p w:rsidR="00D84B9D" w:rsidRP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84B9D">
        <w:rPr>
          <w:rFonts w:eastAsia="Times New Roman" w:cs="Times New Roman"/>
          <w:color w:val="222222"/>
        </w:rPr>
        <w:t>Carlos Raùl Gutierrez (GNSO)</w:t>
      </w:r>
    </w:p>
    <w:p w:rsidR="00D84B9D" w:rsidRPr="00D84B9D" w:rsidRDefault="00D84B9D" w:rsidP="00D84B9D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84B9D">
        <w:rPr>
          <w:rFonts w:eastAsia="Times New Roman" w:cs="Times New Roman"/>
          <w:color w:val="222222"/>
        </w:rPr>
        <w:t>Heather Forrest (GNSO)</w:t>
      </w:r>
    </w:p>
    <w:p w:rsidR="00D84B9D" w:rsidRPr="00D84B9D" w:rsidRDefault="00D84B9D" w:rsidP="00D84B9D">
      <w:pPr>
        <w:shd w:val="clear" w:color="auto" w:fill="FFFFFF"/>
        <w:spacing w:after="100" w:line="240" w:lineRule="auto"/>
        <w:rPr>
          <w:rFonts w:eastAsia="Times New Roman" w:cs="Times New Roman"/>
          <w:color w:val="222222"/>
        </w:rPr>
      </w:pPr>
      <w:r w:rsidRPr="00D84B9D">
        <w:rPr>
          <w:rFonts w:eastAsia="Times New Roman" w:cs="Times New Roman"/>
          <w:color w:val="222222"/>
        </w:rPr>
        <w:t> </w:t>
      </w:r>
    </w:p>
    <w:p w:rsidR="002C41D5" w:rsidRPr="00D84B9D" w:rsidRDefault="007E20C3"/>
    <w:sectPr w:rsidR="002C41D5" w:rsidRPr="00D84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12ECB"/>
    <w:multiLevelType w:val="multilevel"/>
    <w:tmpl w:val="BB368A9A"/>
    <w:lvl w:ilvl="0">
      <w:start w:val="1"/>
      <w:numFmt w:val="decimal"/>
      <w:lvlText w:val="%1."/>
      <w:lvlJc w:val="left"/>
      <w:pPr>
        <w:tabs>
          <w:tab w:val="num" w:pos="-384"/>
        </w:tabs>
        <w:ind w:left="-384" w:hanging="360"/>
      </w:pPr>
    </w:lvl>
    <w:lvl w:ilvl="1" w:tentative="1">
      <w:start w:val="1"/>
      <w:numFmt w:val="decimal"/>
      <w:lvlText w:val="%2."/>
      <w:lvlJc w:val="left"/>
      <w:pPr>
        <w:tabs>
          <w:tab w:val="num" w:pos="336"/>
        </w:tabs>
        <w:ind w:left="336" w:hanging="360"/>
      </w:pPr>
    </w:lvl>
    <w:lvl w:ilvl="2" w:tentative="1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 w:tentative="1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 w:tentative="1">
      <w:start w:val="1"/>
      <w:numFmt w:val="decimal"/>
      <w:lvlText w:val="%5."/>
      <w:lvlJc w:val="left"/>
      <w:pPr>
        <w:tabs>
          <w:tab w:val="num" w:pos="2496"/>
        </w:tabs>
        <w:ind w:left="2496" w:hanging="360"/>
      </w:pPr>
    </w:lvl>
    <w:lvl w:ilvl="5" w:tentative="1">
      <w:start w:val="1"/>
      <w:numFmt w:val="decimal"/>
      <w:lvlText w:val="%6."/>
      <w:lvlJc w:val="left"/>
      <w:pPr>
        <w:tabs>
          <w:tab w:val="num" w:pos="3216"/>
        </w:tabs>
        <w:ind w:left="3216" w:hanging="360"/>
      </w:pPr>
    </w:lvl>
    <w:lvl w:ilvl="6" w:tentative="1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 w:tentative="1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</w:lvl>
    <w:lvl w:ilvl="8" w:tentative="1">
      <w:start w:val="1"/>
      <w:numFmt w:val="decimal"/>
      <w:lvlText w:val="%9."/>
      <w:lvlJc w:val="left"/>
      <w:pPr>
        <w:tabs>
          <w:tab w:val="num" w:pos="5376"/>
        </w:tabs>
        <w:ind w:left="5376" w:hanging="360"/>
      </w:pPr>
    </w:lvl>
  </w:abstractNum>
  <w:abstractNum w:abstractNumId="1" w15:restartNumberingAfterBreak="0">
    <w:nsid w:val="51E04138"/>
    <w:multiLevelType w:val="multilevel"/>
    <w:tmpl w:val="707A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D"/>
    <w:rsid w:val="000B48AD"/>
    <w:rsid w:val="002D33CA"/>
    <w:rsid w:val="00622F11"/>
    <w:rsid w:val="007E20C3"/>
    <w:rsid w:val="00A06D38"/>
    <w:rsid w:val="00D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FB40C-26A7-4D62-ADC0-C8D45EF1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84B9D"/>
  </w:style>
  <w:style w:type="character" w:styleId="Hyperlink">
    <w:name w:val="Hyperlink"/>
    <w:basedOn w:val="DefaultParagraphFont"/>
    <w:uiPriority w:val="99"/>
    <w:unhideWhenUsed/>
    <w:rsid w:val="00D84B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B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5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8964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32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171937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23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gnsocouncilmeetings/Motions+20+September+2017" TargetMode="External"/><Relationship Id="rId5" Type="http://schemas.openxmlformats.org/officeDocument/2006/relationships/hyperlink" Target="https://urldefense.proofpoint.com/v2/url?u=https-3A__ccnso.icann.org_workinggroups_ccwg-2Dctn-2Dfinal-2Dpaper-2D15jun17-2Den.pdf-29&amp;d=DwMGaQ&amp;c=FmY1u3PJp6wrcrwll3mSVzgfkbPSS6sJms7xcl4I5cM&amp;r=mBQzlSaM6eYCHFBU-v48zs-QSrjHB0aWmHuE4X4drzI&amp;m=mxFcPp5t319IcFWcwXBr8gMnuPN8JwTj0P8v2agKggU&amp;s=vXWycJBtxpGtsl6wltpLxbcRcsDiSFsvwKkXdqTNL40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</dc:creator>
  <cp:keywords/>
  <dc:description/>
  <cp:lastModifiedBy>HAF</cp:lastModifiedBy>
  <cp:revision>3</cp:revision>
  <dcterms:created xsi:type="dcterms:W3CDTF">2017-11-22T11:08:00Z</dcterms:created>
  <dcterms:modified xsi:type="dcterms:W3CDTF">2017-11-22T11:45:00Z</dcterms:modified>
</cp:coreProperties>
</file>