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2463" w14:textId="739569CA" w:rsidR="009D04F7" w:rsidRDefault="009D04F7">
      <w:r>
        <w:t xml:space="preserve">Your </w:t>
      </w:r>
      <w:r w:rsidR="00C639AA">
        <w:t>name</w:t>
      </w:r>
      <w:r>
        <w:t xml:space="preserve">: </w:t>
      </w:r>
      <w:r w:rsidR="00651FD2">
        <w:t xml:space="preserve"> Kathryn Kleiman [Bold below offered to show edits only]</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80"/>
        <w:gridCol w:w="2520"/>
        <w:gridCol w:w="1260"/>
        <w:gridCol w:w="4860"/>
        <w:gridCol w:w="4860"/>
      </w:tblGrid>
      <w:tr w:rsidR="000D421E"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558FC832" w14:textId="77777777" w:rsidR="00651FD2" w:rsidRPr="00651FD2" w:rsidRDefault="00651FD2" w:rsidP="00651FD2">
            <w:pPr>
              <w:rPr>
                <w:rFonts w:ascii="Times New Roman" w:eastAsia="Times New Roman" w:hAnsi="Times New Roman" w:cs="Times New Roman"/>
              </w:rPr>
            </w:pPr>
            <w:r w:rsidRPr="00651FD2">
              <w:rPr>
                <w:rFonts w:ascii="Arial" w:eastAsia="Times New Roman" w:hAnsi="Arial" w:cs="Arial"/>
                <w:b/>
                <w:bCs/>
                <w:color w:val="000000"/>
                <w:sz w:val="22"/>
                <w:szCs w:val="22"/>
              </w:rPr>
              <w:t>c. New issues raised in deliberations since publication of the Initial Report, if applicable.</w:t>
            </w:r>
          </w:p>
          <w:p w14:paraId="08001B95" w14:textId="77777777" w:rsidR="00651FD2" w:rsidRPr="00651FD2" w:rsidRDefault="00651FD2" w:rsidP="00651FD2">
            <w:pPr>
              <w:rPr>
                <w:rFonts w:ascii="Times New Roman" w:eastAsia="Times New Roman" w:hAnsi="Times New Roman" w:cs="Times New Roman"/>
              </w:rPr>
            </w:pPr>
          </w:p>
          <w:p w14:paraId="072EC872" w14:textId="77777777" w:rsidR="00651FD2" w:rsidRPr="00651FD2" w:rsidRDefault="00651FD2" w:rsidP="00651FD2">
            <w:pPr>
              <w:rPr>
                <w:rFonts w:ascii="Times New Roman" w:eastAsia="Times New Roman" w:hAnsi="Times New Roman" w:cs="Times New Roman"/>
              </w:rPr>
            </w:pPr>
            <w:r w:rsidRPr="00651FD2">
              <w:rPr>
                <w:rFonts w:ascii="Arial" w:eastAsia="Times New Roman" w:hAnsi="Arial" w:cs="Arial"/>
                <w:color w:val="000000"/>
                <w:sz w:val="22"/>
                <w:szCs w:val="22"/>
              </w:rPr>
              <w:t xml:space="preserve">While a number of responses to public comment supported preliminary recommendations that no application submission limits should be put in place, the Working Group also reviewed and discussed comments that favored placing limits on the number of applications. In particular, the Working Group considered a suggestion that ICANN should allow no more than 24 applications for each company, including its parent </w:t>
            </w:r>
            <w:r w:rsidRPr="00651FD2">
              <w:rPr>
                <w:rFonts w:ascii="Arial" w:eastAsia="Times New Roman" w:hAnsi="Arial" w:cs="Arial"/>
                <w:color w:val="000000"/>
                <w:sz w:val="22"/>
                <w:szCs w:val="22"/>
              </w:rPr>
              <w:lastRenderedPageBreak/>
              <w:t>company, subsidiaries, and affiliates. The stated goals of this proposal were to increase fairness and allow for adequate oversight and public review. The Working Group did not find a clear rationale for the specific number proposed and did not come to any agreement to move forward with the proposal.</w:t>
            </w:r>
          </w:p>
          <w:p w14:paraId="14EDC35E" w14:textId="72CF9C48" w:rsidR="000D421E" w:rsidRDefault="000D421E"/>
        </w:tc>
        <w:tc>
          <w:tcPr>
            <w:tcW w:w="1260" w:type="dxa"/>
          </w:tcPr>
          <w:p w14:paraId="6F343617" w14:textId="28CC826D" w:rsidR="000D421E" w:rsidRDefault="00651FD2">
            <w:r>
              <w:lastRenderedPageBreak/>
              <w:t>2.2.5.c</w:t>
            </w:r>
          </w:p>
        </w:tc>
        <w:tc>
          <w:tcPr>
            <w:tcW w:w="4860" w:type="dxa"/>
          </w:tcPr>
          <w:p w14:paraId="301AA9A0" w14:textId="77777777" w:rsidR="00651FD2" w:rsidRPr="00B34829" w:rsidRDefault="00651FD2" w:rsidP="00651FD2">
            <w:pPr>
              <w:rPr>
                <w:rFonts w:ascii="Times New Roman" w:eastAsia="Times New Roman" w:hAnsi="Times New Roman" w:cs="Times New Roman"/>
              </w:rPr>
            </w:pPr>
            <w:r w:rsidRPr="00B34829">
              <w:rPr>
                <w:rFonts w:ascii="Arial" w:eastAsia="Times New Roman" w:hAnsi="Arial" w:cs="Arial"/>
                <w:b/>
                <w:bCs/>
                <w:color w:val="000000"/>
              </w:rPr>
              <w:t>c. New issues raised in deliberations since publication of the Initial Report, if applicable.</w:t>
            </w:r>
          </w:p>
          <w:p w14:paraId="09EA1A52" w14:textId="77777777" w:rsidR="00651FD2" w:rsidRPr="00B34829" w:rsidRDefault="00651FD2" w:rsidP="00651FD2">
            <w:pPr>
              <w:rPr>
                <w:rFonts w:ascii="Times New Roman" w:eastAsia="Times New Roman" w:hAnsi="Times New Roman" w:cs="Times New Roman"/>
              </w:rPr>
            </w:pPr>
          </w:p>
          <w:p w14:paraId="7500824B" w14:textId="77777777" w:rsidR="00651FD2" w:rsidRDefault="00651FD2" w:rsidP="00651FD2">
            <w:pPr>
              <w:rPr>
                <w:rFonts w:ascii="Arial" w:eastAsia="Times New Roman" w:hAnsi="Arial" w:cs="Arial"/>
                <w:b/>
                <w:color w:val="000000"/>
              </w:rPr>
            </w:pPr>
            <w:r w:rsidRPr="00B34829">
              <w:rPr>
                <w:rFonts w:ascii="Arial" w:eastAsia="Times New Roman" w:hAnsi="Arial" w:cs="Arial"/>
                <w:color w:val="000000"/>
              </w:rPr>
              <w:t xml:space="preserve">While a number of responses to public comment supported preliminary recommendations that no application submission limits should be put in place, the Working Group also reviewed and discussed </w:t>
            </w:r>
            <w:r>
              <w:rPr>
                <w:rFonts w:ascii="Arial" w:eastAsia="Times New Roman" w:hAnsi="Arial" w:cs="Arial"/>
                <w:b/>
                <w:color w:val="000000"/>
              </w:rPr>
              <w:t xml:space="preserve">strong </w:t>
            </w:r>
            <w:r w:rsidRPr="00B34829">
              <w:rPr>
                <w:rFonts w:ascii="Arial" w:eastAsia="Times New Roman" w:hAnsi="Arial" w:cs="Arial"/>
                <w:color w:val="000000"/>
              </w:rPr>
              <w:t xml:space="preserve">comments that favored placing limits on the number of applications. In particular, the Working Group considered a suggestion that ICANN should allow no more than 24 applications for each company, including its parent company, subsidiaries, and affiliates. </w:t>
            </w:r>
            <w:r>
              <w:rPr>
                <w:rFonts w:ascii="Arial" w:eastAsia="Times New Roman" w:hAnsi="Arial" w:cs="Arial"/>
                <w:b/>
                <w:color w:val="000000"/>
              </w:rPr>
              <w:t xml:space="preserve">The rationale provided for this dissenting view was that potentially unlimited application numbers favored large, existing entities, at odds with the overall goals of encouraging applications for </w:t>
            </w:r>
            <w:proofErr w:type="spellStart"/>
            <w:r>
              <w:rPr>
                <w:rFonts w:ascii="Arial" w:eastAsia="Times New Roman" w:hAnsi="Arial" w:cs="Arial"/>
                <w:b/>
                <w:color w:val="000000"/>
              </w:rPr>
              <w:t>gTLDs</w:t>
            </w:r>
            <w:proofErr w:type="spellEnd"/>
            <w:r>
              <w:rPr>
                <w:rFonts w:ascii="Arial" w:eastAsia="Times New Roman" w:hAnsi="Arial" w:cs="Arial"/>
                <w:b/>
                <w:color w:val="000000"/>
              </w:rPr>
              <w:t xml:space="preserve"> from companies and communities around the world. </w:t>
            </w:r>
            <w:proofErr w:type="gramStart"/>
            <w:r>
              <w:rPr>
                <w:rFonts w:ascii="Arial" w:eastAsia="Times New Roman" w:hAnsi="Arial" w:cs="Arial"/>
                <w:b/>
                <w:color w:val="000000"/>
              </w:rPr>
              <w:t>If  hundreds</w:t>
            </w:r>
            <w:proofErr w:type="gramEnd"/>
            <w:r>
              <w:rPr>
                <w:rFonts w:ascii="Arial" w:eastAsia="Times New Roman" w:hAnsi="Arial" w:cs="Arial"/>
                <w:b/>
                <w:color w:val="000000"/>
              </w:rPr>
              <w:t xml:space="preserve">, or thousands, of applications are allowed from large companies in </w:t>
            </w:r>
            <w:r>
              <w:rPr>
                <w:rFonts w:ascii="Arial" w:eastAsia="Times New Roman" w:hAnsi="Arial" w:cs="Arial"/>
                <w:b/>
                <w:color w:val="000000"/>
              </w:rPr>
              <w:lastRenderedPageBreak/>
              <w:t xml:space="preserve">developed countries, there will few </w:t>
            </w:r>
            <w:proofErr w:type="spellStart"/>
            <w:r>
              <w:rPr>
                <w:rFonts w:ascii="Arial" w:eastAsia="Times New Roman" w:hAnsi="Arial" w:cs="Arial"/>
                <w:b/>
                <w:color w:val="000000"/>
              </w:rPr>
              <w:t>gTLDs</w:t>
            </w:r>
            <w:proofErr w:type="spellEnd"/>
            <w:r>
              <w:rPr>
                <w:rFonts w:ascii="Arial" w:eastAsia="Times New Roman" w:hAnsi="Arial" w:cs="Arial"/>
                <w:b/>
                <w:color w:val="000000"/>
              </w:rPr>
              <w:t xml:space="preserve"> left for the Global South. </w:t>
            </w:r>
          </w:p>
          <w:p w14:paraId="2F937487" w14:textId="77777777" w:rsidR="00651FD2" w:rsidRDefault="00651FD2" w:rsidP="00651FD2">
            <w:pPr>
              <w:rPr>
                <w:rFonts w:ascii="Arial" w:eastAsia="Times New Roman" w:hAnsi="Arial" w:cs="Arial"/>
                <w:b/>
                <w:color w:val="000000"/>
              </w:rPr>
            </w:pPr>
          </w:p>
          <w:p w14:paraId="46EA2D7E" w14:textId="77777777" w:rsidR="00651FD2" w:rsidRPr="00B34829" w:rsidRDefault="00651FD2" w:rsidP="00651FD2">
            <w:pPr>
              <w:rPr>
                <w:rFonts w:ascii="Times New Roman" w:eastAsia="Times New Roman" w:hAnsi="Times New Roman" w:cs="Times New Roman"/>
              </w:rPr>
            </w:pPr>
            <w:r w:rsidRPr="00B34829">
              <w:rPr>
                <w:rFonts w:ascii="Arial" w:eastAsia="Times New Roman" w:hAnsi="Arial" w:cs="Arial"/>
                <w:color w:val="000000"/>
              </w:rPr>
              <w:t xml:space="preserve">The stated goals of this proposal were to increase fairness and allow for adequate oversight and public review. The Working Group did not find a </w:t>
            </w:r>
            <w:r w:rsidRPr="00B34829">
              <w:rPr>
                <w:rFonts w:ascii="Arial" w:eastAsia="Times New Roman" w:hAnsi="Arial" w:cs="Arial"/>
                <w:strike/>
                <w:color w:val="000000"/>
                <w:u w:val="single"/>
              </w:rPr>
              <w:t>clear rationale</w:t>
            </w:r>
            <w:r w:rsidRPr="00B34829">
              <w:rPr>
                <w:rFonts w:ascii="Arial" w:eastAsia="Times New Roman" w:hAnsi="Arial" w:cs="Arial"/>
                <w:color w:val="000000"/>
              </w:rPr>
              <w:t xml:space="preserve"> </w:t>
            </w:r>
            <w:r>
              <w:rPr>
                <w:rFonts w:ascii="Arial" w:eastAsia="Times New Roman" w:hAnsi="Arial" w:cs="Arial"/>
                <w:b/>
                <w:color w:val="000000"/>
              </w:rPr>
              <w:t xml:space="preserve">feasible way to enforce </w:t>
            </w:r>
            <w:proofErr w:type="gramStart"/>
            <w:r>
              <w:rPr>
                <w:rFonts w:ascii="Arial" w:eastAsia="Times New Roman" w:hAnsi="Arial" w:cs="Arial"/>
                <w:b/>
                <w:color w:val="000000"/>
              </w:rPr>
              <w:t xml:space="preserve">a </w:t>
            </w:r>
            <w:r w:rsidRPr="00B34829">
              <w:rPr>
                <w:rFonts w:ascii="Arial" w:eastAsia="Times New Roman" w:hAnsi="Arial" w:cs="Arial"/>
                <w:strike/>
                <w:color w:val="000000"/>
              </w:rPr>
              <w:t>or</w:t>
            </w:r>
            <w:proofErr w:type="gramEnd"/>
            <w:r w:rsidRPr="00B34829">
              <w:rPr>
                <w:rFonts w:ascii="Arial" w:eastAsia="Times New Roman" w:hAnsi="Arial" w:cs="Arial"/>
                <w:strike/>
                <w:color w:val="000000"/>
              </w:rPr>
              <w:t xml:space="preserve"> the</w:t>
            </w:r>
            <w:r w:rsidRPr="00B34829">
              <w:rPr>
                <w:rFonts w:ascii="Arial" w:eastAsia="Times New Roman" w:hAnsi="Arial" w:cs="Arial"/>
                <w:color w:val="000000"/>
              </w:rPr>
              <w:t xml:space="preserve"> specific number proposed and did not come to any agreement to move forward with the proposal.</w:t>
            </w:r>
          </w:p>
          <w:p w14:paraId="006CBAEE" w14:textId="471AEE49" w:rsidR="000D421E" w:rsidRDefault="000D421E"/>
        </w:tc>
        <w:tc>
          <w:tcPr>
            <w:tcW w:w="4860" w:type="dxa"/>
          </w:tcPr>
          <w:p w14:paraId="312F9EEC" w14:textId="77777777" w:rsidR="00834B14" w:rsidRDefault="00834B14">
            <w:r>
              <w:lastRenderedPageBreak/>
              <w:t xml:space="preserve">The issue in our discussions wasn’t </w:t>
            </w:r>
            <w:proofErr w:type="gramStart"/>
            <w:r>
              <w:t>fairness(</w:t>
            </w:r>
            <w:proofErr w:type="gramEnd"/>
            <w:r>
              <w:t xml:space="preserve">I think there was a strong view that allowing a few large players to dominate isn’t fair), but feasibility. How would we enforce limits?  How could they be detected if subsidiaries were created?  </w:t>
            </w:r>
          </w:p>
          <w:p w14:paraId="4C699B9C" w14:textId="77777777" w:rsidR="00834B14" w:rsidRDefault="00834B14"/>
          <w:p w14:paraId="664BDE67" w14:textId="6D752928" w:rsidR="000D421E" w:rsidRDefault="00834B14" w:rsidP="00834B14">
            <w:r>
              <w:t xml:space="preserve">Certainly this issue of ownership </w:t>
            </w:r>
            <w:bookmarkStart w:id="0" w:name="_GoBack"/>
            <w:bookmarkEnd w:id="0"/>
            <w:r>
              <w:t xml:space="preserve">has been reviewed and incorporated by other groups – foreign ownership restrictions, for example, on US broadcast stations by the FCC. But it was not something this group found feasible at this time. </w:t>
            </w:r>
          </w:p>
        </w:tc>
      </w:tr>
      <w:tr w:rsidR="000D421E"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1F4B615D" w14:textId="4650A28E" w:rsidR="000D421E" w:rsidRDefault="000D421E"/>
        </w:tc>
        <w:tc>
          <w:tcPr>
            <w:tcW w:w="1260" w:type="dxa"/>
          </w:tcPr>
          <w:p w14:paraId="0654562B" w14:textId="77777777" w:rsidR="000D421E" w:rsidRDefault="000D421E"/>
        </w:tc>
        <w:tc>
          <w:tcPr>
            <w:tcW w:w="4860" w:type="dxa"/>
          </w:tcPr>
          <w:p w14:paraId="29E2E80E" w14:textId="410C0CD0" w:rsidR="000D421E" w:rsidRDefault="000D421E"/>
        </w:tc>
        <w:tc>
          <w:tcPr>
            <w:tcW w:w="4860" w:type="dxa"/>
          </w:tcPr>
          <w:p w14:paraId="00ED2E91" w14:textId="77777777" w:rsidR="000D421E" w:rsidRDefault="000D421E"/>
        </w:tc>
      </w:tr>
      <w:tr w:rsidR="000D421E"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1FB49468" w:rsidR="000D421E" w:rsidRDefault="000D421E"/>
        </w:tc>
        <w:tc>
          <w:tcPr>
            <w:tcW w:w="1260" w:type="dxa"/>
          </w:tcPr>
          <w:p w14:paraId="2B950626" w14:textId="77777777" w:rsidR="000D421E" w:rsidRDefault="000D421E"/>
        </w:tc>
        <w:tc>
          <w:tcPr>
            <w:tcW w:w="4860" w:type="dxa"/>
          </w:tcPr>
          <w:p w14:paraId="3DFFE446" w14:textId="6C7A517C" w:rsidR="000D421E" w:rsidRDefault="000D421E"/>
        </w:tc>
        <w:tc>
          <w:tcPr>
            <w:tcW w:w="4860" w:type="dxa"/>
          </w:tcPr>
          <w:p w14:paraId="1CE5317D" w14:textId="77777777" w:rsidR="000D421E" w:rsidRDefault="000D421E"/>
        </w:tc>
      </w:tr>
      <w:tr w:rsidR="000D421E"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0D421E"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0D421E"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246C3B"/>
    <w:rsid w:val="00251D24"/>
    <w:rsid w:val="00336B8B"/>
    <w:rsid w:val="0035336D"/>
    <w:rsid w:val="00385D74"/>
    <w:rsid w:val="004B3C4A"/>
    <w:rsid w:val="005E720C"/>
    <w:rsid w:val="005F102F"/>
    <w:rsid w:val="00651FD2"/>
    <w:rsid w:val="006D0418"/>
    <w:rsid w:val="007F1FED"/>
    <w:rsid w:val="00834B14"/>
    <w:rsid w:val="008363A6"/>
    <w:rsid w:val="00970EBD"/>
    <w:rsid w:val="009D04F7"/>
    <w:rsid w:val="009F7957"/>
    <w:rsid w:val="00B34569"/>
    <w:rsid w:val="00BE5129"/>
    <w:rsid w:val="00C639AA"/>
    <w:rsid w:val="00CD0B02"/>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NormalWeb">
    <w:name w:val="Normal (Web)"/>
    <w:basedOn w:val="Normal"/>
    <w:uiPriority w:val="99"/>
    <w:semiHidden/>
    <w:unhideWhenUsed/>
    <w:rsid w:val="00651F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4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KK</cp:lastModifiedBy>
  <cp:revision>2</cp:revision>
  <dcterms:created xsi:type="dcterms:W3CDTF">2020-05-14T22:12:00Z</dcterms:created>
  <dcterms:modified xsi:type="dcterms:W3CDTF">2020-05-14T22:12:00Z</dcterms:modified>
</cp:coreProperties>
</file>