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82463" w14:textId="0DE64B59" w:rsidR="009D04F7" w:rsidRDefault="009D04F7">
      <w:r>
        <w:t xml:space="preserve">Your </w:t>
      </w:r>
      <w:r w:rsidR="00C639AA">
        <w:t>name</w:t>
      </w:r>
      <w:r>
        <w:t xml:space="preserve">: </w:t>
      </w:r>
      <w:r w:rsidR="009F57FE">
        <w:t xml:space="preserve"> Kathy</w:t>
      </w:r>
      <w:r w:rsidR="00D02991">
        <w:t xml:space="preserve"> Kleiman </w:t>
      </w:r>
    </w:p>
    <w:p w14:paraId="7E7AAADE" w14:textId="77777777" w:rsidR="009D04F7" w:rsidRDefault="009D04F7"/>
    <w:tbl>
      <w:tblPr>
        <w:tblStyle w:val="TableGrid"/>
        <w:tblW w:w="14580" w:type="dxa"/>
        <w:tblInd w:w="-725" w:type="dxa"/>
        <w:tblLook w:val="04A0" w:firstRow="1" w:lastRow="0" w:firstColumn="1" w:lastColumn="0" w:noHBand="0" w:noVBand="1"/>
      </w:tblPr>
      <w:tblGrid>
        <w:gridCol w:w="1080"/>
        <w:gridCol w:w="2520"/>
        <w:gridCol w:w="1260"/>
        <w:gridCol w:w="4860"/>
        <w:gridCol w:w="4860"/>
      </w:tblGrid>
      <w:tr w:rsidR="000D421E" w14:paraId="2DFB18A8" w14:textId="77777777" w:rsidTr="000D421E">
        <w:trPr>
          <w:trHeight w:val="332"/>
        </w:trPr>
        <w:tc>
          <w:tcPr>
            <w:tcW w:w="1080" w:type="dxa"/>
            <w:shd w:val="clear" w:color="auto" w:fill="E7E6E6" w:themeFill="background2"/>
          </w:tcPr>
          <w:p w14:paraId="7FE0EC21" w14:textId="27379A6F" w:rsidR="000D421E" w:rsidRPr="009D04F7" w:rsidRDefault="000D421E">
            <w:pPr>
              <w:rPr>
                <w:b/>
                <w:bCs/>
              </w:rPr>
            </w:pPr>
            <w:r>
              <w:rPr>
                <w:b/>
                <w:bCs/>
              </w:rPr>
              <w:t>Issue</w:t>
            </w:r>
          </w:p>
        </w:tc>
        <w:tc>
          <w:tcPr>
            <w:tcW w:w="2520" w:type="dxa"/>
            <w:shd w:val="clear" w:color="auto" w:fill="E7E6E6" w:themeFill="background2"/>
          </w:tcPr>
          <w:p w14:paraId="1456978A" w14:textId="67D6483D" w:rsidR="000D421E" w:rsidRPr="009D04F7" w:rsidRDefault="000D421E">
            <w:pPr>
              <w:rPr>
                <w:b/>
                <w:bCs/>
              </w:rPr>
            </w:pPr>
            <w:r>
              <w:rPr>
                <w:b/>
                <w:bCs/>
              </w:rPr>
              <w:t>Applicable text (please quote directly)</w:t>
            </w:r>
          </w:p>
        </w:tc>
        <w:tc>
          <w:tcPr>
            <w:tcW w:w="1260" w:type="dxa"/>
            <w:shd w:val="clear" w:color="auto" w:fill="E7E6E6" w:themeFill="background2"/>
          </w:tcPr>
          <w:p w14:paraId="66BBA0F6" w14:textId="11EA8A7B" w:rsidR="000D421E" w:rsidRPr="009D04F7" w:rsidRDefault="00F07ECE">
            <w:pPr>
              <w:rPr>
                <w:b/>
                <w:bCs/>
              </w:rPr>
            </w:pPr>
            <w:r>
              <w:rPr>
                <w:b/>
                <w:bCs/>
              </w:rPr>
              <w:t>Number and n</w:t>
            </w:r>
            <w:r w:rsidR="00970EBD">
              <w:rPr>
                <w:b/>
                <w:bCs/>
              </w:rPr>
              <w:t>ame of applicable report section</w:t>
            </w:r>
          </w:p>
        </w:tc>
        <w:tc>
          <w:tcPr>
            <w:tcW w:w="4860" w:type="dxa"/>
            <w:shd w:val="clear" w:color="auto" w:fill="E7E6E6" w:themeFill="background2"/>
          </w:tcPr>
          <w:p w14:paraId="59003FD4" w14:textId="26BAC8F2" w:rsidR="000D421E" w:rsidRPr="009D04F7" w:rsidRDefault="000D421E">
            <w:pPr>
              <w:rPr>
                <w:b/>
                <w:bCs/>
              </w:rPr>
            </w:pPr>
            <w:r w:rsidRPr="009D04F7">
              <w:rPr>
                <w:b/>
                <w:bCs/>
              </w:rPr>
              <w:t>Cannot live with rationale</w:t>
            </w:r>
          </w:p>
        </w:tc>
        <w:tc>
          <w:tcPr>
            <w:tcW w:w="4860" w:type="dxa"/>
            <w:shd w:val="clear" w:color="auto" w:fill="E7E6E6" w:themeFill="background2"/>
          </w:tcPr>
          <w:p w14:paraId="799D98C8" w14:textId="6E9DC6F1" w:rsidR="000D421E" w:rsidRPr="009D04F7" w:rsidRDefault="000D421E">
            <w:pPr>
              <w:rPr>
                <w:b/>
                <w:bCs/>
              </w:rPr>
            </w:pPr>
            <w:r w:rsidRPr="009D04F7">
              <w:rPr>
                <w:b/>
                <w:bCs/>
              </w:rPr>
              <w:t>Proposed changes</w:t>
            </w:r>
            <w:r>
              <w:rPr>
                <w:b/>
                <w:bCs/>
              </w:rPr>
              <w:t xml:space="preserve"> (taking into account whether others would be able to live with </w:t>
            </w:r>
            <w:r w:rsidR="00336B8B">
              <w:rPr>
                <w:b/>
                <w:bCs/>
              </w:rPr>
              <w:t>them</w:t>
            </w:r>
            <w:r>
              <w:rPr>
                <w:b/>
                <w:bCs/>
              </w:rPr>
              <w:t>)</w:t>
            </w:r>
          </w:p>
        </w:tc>
      </w:tr>
      <w:tr w:rsidR="000D421E" w14:paraId="079FFA20" w14:textId="77777777" w:rsidTr="000D421E">
        <w:tc>
          <w:tcPr>
            <w:tcW w:w="1080" w:type="dxa"/>
          </w:tcPr>
          <w:p w14:paraId="21AB5E62" w14:textId="77777777" w:rsidR="000D421E" w:rsidRDefault="000D421E" w:rsidP="006D0418">
            <w:pPr>
              <w:pStyle w:val="ListParagraph"/>
              <w:numPr>
                <w:ilvl w:val="0"/>
                <w:numId w:val="1"/>
              </w:numPr>
            </w:pPr>
          </w:p>
        </w:tc>
        <w:tc>
          <w:tcPr>
            <w:tcW w:w="2520" w:type="dxa"/>
          </w:tcPr>
          <w:p w14:paraId="14EDC35E" w14:textId="533F325F" w:rsidR="000D421E" w:rsidRDefault="009F57FE">
            <w:r>
              <w:rPr>
                <w:rFonts w:ascii="Arial" w:hAnsi="Arial" w:cs="Arial"/>
                <w:color w:val="000000"/>
                <w:sz w:val="22"/>
                <w:szCs w:val="22"/>
                <w:u w:val="single"/>
              </w:rPr>
              <w:t>Recommendation xx (rationale 2)</w:t>
            </w:r>
            <w:r>
              <w:rPr>
                <w:rFonts w:ascii="Arial" w:hAnsi="Arial" w:cs="Arial"/>
                <w:color w:val="000000"/>
                <w:sz w:val="22"/>
                <w:szCs w:val="22"/>
              </w:rPr>
              <w:t>: The Working Group recommends that ICANN establish a mechanism that allows specific parties to challenge or appeal certain types of actions or inactions that are inconsistent with the Applicant Guidebook.</w:t>
            </w:r>
          </w:p>
        </w:tc>
        <w:tc>
          <w:tcPr>
            <w:tcW w:w="1260" w:type="dxa"/>
          </w:tcPr>
          <w:p w14:paraId="6F343617" w14:textId="086E4430" w:rsidR="000D421E" w:rsidRDefault="009F57FE">
            <w:r>
              <w:t>2.8.2</w:t>
            </w:r>
          </w:p>
        </w:tc>
        <w:tc>
          <w:tcPr>
            <w:tcW w:w="4860" w:type="dxa"/>
          </w:tcPr>
          <w:p w14:paraId="006CBAEE" w14:textId="4BB95945" w:rsidR="000D421E" w:rsidRDefault="009F57FE">
            <w:r>
              <w:rPr>
                <w:rFonts w:ascii="Arial" w:hAnsi="Arial" w:cs="Arial"/>
                <w:color w:val="000000"/>
                <w:sz w:val="22"/>
                <w:szCs w:val="22"/>
                <w:u w:val="single"/>
              </w:rPr>
              <w:t>Recommendation xx (rationale 2)</w:t>
            </w:r>
            <w:r>
              <w:rPr>
                <w:rFonts w:ascii="Arial" w:hAnsi="Arial" w:cs="Arial"/>
                <w:color w:val="000000"/>
                <w:sz w:val="22"/>
                <w:szCs w:val="22"/>
              </w:rPr>
              <w:t xml:space="preserve">: The Working Group recommends that ICANN establish a mechanism that allows specific parties to challenge or appeal certain types of actions or inactions that </w:t>
            </w:r>
            <w:r w:rsidRPr="009F57FE">
              <w:rPr>
                <w:rFonts w:ascii="Arial" w:hAnsi="Arial" w:cs="Arial"/>
                <w:strike/>
                <w:color w:val="000000"/>
                <w:sz w:val="22"/>
                <w:szCs w:val="22"/>
              </w:rPr>
              <w:t>are</w:t>
            </w:r>
            <w:r>
              <w:rPr>
                <w:rFonts w:ascii="Arial" w:hAnsi="Arial" w:cs="Arial"/>
                <w:color w:val="000000"/>
                <w:sz w:val="22"/>
                <w:szCs w:val="22"/>
              </w:rPr>
              <w:t xml:space="preserve"> </w:t>
            </w:r>
            <w:r w:rsidRPr="009F57FE">
              <w:rPr>
                <w:rFonts w:ascii="Arial" w:hAnsi="Arial" w:cs="Arial"/>
                <w:b/>
                <w:color w:val="000000"/>
                <w:sz w:val="22"/>
                <w:szCs w:val="22"/>
              </w:rPr>
              <w:t xml:space="preserve">appear to be </w:t>
            </w:r>
            <w:r w:rsidRPr="009F57FE">
              <w:rPr>
                <w:rFonts w:ascii="Arial" w:hAnsi="Arial" w:cs="Arial"/>
                <w:color w:val="000000"/>
                <w:sz w:val="22"/>
                <w:szCs w:val="22"/>
              </w:rPr>
              <w:t>inconsistent</w:t>
            </w:r>
            <w:r>
              <w:rPr>
                <w:rFonts w:ascii="Arial" w:hAnsi="Arial" w:cs="Arial"/>
                <w:color w:val="000000"/>
                <w:sz w:val="22"/>
                <w:szCs w:val="22"/>
              </w:rPr>
              <w:t xml:space="preserve"> with the Applicant Guidebook.</w:t>
            </w:r>
          </w:p>
        </w:tc>
        <w:tc>
          <w:tcPr>
            <w:tcW w:w="4860" w:type="dxa"/>
          </w:tcPr>
          <w:p w14:paraId="664BDE67" w14:textId="5A761B23" w:rsidR="000D421E" w:rsidRDefault="009F57FE" w:rsidP="00527CE0">
            <w:r>
              <w:t xml:space="preserve">It’s not inconsistent with the Applicant Guidebook until there is a finding as such.  </w:t>
            </w:r>
            <w:r w:rsidR="00527CE0">
              <w:t>Until then,</w:t>
            </w:r>
            <w:r>
              <w:t xml:space="preserve"> the applicant </w:t>
            </w:r>
            <w:r w:rsidR="00527CE0">
              <w:t xml:space="preserve">is making an </w:t>
            </w:r>
            <w:r>
              <w:t>allegation!</w:t>
            </w:r>
          </w:p>
        </w:tc>
      </w:tr>
      <w:tr w:rsidR="000D421E" w14:paraId="26201D1C" w14:textId="77777777" w:rsidTr="000D421E">
        <w:tc>
          <w:tcPr>
            <w:tcW w:w="1080" w:type="dxa"/>
          </w:tcPr>
          <w:p w14:paraId="1E78E9F8" w14:textId="77777777" w:rsidR="000D421E" w:rsidRDefault="000D421E" w:rsidP="006D0418">
            <w:pPr>
              <w:pStyle w:val="ListParagraph"/>
              <w:numPr>
                <w:ilvl w:val="0"/>
                <w:numId w:val="1"/>
              </w:numPr>
            </w:pPr>
          </w:p>
        </w:tc>
        <w:tc>
          <w:tcPr>
            <w:tcW w:w="2520" w:type="dxa"/>
          </w:tcPr>
          <w:p w14:paraId="3466D768" w14:textId="77777777" w:rsidR="000530D8" w:rsidRDefault="000530D8" w:rsidP="000530D8">
            <w:pPr>
              <w:pStyle w:val="NormalWeb"/>
              <w:spacing w:before="0" w:beforeAutospacing="0" w:after="0" w:afterAutospacing="0"/>
            </w:pPr>
            <w:r>
              <w:rPr>
                <w:rFonts w:ascii="Arial" w:hAnsi="Arial" w:cs="Arial"/>
                <w:color w:val="000000"/>
                <w:sz w:val="22"/>
                <w:szCs w:val="22"/>
              </w:rPr>
              <w:t>The Working Group recommends that the limited challenge/appeal mechanism applies to the following types of evaluations and objections decisions:</w:t>
            </w:r>
          </w:p>
          <w:p w14:paraId="1F4B615D" w14:textId="06E38BE1" w:rsidR="000D421E" w:rsidRDefault="000D421E" w:rsidP="000530D8">
            <w:pPr>
              <w:pStyle w:val="NormalWeb"/>
              <w:spacing w:before="0" w:beforeAutospacing="0" w:after="0" w:afterAutospacing="0"/>
            </w:pPr>
          </w:p>
        </w:tc>
        <w:tc>
          <w:tcPr>
            <w:tcW w:w="1260" w:type="dxa"/>
          </w:tcPr>
          <w:p w14:paraId="0654562B" w14:textId="48E7AAC1" w:rsidR="000D421E" w:rsidRDefault="000530D8">
            <w:r>
              <w:t>2.8.2</w:t>
            </w:r>
          </w:p>
        </w:tc>
        <w:tc>
          <w:tcPr>
            <w:tcW w:w="4860" w:type="dxa"/>
          </w:tcPr>
          <w:p w14:paraId="62BCA2F5" w14:textId="79C46B11" w:rsidR="000530D8" w:rsidRDefault="000530D8" w:rsidP="000530D8">
            <w:pPr>
              <w:pStyle w:val="NormalWeb"/>
              <w:spacing w:before="0" w:beforeAutospacing="0" w:after="0" w:afterAutospacing="0"/>
            </w:pPr>
            <w:r>
              <w:rPr>
                <w:rFonts w:ascii="Arial" w:hAnsi="Arial" w:cs="Arial"/>
                <w:color w:val="000000"/>
                <w:sz w:val="22"/>
                <w:szCs w:val="22"/>
              </w:rPr>
              <w:t xml:space="preserve">The Working Group recommends that the limited challenge/appeal mechanism applies to the following types of evaluations and </w:t>
            </w:r>
            <w:r>
              <w:rPr>
                <w:rFonts w:ascii="Arial" w:hAnsi="Arial" w:cs="Arial"/>
                <w:b/>
                <w:color w:val="000000"/>
                <w:sz w:val="22"/>
                <w:szCs w:val="22"/>
              </w:rPr>
              <w:t xml:space="preserve">formal </w:t>
            </w:r>
            <w:r>
              <w:rPr>
                <w:rFonts w:ascii="Arial" w:hAnsi="Arial" w:cs="Arial"/>
                <w:color w:val="000000"/>
                <w:sz w:val="22"/>
                <w:szCs w:val="22"/>
              </w:rPr>
              <w:t>objections decisions:</w:t>
            </w:r>
          </w:p>
          <w:p w14:paraId="29E2E80E" w14:textId="410C0CD0" w:rsidR="000D421E" w:rsidRDefault="000D421E"/>
        </w:tc>
        <w:tc>
          <w:tcPr>
            <w:tcW w:w="4860" w:type="dxa"/>
          </w:tcPr>
          <w:p w14:paraId="00ED2E91" w14:textId="256C5AE4" w:rsidR="000D421E" w:rsidRDefault="000530D8">
            <w:r>
              <w:t xml:space="preserve">The term “formal objection” comes from the current AGB (see current Module 3) and it may help to flag readers to understand the important distinction of evaluation changes and objection appeals – a clarity issue. </w:t>
            </w:r>
          </w:p>
        </w:tc>
      </w:tr>
      <w:tr w:rsidR="000D421E" w14:paraId="1FA85D02" w14:textId="77777777" w:rsidTr="000D421E">
        <w:tc>
          <w:tcPr>
            <w:tcW w:w="1080" w:type="dxa"/>
          </w:tcPr>
          <w:p w14:paraId="6DAE0DEE" w14:textId="77777777" w:rsidR="000D421E" w:rsidRDefault="000D421E" w:rsidP="006D0418">
            <w:pPr>
              <w:pStyle w:val="ListParagraph"/>
              <w:numPr>
                <w:ilvl w:val="0"/>
                <w:numId w:val="1"/>
              </w:numPr>
            </w:pPr>
          </w:p>
        </w:tc>
        <w:tc>
          <w:tcPr>
            <w:tcW w:w="2520" w:type="dxa"/>
          </w:tcPr>
          <w:p w14:paraId="5DBB03AF" w14:textId="77777777" w:rsidR="000530D8" w:rsidRPr="000530D8" w:rsidRDefault="000530D8" w:rsidP="002542FB">
            <w:pPr>
              <w:rPr>
                <w:rFonts w:ascii="Times New Roman" w:eastAsia="Times New Roman" w:hAnsi="Times New Roman" w:cs="Times New Roman"/>
              </w:rPr>
            </w:pPr>
            <w:r w:rsidRPr="000530D8">
              <w:rPr>
                <w:rFonts w:ascii="Arial" w:eastAsia="Times New Roman" w:hAnsi="Arial" w:cs="Arial"/>
                <w:bCs/>
                <w:color w:val="000000"/>
                <w:sz w:val="22"/>
                <w:szCs w:val="22"/>
                <w:shd w:val="clear" w:color="auto" w:fill="FFFFFF"/>
              </w:rPr>
              <w:t>Appeals of Objections Decisions</w:t>
            </w:r>
          </w:p>
          <w:p w14:paraId="39098A00" w14:textId="1FB49468" w:rsidR="000D421E" w:rsidRDefault="000D421E"/>
        </w:tc>
        <w:tc>
          <w:tcPr>
            <w:tcW w:w="1260" w:type="dxa"/>
          </w:tcPr>
          <w:p w14:paraId="2B950626" w14:textId="4CF7D3C9" w:rsidR="000D421E" w:rsidRDefault="002542FB">
            <w:r>
              <w:t xml:space="preserve">2.8.2 </w:t>
            </w:r>
          </w:p>
        </w:tc>
        <w:tc>
          <w:tcPr>
            <w:tcW w:w="4860" w:type="dxa"/>
          </w:tcPr>
          <w:p w14:paraId="22C36DD9" w14:textId="7231420C" w:rsidR="002542FB" w:rsidRPr="002542FB" w:rsidRDefault="002542FB" w:rsidP="002542FB">
            <w:pPr>
              <w:rPr>
                <w:rFonts w:ascii="Times New Roman" w:eastAsia="Times New Roman" w:hAnsi="Times New Roman" w:cs="Times New Roman"/>
              </w:rPr>
            </w:pPr>
            <w:r w:rsidRPr="002542FB">
              <w:rPr>
                <w:rFonts w:ascii="Arial" w:eastAsia="Times New Roman" w:hAnsi="Arial" w:cs="Arial"/>
                <w:bCs/>
                <w:color w:val="000000"/>
                <w:sz w:val="22"/>
                <w:szCs w:val="22"/>
                <w:shd w:val="clear" w:color="auto" w:fill="FFFFFF"/>
              </w:rPr>
              <w:t xml:space="preserve">Appeals of </w:t>
            </w:r>
            <w:r>
              <w:rPr>
                <w:rFonts w:ascii="Arial" w:eastAsia="Times New Roman" w:hAnsi="Arial" w:cs="Arial"/>
                <w:bCs/>
                <w:color w:val="000000"/>
                <w:sz w:val="22"/>
                <w:szCs w:val="22"/>
                <w:shd w:val="clear" w:color="auto" w:fill="FFFFFF"/>
              </w:rPr>
              <w:t xml:space="preserve">Formal </w:t>
            </w:r>
            <w:r w:rsidRPr="002542FB">
              <w:rPr>
                <w:rFonts w:ascii="Arial" w:eastAsia="Times New Roman" w:hAnsi="Arial" w:cs="Arial"/>
                <w:bCs/>
                <w:color w:val="000000"/>
                <w:sz w:val="22"/>
                <w:szCs w:val="22"/>
                <w:shd w:val="clear" w:color="auto" w:fill="FFFFFF"/>
              </w:rPr>
              <w:t>Objections Decisions</w:t>
            </w:r>
          </w:p>
          <w:p w14:paraId="3DFFE446" w14:textId="6C7A517C" w:rsidR="000D421E" w:rsidRPr="002542FB" w:rsidRDefault="000D421E">
            <w:pPr>
              <w:rPr>
                <w:b/>
              </w:rPr>
            </w:pPr>
          </w:p>
        </w:tc>
        <w:tc>
          <w:tcPr>
            <w:tcW w:w="4860" w:type="dxa"/>
          </w:tcPr>
          <w:p w14:paraId="1CE5317D" w14:textId="667EF0A4" w:rsidR="000D421E" w:rsidRDefault="002542FB">
            <w:r>
              <w:t>Same as above.</w:t>
            </w:r>
          </w:p>
        </w:tc>
      </w:tr>
      <w:tr w:rsidR="000D421E" w14:paraId="5059611E" w14:textId="77777777" w:rsidTr="000D421E">
        <w:tc>
          <w:tcPr>
            <w:tcW w:w="1080" w:type="dxa"/>
          </w:tcPr>
          <w:p w14:paraId="01FE68CA" w14:textId="77777777" w:rsidR="000D421E" w:rsidRDefault="000D421E" w:rsidP="006D0418">
            <w:pPr>
              <w:pStyle w:val="ListParagraph"/>
              <w:numPr>
                <w:ilvl w:val="0"/>
                <w:numId w:val="1"/>
              </w:numPr>
            </w:pPr>
          </w:p>
        </w:tc>
        <w:tc>
          <w:tcPr>
            <w:tcW w:w="2520" w:type="dxa"/>
          </w:tcPr>
          <w:p w14:paraId="716A1F0D" w14:textId="77777777" w:rsidR="005708A3" w:rsidRDefault="005708A3" w:rsidP="005708A3">
            <w:pPr>
              <w:pStyle w:val="NormalWeb"/>
              <w:spacing w:before="0" w:beforeAutospacing="0" w:after="0" w:afterAutospacing="0"/>
            </w:pPr>
            <w:r>
              <w:rPr>
                <w:rFonts w:ascii="Arial" w:hAnsi="Arial" w:cs="Arial"/>
                <w:color w:val="000000"/>
                <w:sz w:val="20"/>
                <w:szCs w:val="20"/>
              </w:rPr>
              <w:t xml:space="preserve"> In section xx Objections, the Working Group recommends that parties </w:t>
            </w:r>
            <w:r>
              <w:rPr>
                <w:rFonts w:ascii="Arial" w:hAnsi="Arial" w:cs="Arial"/>
                <w:color w:val="000000"/>
                <w:sz w:val="20"/>
                <w:szCs w:val="20"/>
              </w:rPr>
              <w:lastRenderedPageBreak/>
              <w:t>to an objections proceeding have the opportunity to mutually agree on whether to use a single panelist or a three-person panel, bearing the costs accordingly. This recommendation extends the same opportunity for appeals of objections decisions.</w:t>
            </w:r>
          </w:p>
          <w:p w14:paraId="1904CBFA" w14:textId="49594D7C" w:rsidR="000D421E" w:rsidRDefault="000D421E"/>
        </w:tc>
        <w:tc>
          <w:tcPr>
            <w:tcW w:w="1260" w:type="dxa"/>
          </w:tcPr>
          <w:p w14:paraId="648CF34F" w14:textId="5FC5F3AE" w:rsidR="000D421E" w:rsidRDefault="005708A3">
            <w:r>
              <w:lastRenderedPageBreak/>
              <w:t>Footnote 96</w:t>
            </w:r>
          </w:p>
        </w:tc>
        <w:tc>
          <w:tcPr>
            <w:tcW w:w="4860" w:type="dxa"/>
          </w:tcPr>
          <w:p w14:paraId="6811FCC6" w14:textId="157407FE" w:rsidR="000D421E" w:rsidRDefault="005708A3">
            <w:r>
              <w:t>Question</w:t>
            </w:r>
          </w:p>
        </w:tc>
        <w:tc>
          <w:tcPr>
            <w:tcW w:w="4860" w:type="dxa"/>
          </w:tcPr>
          <w:p w14:paraId="151B38A9" w14:textId="7FFBE18E" w:rsidR="000D421E" w:rsidRDefault="005708A3">
            <w:r>
              <w:t xml:space="preserve">What if the parties don’t agree, e.g., one wants a single panelist (or that is all they can afford) </w:t>
            </w:r>
            <w:r>
              <w:lastRenderedPageBreak/>
              <w:t xml:space="preserve">and the other </w:t>
            </w:r>
            <w:proofErr w:type="gramStart"/>
            <w:r>
              <w:t>party(</w:t>
            </w:r>
            <w:proofErr w:type="spellStart"/>
            <w:proofErr w:type="gramEnd"/>
            <w:r>
              <w:t>ies</w:t>
            </w:r>
            <w:proofErr w:type="spellEnd"/>
            <w:r>
              <w:t xml:space="preserve">) want three panelists?  Default </w:t>
            </w:r>
            <w:r w:rsidR="00527CE0">
              <w:t xml:space="preserve">perhaps </w:t>
            </w:r>
            <w:r>
              <w:t>one panelist?</w:t>
            </w:r>
          </w:p>
        </w:tc>
      </w:tr>
      <w:tr w:rsidR="000D421E" w14:paraId="28AFB8FA" w14:textId="77777777" w:rsidTr="000D421E">
        <w:tc>
          <w:tcPr>
            <w:tcW w:w="1080" w:type="dxa"/>
          </w:tcPr>
          <w:p w14:paraId="55F0ABCB" w14:textId="77777777" w:rsidR="000D421E" w:rsidRDefault="000D421E" w:rsidP="006D0418">
            <w:pPr>
              <w:pStyle w:val="ListParagraph"/>
              <w:numPr>
                <w:ilvl w:val="0"/>
                <w:numId w:val="1"/>
              </w:numPr>
            </w:pPr>
          </w:p>
        </w:tc>
        <w:tc>
          <w:tcPr>
            <w:tcW w:w="2520" w:type="dxa"/>
          </w:tcPr>
          <w:p w14:paraId="0FEF9ECF" w14:textId="75C7F29D" w:rsidR="000D421E" w:rsidRDefault="00D93AD0">
            <w:r>
              <w:rPr>
                <w:rFonts w:ascii="Arial" w:hAnsi="Arial" w:cs="Arial"/>
                <w:color w:val="000000"/>
                <w:sz w:val="22"/>
                <w:szCs w:val="22"/>
              </w:rPr>
              <w:t>In general, the Working Group believes that parties affected by an evaluation or objections decision should have the opportunity to file a challenge/appeal.</w:t>
            </w:r>
          </w:p>
        </w:tc>
        <w:tc>
          <w:tcPr>
            <w:tcW w:w="1260" w:type="dxa"/>
          </w:tcPr>
          <w:p w14:paraId="6CDAF456" w14:textId="4498FB4E" w:rsidR="000D421E" w:rsidRDefault="00D93AD0">
            <w:r>
              <w:t>2.8.2 (b)</w:t>
            </w:r>
          </w:p>
        </w:tc>
        <w:tc>
          <w:tcPr>
            <w:tcW w:w="4860" w:type="dxa"/>
          </w:tcPr>
          <w:p w14:paraId="76AC15AE" w14:textId="1D477E8B" w:rsidR="000D421E" w:rsidRDefault="00D93AD0">
            <w:r>
              <w:rPr>
                <w:rFonts w:ascii="Arial" w:hAnsi="Arial" w:cs="Arial"/>
                <w:color w:val="000000"/>
                <w:sz w:val="22"/>
                <w:szCs w:val="22"/>
              </w:rPr>
              <w:t>In general, the Working Group believes that parties affected by an evaluation or objections decision should have the opportunity to file a challenge/appeal</w:t>
            </w:r>
            <w:r>
              <w:rPr>
                <w:rFonts w:ascii="Arial" w:hAnsi="Arial" w:cs="Arial"/>
                <w:color w:val="000000"/>
                <w:sz w:val="22"/>
                <w:szCs w:val="22"/>
              </w:rPr>
              <w:t xml:space="preserve"> </w:t>
            </w:r>
            <w:r>
              <w:rPr>
                <w:rFonts w:ascii="Arial" w:hAnsi="Arial" w:cs="Arial"/>
                <w:b/>
                <w:color w:val="000000"/>
                <w:sz w:val="22"/>
                <w:szCs w:val="22"/>
              </w:rPr>
              <w:t>under limited circumstances</w:t>
            </w:r>
            <w:r>
              <w:rPr>
                <w:rFonts w:ascii="Arial" w:hAnsi="Arial" w:cs="Arial"/>
                <w:color w:val="000000"/>
                <w:sz w:val="22"/>
                <w:szCs w:val="22"/>
              </w:rPr>
              <w:t>.</w:t>
            </w:r>
          </w:p>
        </w:tc>
        <w:tc>
          <w:tcPr>
            <w:tcW w:w="4860" w:type="dxa"/>
          </w:tcPr>
          <w:p w14:paraId="42C8B40A" w14:textId="5F821A43" w:rsidR="000D421E" w:rsidRDefault="00D93AD0">
            <w:r>
              <w:t xml:space="preserve">Should not be controversial; we opened only a limited right of appeal. </w:t>
            </w:r>
            <w:r w:rsidR="00527CE0">
              <w:t>Best to flag it as such.</w:t>
            </w:r>
          </w:p>
        </w:tc>
      </w:tr>
      <w:tr w:rsidR="000D421E" w14:paraId="4CADDBB7" w14:textId="77777777" w:rsidTr="000D421E">
        <w:tc>
          <w:tcPr>
            <w:tcW w:w="1080" w:type="dxa"/>
          </w:tcPr>
          <w:p w14:paraId="25826C9A" w14:textId="77777777" w:rsidR="000D421E" w:rsidRDefault="000D421E" w:rsidP="006D0418">
            <w:pPr>
              <w:pStyle w:val="ListParagraph"/>
              <w:numPr>
                <w:ilvl w:val="0"/>
                <w:numId w:val="1"/>
              </w:numPr>
            </w:pPr>
          </w:p>
        </w:tc>
        <w:tc>
          <w:tcPr>
            <w:tcW w:w="2520" w:type="dxa"/>
          </w:tcPr>
          <w:p w14:paraId="0433DC45" w14:textId="77777777" w:rsidR="00EE425D" w:rsidRDefault="00EE425D" w:rsidP="00EE425D">
            <w:pPr>
              <w:pStyle w:val="NormalWeb"/>
              <w:spacing w:before="0" w:beforeAutospacing="0" w:after="0" w:afterAutospacing="0"/>
            </w:pPr>
            <w:r>
              <w:rPr>
                <w:rFonts w:ascii="Arial" w:hAnsi="Arial" w:cs="Arial"/>
                <w:color w:val="000000"/>
                <w:sz w:val="22"/>
                <w:szCs w:val="22"/>
              </w:rPr>
              <w:t>Application changes would be subject to evaluation by ICANN as discussed in section xx Application Change Requests.</w:t>
            </w:r>
          </w:p>
          <w:p w14:paraId="178D08F8" w14:textId="77777777" w:rsidR="000D421E" w:rsidRDefault="000D421E"/>
        </w:tc>
        <w:tc>
          <w:tcPr>
            <w:tcW w:w="1260" w:type="dxa"/>
          </w:tcPr>
          <w:p w14:paraId="73118B82" w14:textId="5495EAA1" w:rsidR="000D421E" w:rsidRDefault="00EE425D">
            <w:r>
              <w:t>2.8.1</w:t>
            </w:r>
          </w:p>
        </w:tc>
        <w:tc>
          <w:tcPr>
            <w:tcW w:w="4860" w:type="dxa"/>
          </w:tcPr>
          <w:p w14:paraId="2F1CB343" w14:textId="336F3EF5" w:rsidR="00EE425D" w:rsidRDefault="00EE425D" w:rsidP="00EE425D">
            <w:pPr>
              <w:pStyle w:val="NormalWeb"/>
              <w:spacing w:before="0" w:beforeAutospacing="0" w:after="0" w:afterAutospacing="0"/>
            </w:pPr>
            <w:r>
              <w:rPr>
                <w:rFonts w:ascii="Arial" w:hAnsi="Arial" w:cs="Arial"/>
                <w:color w:val="000000"/>
                <w:sz w:val="22"/>
                <w:szCs w:val="22"/>
              </w:rPr>
              <w:t xml:space="preserve">Application changes would be subject to evaluation by ICANN </w:t>
            </w:r>
            <w:r>
              <w:rPr>
                <w:rFonts w:ascii="Arial" w:hAnsi="Arial" w:cs="Arial"/>
                <w:b/>
                <w:color w:val="000000"/>
                <w:sz w:val="22"/>
                <w:szCs w:val="22"/>
              </w:rPr>
              <w:t xml:space="preserve">and the Community </w:t>
            </w:r>
            <w:r>
              <w:rPr>
                <w:rFonts w:ascii="Arial" w:hAnsi="Arial" w:cs="Arial"/>
                <w:color w:val="000000"/>
                <w:sz w:val="22"/>
                <w:szCs w:val="22"/>
              </w:rPr>
              <w:t>as discussed in section xx Application Change Requests.</w:t>
            </w:r>
          </w:p>
          <w:p w14:paraId="189DCE57" w14:textId="26DC78C3" w:rsidR="000D421E" w:rsidRDefault="000D421E"/>
        </w:tc>
        <w:tc>
          <w:tcPr>
            <w:tcW w:w="4860" w:type="dxa"/>
          </w:tcPr>
          <w:p w14:paraId="79019494" w14:textId="31EBD93C" w:rsidR="000D421E" w:rsidRDefault="00EE425D" w:rsidP="00527CE0">
            <w:r>
              <w:t xml:space="preserve">Should not </w:t>
            </w:r>
            <w:r w:rsidR="00527CE0">
              <w:t>be controversial;</w:t>
            </w:r>
            <w:r>
              <w:t xml:space="preserve"> </w:t>
            </w:r>
            <w:r w:rsidR="00527CE0">
              <w:t xml:space="preserve">many </w:t>
            </w:r>
            <w:r>
              <w:t xml:space="preserve">application changes </w:t>
            </w:r>
            <w:r w:rsidR="00527CE0">
              <w:t xml:space="preserve">reviewed </w:t>
            </w:r>
            <w:r>
              <w:t xml:space="preserve">by </w:t>
            </w:r>
            <w:r w:rsidR="00527CE0">
              <w:t xml:space="preserve">ICANN are also reviewed by </w:t>
            </w:r>
            <w:r>
              <w:t xml:space="preserve">the Community. </w:t>
            </w:r>
            <w:r w:rsidR="00527CE0">
              <w:t xml:space="preserve"> Just clarifying here. </w:t>
            </w:r>
            <w:bookmarkStart w:id="0" w:name="_GoBack"/>
            <w:bookmarkEnd w:id="0"/>
          </w:p>
        </w:tc>
      </w:tr>
    </w:tbl>
    <w:p w14:paraId="293DC469" w14:textId="77777777" w:rsidR="000B7A30" w:rsidRDefault="000B7A30"/>
    <w:sectPr w:rsidR="000B7A30" w:rsidSect="009D04F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C0E46"/>
    <w:multiLevelType w:val="hybridMultilevel"/>
    <w:tmpl w:val="97B8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4F7"/>
    <w:rsid w:val="000530D8"/>
    <w:rsid w:val="000B7A30"/>
    <w:rsid w:val="000D421E"/>
    <w:rsid w:val="00246C3B"/>
    <w:rsid w:val="002542FB"/>
    <w:rsid w:val="00336B8B"/>
    <w:rsid w:val="0035336D"/>
    <w:rsid w:val="00385D74"/>
    <w:rsid w:val="004B3C4A"/>
    <w:rsid w:val="00527CE0"/>
    <w:rsid w:val="005708A3"/>
    <w:rsid w:val="005E720C"/>
    <w:rsid w:val="005F102F"/>
    <w:rsid w:val="006D0418"/>
    <w:rsid w:val="007F1FED"/>
    <w:rsid w:val="008363A6"/>
    <w:rsid w:val="00970EBD"/>
    <w:rsid w:val="009D04F7"/>
    <w:rsid w:val="009F57FE"/>
    <w:rsid w:val="009F7957"/>
    <w:rsid w:val="00B34569"/>
    <w:rsid w:val="00BE5129"/>
    <w:rsid w:val="00C639AA"/>
    <w:rsid w:val="00CD0B02"/>
    <w:rsid w:val="00D02991"/>
    <w:rsid w:val="00D93AD0"/>
    <w:rsid w:val="00E53B3D"/>
    <w:rsid w:val="00EE425D"/>
    <w:rsid w:val="00EF35AF"/>
    <w:rsid w:val="00F07ECE"/>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790D"/>
  <w15:chartTrackingRefBased/>
  <w15:docId w15:val="{C73C14C4-F2EC-5F42-88A8-611DDE95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418"/>
    <w:pPr>
      <w:ind w:left="720"/>
      <w:contextualSpacing/>
    </w:pPr>
  </w:style>
  <w:style w:type="paragraph" w:styleId="NormalWeb">
    <w:name w:val="Normal (Web)"/>
    <w:basedOn w:val="Normal"/>
    <w:uiPriority w:val="99"/>
    <w:unhideWhenUsed/>
    <w:rsid w:val="000530D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5708">
      <w:bodyDiv w:val="1"/>
      <w:marLeft w:val="0"/>
      <w:marRight w:val="0"/>
      <w:marTop w:val="0"/>
      <w:marBottom w:val="0"/>
      <w:divBdr>
        <w:top w:val="none" w:sz="0" w:space="0" w:color="auto"/>
        <w:left w:val="none" w:sz="0" w:space="0" w:color="auto"/>
        <w:bottom w:val="none" w:sz="0" w:space="0" w:color="auto"/>
        <w:right w:val="none" w:sz="0" w:space="0" w:color="auto"/>
      </w:divBdr>
    </w:div>
    <w:div w:id="408163701">
      <w:bodyDiv w:val="1"/>
      <w:marLeft w:val="0"/>
      <w:marRight w:val="0"/>
      <w:marTop w:val="0"/>
      <w:marBottom w:val="0"/>
      <w:divBdr>
        <w:top w:val="none" w:sz="0" w:space="0" w:color="auto"/>
        <w:left w:val="none" w:sz="0" w:space="0" w:color="auto"/>
        <w:bottom w:val="none" w:sz="0" w:space="0" w:color="auto"/>
        <w:right w:val="none" w:sz="0" w:space="0" w:color="auto"/>
      </w:divBdr>
    </w:div>
    <w:div w:id="994185984">
      <w:bodyDiv w:val="1"/>
      <w:marLeft w:val="0"/>
      <w:marRight w:val="0"/>
      <w:marTop w:val="0"/>
      <w:marBottom w:val="0"/>
      <w:divBdr>
        <w:top w:val="none" w:sz="0" w:space="0" w:color="auto"/>
        <w:left w:val="none" w:sz="0" w:space="0" w:color="auto"/>
        <w:bottom w:val="none" w:sz="0" w:space="0" w:color="auto"/>
        <w:right w:val="none" w:sz="0" w:space="0" w:color="auto"/>
      </w:divBdr>
    </w:div>
    <w:div w:id="1086074017">
      <w:bodyDiv w:val="1"/>
      <w:marLeft w:val="0"/>
      <w:marRight w:val="0"/>
      <w:marTop w:val="0"/>
      <w:marBottom w:val="0"/>
      <w:divBdr>
        <w:top w:val="none" w:sz="0" w:space="0" w:color="auto"/>
        <w:left w:val="none" w:sz="0" w:space="0" w:color="auto"/>
        <w:bottom w:val="none" w:sz="0" w:space="0" w:color="auto"/>
        <w:right w:val="none" w:sz="0" w:space="0" w:color="auto"/>
      </w:divBdr>
    </w:div>
    <w:div w:id="1341355263">
      <w:bodyDiv w:val="1"/>
      <w:marLeft w:val="0"/>
      <w:marRight w:val="0"/>
      <w:marTop w:val="0"/>
      <w:marBottom w:val="0"/>
      <w:divBdr>
        <w:top w:val="none" w:sz="0" w:space="0" w:color="auto"/>
        <w:left w:val="none" w:sz="0" w:space="0" w:color="auto"/>
        <w:bottom w:val="none" w:sz="0" w:space="0" w:color="auto"/>
        <w:right w:val="none" w:sz="0" w:space="0" w:color="auto"/>
      </w:divBdr>
    </w:div>
    <w:div w:id="1373379783">
      <w:bodyDiv w:val="1"/>
      <w:marLeft w:val="0"/>
      <w:marRight w:val="0"/>
      <w:marTop w:val="0"/>
      <w:marBottom w:val="0"/>
      <w:divBdr>
        <w:top w:val="none" w:sz="0" w:space="0" w:color="auto"/>
        <w:left w:val="none" w:sz="0" w:space="0" w:color="auto"/>
        <w:bottom w:val="none" w:sz="0" w:space="0" w:color="auto"/>
        <w:right w:val="none" w:sz="0" w:space="0" w:color="auto"/>
      </w:divBdr>
    </w:div>
    <w:div w:id="1373767151">
      <w:bodyDiv w:val="1"/>
      <w:marLeft w:val="0"/>
      <w:marRight w:val="0"/>
      <w:marTop w:val="0"/>
      <w:marBottom w:val="0"/>
      <w:divBdr>
        <w:top w:val="none" w:sz="0" w:space="0" w:color="auto"/>
        <w:left w:val="none" w:sz="0" w:space="0" w:color="auto"/>
        <w:bottom w:val="none" w:sz="0" w:space="0" w:color="auto"/>
        <w:right w:val="none" w:sz="0" w:space="0" w:color="auto"/>
      </w:divBdr>
    </w:div>
    <w:div w:id="178580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keywords/>
  <cp:lastModifiedBy>KK</cp:lastModifiedBy>
  <cp:revision>7</cp:revision>
  <dcterms:created xsi:type="dcterms:W3CDTF">2020-06-16T23:17:00Z</dcterms:created>
  <dcterms:modified xsi:type="dcterms:W3CDTF">2020-06-16T23:55:00Z</dcterms:modified>
</cp:coreProperties>
</file>