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7.0.0 -->
  <w:body>
    <w:p w:rsidR="006B1EF4" w:rsidRPr="006B1EF4" w:rsidP="00722025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 w:cs="Arial"/>
          <w:i/>
          <w:u w:val="single"/>
        </w:rPr>
        <w:t xml:space="preserve">“Threshold” </w:t>
      </w:r>
      <w:r w:rsidRPr="006B1EF4">
        <w:rPr>
          <w:rFonts w:ascii="Calibri" w:hAnsi="Calibri" w:cs="Arial"/>
          <w:i/>
          <w:u w:val="single"/>
        </w:rPr>
        <w:t>Question</w:t>
      </w:r>
      <w:r w:rsidRPr="006B1EF4">
        <w:rPr>
          <w:rFonts w:ascii="Calibri" w:hAnsi="Calibri" w:cs="Arial"/>
          <w:i/>
        </w:rPr>
        <w:t>: Currently, proxy/privacy services are available to companies, noncommercial organizations and individuals.  Should there be any change to this aspect of the current system in the new accreditation standards</w:t>
      </w:r>
      <w:r>
        <w:rPr>
          <w:rStyle w:val="FootnoteReference"/>
          <w:rFonts w:ascii="Calibri" w:hAnsi="Calibri" w:cs="Arial"/>
          <w:i/>
        </w:rPr>
        <w:footnoteReference w:id="2"/>
      </w:r>
      <w:r w:rsidRPr="006B1EF4">
        <w:rPr>
          <w:rFonts w:ascii="Calibri" w:hAnsi="Calibri" w:cs="Arial"/>
          <w:i/>
        </w:rPr>
        <w:t>?</w:t>
      </w:r>
    </w:p>
    <w:p w:rsidR="009E310F" w:rsidRPr="006B1EF4" w:rsidP="00722025">
      <w:pPr>
        <w:rPr>
          <w:rFonts w:asciiTheme="majorHAnsi" w:hAnsiTheme="majorHAnsi"/>
        </w:rPr>
      </w:pPr>
    </w:p>
    <w:p w:rsidR="006B1EF4" w:rsidRPr="006B1EF4" w:rsidP="00722025">
      <w:pPr>
        <w:rPr>
          <w:rFonts w:asciiTheme="majorHAnsi" w:hAnsiTheme="majorHAnsi"/>
        </w:rPr>
      </w:pPr>
      <w:r w:rsidRPr="006B1EF4">
        <w:rPr>
          <w:rFonts w:asciiTheme="majorHAnsi" w:hAnsiTheme="majorHAnsi"/>
        </w:rPr>
        <w:t xml:space="preserve">The WG discussed the practical difficulties </w:t>
      </w:r>
      <w:r>
        <w:rPr>
          <w:rFonts w:asciiTheme="majorHAnsi" w:hAnsiTheme="majorHAnsi"/>
        </w:rPr>
        <w:t>created by</w:t>
      </w:r>
      <w:r w:rsidRPr="006B1EF4">
        <w:rPr>
          <w:rFonts w:asciiTheme="majorHAnsi" w:hAnsiTheme="majorHAnsi"/>
        </w:rPr>
        <w:t xml:space="preserve"> the lack of clear definition as to what is “commercial” </w:t>
      </w:r>
      <w:r>
        <w:rPr>
          <w:rFonts w:asciiTheme="majorHAnsi" w:hAnsiTheme="majorHAnsi"/>
        </w:rPr>
        <w:t>and what is</w:t>
      </w:r>
      <w:r w:rsidRPr="006B1EF4">
        <w:rPr>
          <w:rFonts w:asciiTheme="majorHAnsi" w:hAnsiTheme="majorHAnsi"/>
        </w:rPr>
        <w:t xml:space="preserve"> “noncommercial”. For instance, a distinction could be made on the basis of the individual or organization having a certain corporate form, or on the basis of the activities/transactions the individual or organization engages in</w:t>
      </w:r>
      <w:r>
        <w:rPr>
          <w:rFonts w:asciiTheme="majorHAnsi" w:hAnsiTheme="majorHAnsi"/>
        </w:rPr>
        <w:t xml:space="preserve"> regardless of corporate form</w:t>
      </w:r>
      <w:r w:rsidRPr="006B1EF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In addition, some commercial entities</w:t>
      </w:r>
      <w:r w:rsidRPr="006B1EF4">
        <w:rPr>
          <w:rFonts w:asciiTheme="majorHAnsi" w:hAnsiTheme="majorHAnsi"/>
        </w:rPr>
        <w:t xml:space="preserve"> register and use domain names for noncommercial (e.g. charitable or experimental) purposes. The WG also noted that users of privacy/proxy services included those who may have critically important reasons for using them (e.g. for political speech) as well as those who do so to hide illegal activity.</w:t>
      </w:r>
    </w:p>
    <w:p w:rsidR="006B1EF4" w:rsidRPr="006B1EF4" w:rsidP="00722025">
      <w:pPr>
        <w:rPr>
          <w:rFonts w:asciiTheme="majorHAnsi" w:hAnsiTheme="majorHAnsi"/>
        </w:rPr>
      </w:pPr>
    </w:p>
    <w:p w:rsidR="00BD099A" w:rsidP="007220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overwhelming majority of WG members believe </w:t>
      </w:r>
      <w:r>
        <w:rPr>
          <w:rFonts w:asciiTheme="majorHAnsi" w:hAnsiTheme="majorHAnsi"/>
        </w:rPr>
        <w:t>tha</w:t>
      </w:r>
      <w:r>
        <w:rPr>
          <w:rFonts w:asciiTheme="majorHAnsi" w:hAnsiTheme="majorHAnsi"/>
        </w:rPr>
        <w:t xml:space="preserve"> proxy/privacy services should continue to be available to companies, noncommercial </w:t>
      </w:r>
      <w:r>
        <w:rPr>
          <w:rFonts w:asciiTheme="majorHAnsi" w:hAnsiTheme="majorHAnsi"/>
        </w:rPr>
        <w:t>organizatons</w:t>
      </w:r>
      <w:r>
        <w:rPr>
          <w:rFonts w:asciiTheme="majorHAnsi" w:hAnsiTheme="majorHAnsi"/>
        </w:rPr>
        <w:t xml:space="preserve">, and </w:t>
      </w:r>
      <w:r>
        <w:rPr>
          <w:rFonts w:asciiTheme="majorHAnsi" w:hAnsiTheme="majorHAnsi"/>
        </w:rPr>
        <w:t>invidiuals</w:t>
      </w:r>
      <w:r>
        <w:rPr>
          <w:rFonts w:asciiTheme="majorHAnsi" w:hAnsiTheme="majorHAnsi"/>
        </w:rPr>
        <w:t xml:space="preserve">. Therefore, the answer to that question is </w:t>
      </w:r>
      <w:r>
        <w:rPr>
          <w:rFonts w:asciiTheme="majorHAnsi" w:hAnsiTheme="majorHAnsi"/>
        </w:rPr>
        <w:t>No,</w:t>
      </w:r>
      <w:r>
        <w:rPr>
          <w:rFonts w:asciiTheme="majorHAnsi" w:hAnsiTheme="majorHAnsi"/>
        </w:rPr>
        <w:t xml:space="preserve"> this aspect of the current system should not change. </w:t>
      </w:r>
    </w:p>
    <w:p w:rsidR="00BD099A" w:rsidP="00722025">
      <w:pPr>
        <w:rPr>
          <w:rFonts w:asciiTheme="majorHAnsi" w:hAnsiTheme="majorHAnsi"/>
        </w:rPr>
      </w:pPr>
    </w:p>
    <w:p w:rsidR="00EA32B1" w:rsidP="007220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However, Question C.1. </w:t>
      </w:r>
      <w:r>
        <w:rPr>
          <w:rFonts w:asciiTheme="majorHAnsi" w:hAnsiTheme="majorHAnsi"/>
        </w:rPr>
        <w:t>presents</w:t>
      </w:r>
      <w:r>
        <w:rPr>
          <w:rFonts w:asciiTheme="majorHAnsi" w:hAnsiTheme="majorHAnsi"/>
        </w:rPr>
        <w:t xml:space="preserve"> some disti</w:t>
      </w:r>
      <w:r>
        <w:rPr>
          <w:rFonts w:asciiTheme="majorHAnsi" w:hAnsiTheme="majorHAnsi"/>
        </w:rPr>
        <w:t>nctions that create</w:t>
      </w:r>
      <w:r>
        <w:rPr>
          <w:rFonts w:asciiTheme="majorHAnsi" w:hAnsiTheme="majorHAnsi"/>
        </w:rPr>
        <w:t xml:space="preserve"> a division within the WG. </w:t>
      </w:r>
      <w:r>
        <w:rPr>
          <w:rFonts w:asciiTheme="majorHAnsi" w:hAnsiTheme="majorHAnsi"/>
        </w:rPr>
        <w:t>These issues are the main question and subparts a-c</w:t>
      </w:r>
      <w:r>
        <w:rPr>
          <w:rFonts w:asciiTheme="majorHAnsi" w:hAnsiTheme="majorHAnsi"/>
        </w:rPr>
        <w:t>..</w:t>
      </w:r>
    </w:p>
    <w:p w:rsidR="00EA32B1" w:rsidP="00722025">
      <w:pPr>
        <w:rPr>
          <w:rFonts w:asciiTheme="majorHAnsi" w:hAnsiTheme="majorHAnsi"/>
        </w:rPr>
      </w:pPr>
    </w:p>
    <w:p w:rsidR="00EA32B1" w:rsidRPr="00722025" w:rsidP="00722025">
      <w:pPr>
        <w:widowControl w:val="0"/>
        <w:numPr>
          <w:ilvl w:val="0"/>
          <w:numId w:val="2"/>
        </w:numPr>
        <w:suppressAutoHyphens/>
        <w:ind w:left="0" w:firstLine="0"/>
        <w:rPr>
          <w:rFonts w:asciiTheme="majorHAnsi" w:hAnsiTheme="majorHAnsi" w:cs="Calibri"/>
        </w:rPr>
      </w:pPr>
      <w:r w:rsidRPr="00722025">
        <w:rPr>
          <w:rFonts w:asciiTheme="majorHAnsi" w:hAnsiTheme="majorHAnsi" w:cs="Calibri"/>
        </w:rPr>
        <w:t xml:space="preserve">Should ICANN-accredited privacy/proxy service providers distinguish between domain names used for commercial vs. personal purposes? </w:t>
      </w:r>
      <w:r w:rsidRPr="00722025">
        <w:rPr>
          <w:rFonts w:asciiTheme="majorHAnsi" w:hAnsiTheme="majorHAnsi" w:cs="Calibri"/>
          <w:color w:val="000000"/>
        </w:rPr>
        <w:t xml:space="preserve">Specifically, is </w:t>
      </w:r>
      <w:r w:rsidRPr="00722025">
        <w:rPr>
          <w:rFonts w:asciiTheme="majorHAnsi" w:hAnsiTheme="majorHAnsi" w:cs="Calibri"/>
        </w:rPr>
        <w:t>the use of privacy/proxy services appropriate when a domain name is registered for commercial purposes?</w:t>
      </w:r>
    </w:p>
    <w:p w:rsidR="00EA32B1" w:rsidRPr="00722025" w:rsidP="00722025">
      <w:pPr>
        <w:widowControl w:val="0"/>
        <w:rPr>
          <w:rFonts w:asciiTheme="majorHAnsi" w:hAnsiTheme="majorHAnsi" w:cs="Calibri"/>
        </w:rPr>
      </w:pPr>
    </w:p>
    <w:p w:rsidR="00EA32B1" w:rsidRPr="00722025" w:rsidP="00722025">
      <w:pPr>
        <w:pStyle w:val="listparagraphcxspmiddle"/>
        <w:numPr>
          <w:ilvl w:val="0"/>
          <w:numId w:val="3"/>
        </w:numPr>
        <w:spacing w:before="0" w:after="0" w:line="240" w:lineRule="auto"/>
        <w:ind w:left="0" w:firstLine="360"/>
        <w:contextualSpacing/>
        <w:rPr>
          <w:rFonts w:asciiTheme="majorHAnsi" w:hAnsiTheme="majorHAnsi" w:cs="Calibri"/>
          <w:i/>
          <w:iCs/>
        </w:rPr>
      </w:pPr>
      <w:r w:rsidRPr="00722025">
        <w:rPr>
          <w:rFonts w:asciiTheme="majorHAnsi" w:hAnsiTheme="majorHAnsi" w:cs="Calibri"/>
          <w:i/>
          <w:iCs/>
        </w:rPr>
        <w:t>Define “commercial purpose” – must there be actual “trading”, or does it include any online business purpose (e.g. including for information or education)?</w:t>
      </w:r>
    </w:p>
    <w:p w:rsidR="00EA32B1" w:rsidRPr="00722025" w:rsidP="00722025">
      <w:pPr>
        <w:pStyle w:val="listparagraphcxspmiddle"/>
        <w:numPr>
          <w:ilvl w:val="0"/>
          <w:numId w:val="3"/>
        </w:numPr>
        <w:spacing w:before="0" w:after="0" w:line="240" w:lineRule="auto"/>
        <w:ind w:left="0" w:firstLine="360"/>
        <w:contextualSpacing/>
        <w:rPr>
          <w:rFonts w:asciiTheme="majorHAnsi" w:hAnsiTheme="majorHAnsi" w:cs="Calibri"/>
          <w:i/>
          <w:iCs/>
        </w:rPr>
      </w:pPr>
      <w:r w:rsidRPr="00722025">
        <w:rPr>
          <w:rFonts w:asciiTheme="majorHAnsi" w:hAnsiTheme="majorHAnsi" w:cs="Calibri"/>
          <w:i/>
          <w:iCs/>
        </w:rPr>
        <w:t>Should there be a definition of what constitutes trading? Purpose? Level?</w:t>
      </w:r>
    </w:p>
    <w:p w:rsidR="00EA32B1" w:rsidRPr="00722025" w:rsidP="00722025">
      <w:pPr>
        <w:pStyle w:val="listparagraphcxspmiddle"/>
        <w:numPr>
          <w:ilvl w:val="0"/>
          <w:numId w:val="3"/>
        </w:numPr>
        <w:spacing w:before="0" w:after="0" w:line="240" w:lineRule="auto"/>
        <w:ind w:left="0" w:firstLine="360"/>
        <w:contextualSpacing/>
        <w:rPr>
          <w:rFonts w:asciiTheme="majorHAnsi" w:hAnsiTheme="majorHAnsi" w:cs="Calibri"/>
          <w:i/>
          <w:iCs/>
        </w:rPr>
      </w:pPr>
      <w:r w:rsidRPr="00722025">
        <w:rPr>
          <w:rFonts w:asciiTheme="majorHAnsi" w:hAnsiTheme="majorHAnsi" w:cs="Calibri"/>
          <w:i/>
          <w:iCs/>
        </w:rPr>
        <w:t xml:space="preserve">Any difference between “personal” </w:t>
      </w:r>
      <w:r w:rsidRPr="00722025">
        <w:rPr>
          <w:rFonts w:asciiTheme="majorHAnsi" w:hAnsiTheme="majorHAnsi" w:cs="Calibri"/>
          <w:i/>
          <w:iCs/>
        </w:rPr>
        <w:t>vs</w:t>
      </w:r>
      <w:r w:rsidRPr="00722025">
        <w:rPr>
          <w:rFonts w:asciiTheme="majorHAnsi" w:hAnsiTheme="majorHAnsi" w:cs="Calibri"/>
          <w:i/>
          <w:iCs/>
        </w:rPr>
        <w:t xml:space="preserve"> “noncommercial” </w:t>
      </w:r>
      <w:r w:rsidRPr="00722025">
        <w:rPr>
          <w:rFonts w:asciiTheme="majorHAnsi" w:hAnsiTheme="majorHAnsi" w:cs="Calibri"/>
          <w:i/>
          <w:iCs/>
        </w:rPr>
        <w:t>e.g</w:t>
      </w:r>
      <w:r w:rsidRPr="00722025">
        <w:rPr>
          <w:rFonts w:asciiTheme="majorHAnsi" w:hAnsiTheme="majorHAnsi" w:cs="Calibri"/>
          <w:i/>
          <w:iCs/>
        </w:rPr>
        <w:t xml:space="preserve"> what about noncommercial organizations or noncommercial purposes such as political, hobby, religious or parental?</w:t>
      </w:r>
    </w:p>
    <w:p w:rsidR="00EA32B1" w:rsidP="00722025">
      <w:pPr>
        <w:rPr>
          <w:rFonts w:asciiTheme="majorHAnsi" w:hAnsiTheme="majorHAnsi"/>
        </w:rPr>
      </w:pPr>
    </w:p>
    <w:p w:rsidR="000F446F" w:rsidP="00722025">
      <w:pPr>
        <w:rPr>
          <w:rFonts w:asciiTheme="majorHAnsi" w:hAnsiTheme="majorHAnsi"/>
        </w:rPr>
      </w:pPr>
      <w:r w:rsidRPr="006B1EF4">
        <w:rPr>
          <w:rFonts w:asciiTheme="majorHAnsi" w:hAnsiTheme="majorHAnsi"/>
        </w:rPr>
        <w:t>A majority of WG members did not think it either necessary or practical to distinguish between commercial and noncommercial privacy/proxy service users</w:t>
      </w:r>
      <w:r>
        <w:rPr>
          <w:rFonts w:asciiTheme="majorHAnsi" w:hAnsiTheme="majorHAnsi"/>
        </w:rPr>
        <w:t>, or limit the use of such services</w:t>
      </w:r>
      <w:r w:rsidR="00DB1075">
        <w:rPr>
          <w:rFonts w:asciiTheme="majorHAnsi" w:hAnsiTheme="majorHAnsi"/>
        </w:rPr>
        <w:t xml:space="preserve"> to certain types of use</w:t>
      </w:r>
      <w:r w:rsidR="00EA32B1">
        <w:rPr>
          <w:rFonts w:asciiTheme="majorHAnsi" w:hAnsiTheme="majorHAnsi"/>
        </w:rPr>
        <w:t>s</w:t>
      </w:r>
      <w:r w:rsidR="00DB10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 purposes of ICANN’s proposed accreditation program.</w:t>
      </w:r>
    </w:p>
    <w:p w:rsidR="00BD099A" w:rsidP="007220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B1EF4" w:rsidP="00722025">
      <w:pPr>
        <w:rPr>
          <w:rFonts w:asciiTheme="majorHAnsi" w:hAnsiTheme="majorHAnsi"/>
        </w:rPr>
      </w:pPr>
      <w:r>
        <w:rPr>
          <w:rFonts w:asciiTheme="majorHAnsi" w:hAnsiTheme="majorHAnsi"/>
        </w:rPr>
        <w:t>However, a</w:t>
      </w:r>
      <w:r>
        <w:rPr>
          <w:rFonts w:asciiTheme="majorHAnsi" w:hAnsiTheme="majorHAnsi"/>
        </w:rPr>
        <w:t xml:space="preserve"> minority of WG members disagreed, noting that </w:t>
      </w:r>
      <w:r w:rsidR="006C5B29">
        <w:rPr>
          <w:rFonts w:asciiTheme="majorHAnsi" w:hAnsiTheme="majorHAnsi"/>
        </w:rPr>
        <w:t xml:space="preserve">in the “offline world” businesses </w:t>
      </w:r>
      <w:r>
        <w:rPr>
          <w:rFonts w:asciiTheme="majorHAnsi" w:hAnsiTheme="majorHAnsi"/>
        </w:rPr>
        <w:t xml:space="preserve">often </w:t>
      </w:r>
      <w:r w:rsidR="006C5B29">
        <w:rPr>
          <w:rFonts w:asciiTheme="majorHAnsi" w:hAnsiTheme="majorHAnsi"/>
        </w:rPr>
        <w:t xml:space="preserve">are required to register with the relevant authority as well as disclose details about their identity and location. </w:t>
      </w:r>
      <w:r w:rsidR="00DB1075">
        <w:rPr>
          <w:rFonts w:asciiTheme="majorHAnsi" w:hAnsiTheme="majorHAnsi"/>
        </w:rPr>
        <w:t>These members suggested that not all domains used for commercial purposes, however that is defined, would be ineligible for privacy and proxy registrati</w:t>
      </w:r>
      <w:r>
        <w:rPr>
          <w:rFonts w:asciiTheme="majorHAnsi" w:hAnsiTheme="majorHAnsi"/>
        </w:rPr>
        <w:t xml:space="preserve">ons. </w:t>
      </w:r>
      <w:r w:rsidR="00EA32B1">
        <w:rPr>
          <w:rFonts w:asciiTheme="majorHAnsi" w:hAnsiTheme="majorHAnsi"/>
        </w:rPr>
        <w:t xml:space="preserve">However, domains that conduct financial transactions online must have openly available domain registration information for purposes of, for example, consumer </w:t>
      </w:r>
      <w:r w:rsidR="00EA32B1">
        <w:rPr>
          <w:rFonts w:asciiTheme="majorHAnsi" w:hAnsiTheme="majorHAnsi"/>
        </w:rPr>
        <w:t>self protection</w:t>
      </w:r>
      <w:r w:rsidR="00EA32B1">
        <w:rPr>
          <w:rFonts w:asciiTheme="majorHAnsi" w:hAnsiTheme="majorHAnsi"/>
        </w:rPr>
        <w:t xml:space="preserve"> and </w:t>
      </w:r>
      <w:r w:rsidR="000F446F">
        <w:rPr>
          <w:rFonts w:asciiTheme="majorHAnsi" w:hAnsiTheme="majorHAnsi"/>
        </w:rPr>
        <w:t xml:space="preserve">law enforcement purposes. Such </w:t>
      </w:r>
      <w:r>
        <w:rPr>
          <w:rFonts w:asciiTheme="majorHAnsi" w:hAnsiTheme="majorHAnsi"/>
        </w:rPr>
        <w:t xml:space="preserve">domains </w:t>
      </w:r>
      <w:r w:rsidR="000F446F">
        <w:rPr>
          <w:rFonts w:asciiTheme="majorHAnsi" w:hAnsiTheme="majorHAnsi"/>
        </w:rPr>
        <w:t>sh</w:t>
      </w:r>
      <w:r>
        <w:rPr>
          <w:rFonts w:asciiTheme="majorHAnsi" w:hAnsiTheme="majorHAnsi"/>
        </w:rPr>
        <w:t>ould be precluded from using privacy and proxy registrations.</w:t>
      </w:r>
    </w:p>
    <w:p w:rsidR="00CD016B" w:rsidP="00722025">
      <w:pPr>
        <w:rPr>
          <w:rFonts w:asciiTheme="majorHAnsi" w:hAnsiTheme="majorHAnsi"/>
        </w:rPr>
      </w:pPr>
    </w:p>
    <w:p w:rsidR="00CD016B" w:rsidP="00722025">
      <w:pPr>
        <w:widowControl w:val="0"/>
        <w:suppressAutoHyphens/>
        <w:rPr>
          <w:rFonts w:asciiTheme="majorHAnsi" w:hAnsiTheme="majorHAnsi"/>
        </w:rPr>
      </w:pPr>
      <w:r>
        <w:rPr>
          <w:rFonts w:asciiTheme="majorHAnsi" w:hAnsiTheme="majorHAnsi" w:cs="Calibri"/>
        </w:rPr>
        <w:t>Question C.1 subparts</w:t>
      </w:r>
      <w:r w:rsidR="00722025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a) and b)</w:t>
      </w:r>
      <w:r w:rsidR="00722025">
        <w:rPr>
          <w:rFonts w:asciiTheme="majorHAnsi" w:hAnsiTheme="majorHAnsi" w:cs="Calibri"/>
        </w:rPr>
        <w:t>, which the WG added early in our work to focus discussions,</w:t>
      </w:r>
      <w:r>
        <w:rPr>
          <w:rFonts w:asciiTheme="majorHAnsi" w:hAnsiTheme="majorHAnsi" w:cs="Calibri"/>
        </w:rPr>
        <w:t xml:space="preserve"> suggest defining “commercial” within the context of specific activities, and uses “trading” as an example. However, the </w:t>
      </w:r>
      <w:r w:rsidR="00B0626B">
        <w:rPr>
          <w:rFonts w:asciiTheme="majorHAnsi" w:hAnsiTheme="majorHAnsi" w:cs="Calibri"/>
        </w:rPr>
        <w:t xml:space="preserve">WG discussion has focused on a broad term “commercial” and whether certain types of commercial activity </w:t>
      </w:r>
      <w:r>
        <w:rPr>
          <w:rFonts w:asciiTheme="majorHAnsi" w:hAnsiTheme="majorHAnsi" w:cs="Calibri"/>
        </w:rPr>
        <w:t>mean</w:t>
      </w:r>
      <w:r w:rsidR="00B0626B">
        <w:rPr>
          <w:rFonts w:asciiTheme="majorHAnsi" w:hAnsiTheme="majorHAnsi" w:cs="Calibri"/>
        </w:rPr>
        <w:t xml:space="preserve"> that a domain is not eligible for P/P registration. For clarity as the WG moves forward, we will continue to use “commercial” in a broad sense and “transactional” to address issues raised by the </w:t>
      </w:r>
      <w:r w:rsidR="00FC3A15">
        <w:rPr>
          <w:rFonts w:asciiTheme="majorHAnsi" w:hAnsiTheme="majorHAnsi" w:cs="Calibri"/>
        </w:rPr>
        <w:t xml:space="preserve">position held by the minority in the threshold question.  The minority position </w:t>
      </w:r>
      <w:r w:rsidR="00722025">
        <w:rPr>
          <w:rFonts w:asciiTheme="majorHAnsi" w:hAnsiTheme="majorHAnsi" w:cs="Calibri"/>
        </w:rPr>
        <w:t xml:space="preserve">clearly </w:t>
      </w:r>
      <w:r w:rsidR="00FC3A15">
        <w:rPr>
          <w:rFonts w:asciiTheme="majorHAnsi" w:hAnsiTheme="majorHAnsi" w:cs="Calibri"/>
        </w:rPr>
        <w:t xml:space="preserve">would require a </w:t>
      </w:r>
      <w:r w:rsidR="00722025">
        <w:rPr>
          <w:rFonts w:asciiTheme="majorHAnsi" w:hAnsiTheme="majorHAnsi" w:cs="Calibri"/>
        </w:rPr>
        <w:t xml:space="preserve">formal </w:t>
      </w:r>
      <w:r w:rsidR="00FC3A15">
        <w:rPr>
          <w:rFonts w:asciiTheme="majorHAnsi" w:hAnsiTheme="majorHAnsi" w:cs="Calibri"/>
        </w:rPr>
        <w:t xml:space="preserve">definition of </w:t>
      </w:r>
      <w:r w:rsidR="00722025">
        <w:rPr>
          <w:rFonts w:asciiTheme="majorHAnsi" w:hAnsiTheme="majorHAnsi" w:cs="Calibri"/>
        </w:rPr>
        <w:t>“</w:t>
      </w:r>
      <w:r w:rsidR="00FC3A15">
        <w:rPr>
          <w:rFonts w:asciiTheme="majorHAnsi" w:hAnsiTheme="majorHAnsi" w:cs="Calibri"/>
        </w:rPr>
        <w:t>transactional.</w:t>
      </w:r>
      <w:r w:rsidR="00722025">
        <w:rPr>
          <w:rFonts w:asciiTheme="majorHAnsi" w:hAnsiTheme="majorHAnsi" w:cs="Calibri"/>
        </w:rPr>
        <w:t>”</w:t>
      </w:r>
      <w:r w:rsidR="00FC3A15">
        <w:rPr>
          <w:rFonts w:asciiTheme="majorHAnsi" w:hAnsiTheme="majorHAnsi" w:cs="Calibri"/>
        </w:rPr>
        <w:t xml:space="preserve"> WG discussions have not suggested any need for differentiation between person</w:t>
      </w:r>
      <w:r w:rsidR="00EA32B1">
        <w:rPr>
          <w:rFonts w:asciiTheme="majorHAnsi" w:hAnsiTheme="majorHAnsi" w:cs="Calibri"/>
        </w:rPr>
        <w:t>al</w:t>
      </w:r>
      <w:r w:rsidR="00FC3A15">
        <w:rPr>
          <w:rFonts w:asciiTheme="majorHAnsi" w:hAnsiTheme="majorHAnsi" w:cs="Calibri"/>
        </w:rPr>
        <w:t xml:space="preserve"> and noncommercial usage of a domain.</w:t>
      </w:r>
    </w:p>
    <w:p w:rsidR="00D01457" w:rsidP="00722025">
      <w:pPr>
        <w:rPr>
          <w:rFonts w:asciiTheme="majorHAnsi" w:hAnsiTheme="majorHAnsi"/>
        </w:rPr>
      </w:pPr>
    </w:p>
    <w:p w:rsidR="000F446F" w:rsidP="00722025">
      <w:pPr>
        <w:widowControl w:val="0"/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the foregoing in mind, it seems that overwhelming majority of the WG believes that the answer to C.2 </w:t>
      </w:r>
      <w:r w:rsidR="00B8275D">
        <w:rPr>
          <w:rFonts w:asciiTheme="majorHAnsi" w:hAnsiTheme="majorHAnsi"/>
        </w:rPr>
        <w:t>is No</w:t>
      </w:r>
      <w:r w:rsidR="00B8275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0F446F" w:rsidP="00722025">
      <w:pPr>
        <w:widowControl w:val="0"/>
        <w:suppressAutoHyphens/>
        <w:rPr>
          <w:rFonts w:asciiTheme="majorHAnsi" w:hAnsiTheme="majorHAnsi"/>
        </w:rPr>
      </w:pPr>
    </w:p>
    <w:p w:rsidR="000F446F" w:rsidRPr="00722025" w:rsidP="00722025">
      <w:pPr>
        <w:pStyle w:val="ListParagraph"/>
        <w:widowControl w:val="0"/>
        <w:numPr>
          <w:ilvl w:val="0"/>
          <w:numId w:val="2"/>
        </w:numPr>
        <w:suppressAutoHyphens/>
        <w:ind w:left="0" w:firstLine="0"/>
        <w:rPr>
          <w:rFonts w:asciiTheme="majorHAnsi" w:hAnsiTheme="majorHAnsi" w:cs="Calibri"/>
        </w:rPr>
      </w:pPr>
      <w:r w:rsidRPr="00722025">
        <w:rPr>
          <w:rFonts w:asciiTheme="majorHAnsi" w:hAnsiTheme="majorHAnsi" w:cs="Calibri"/>
        </w:rPr>
        <w:t>Should the use of privacy/proxy services be restricted only to registrants who are private individuals using the domain name for non-commercial purposes?</w:t>
      </w:r>
    </w:p>
    <w:p w:rsidR="006C5B29" w:rsidP="00722025">
      <w:pPr>
        <w:rPr>
          <w:rFonts w:asciiTheme="majorHAnsi" w:hAnsiTheme="majorHAnsi"/>
        </w:rPr>
      </w:pPr>
      <w:bookmarkStart w:id="0" w:name="_GoBack"/>
      <w:bookmarkEnd w:id="0"/>
    </w:p>
    <w:p w:rsidR="006C5B29" w:rsidRPr="006B1EF4" w:rsidP="00722025">
      <w:pPr>
        <w:rPr>
          <w:rFonts w:asciiTheme="majorHAnsi" w:hAnsiTheme="majorHAnsi"/>
        </w:rPr>
      </w:pPr>
      <w:r>
        <w:rPr>
          <w:rFonts w:asciiTheme="majorHAnsi" w:hAnsiTheme="majorHAnsi"/>
        </w:rPr>
        <w:t>Issues discussed likely will arise with respect to matters that the WG will address later. In addition, t</w:t>
      </w:r>
      <w:r>
        <w:rPr>
          <w:rFonts w:asciiTheme="majorHAnsi" w:hAnsiTheme="majorHAnsi"/>
        </w:rPr>
        <w:t xml:space="preserve">he WG may consider requesting community feedback on this question as it continues its deliberations on the questions contained in its charter. </w:t>
      </w:r>
    </w:p>
    <w:sectPr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22025" w:rsidP="006B1EF4">
      <w:r>
        <w:separator/>
      </w:r>
    </w:p>
  </w:footnote>
  <w:footnote w:type="continuationSeparator" w:id="1">
    <w:p w:rsidR="00722025" w:rsidP="006B1EF4">
      <w:r>
        <w:continuationSeparator/>
      </w:r>
    </w:p>
  </w:footnote>
  <w:footnote w:id="2">
    <w:p w:rsidR="00722025" w:rsidRPr="006B1EF4" w:rsidP="006B1EF4">
      <w:pPr>
        <w:pStyle w:val="FootnoteText"/>
        <w:rPr>
          <w:rFonts w:asciiTheme="majorHAnsi" w:hAnsiTheme="majorHAnsi"/>
          <w:sz w:val="20"/>
          <w:szCs w:val="20"/>
        </w:rPr>
      </w:pPr>
      <w:r w:rsidRPr="006B1EF4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6B1EF4">
        <w:rPr>
          <w:rFonts w:asciiTheme="majorHAnsi" w:hAnsiTheme="majorHAnsi"/>
          <w:sz w:val="20"/>
          <w:szCs w:val="20"/>
        </w:rPr>
        <w:t xml:space="preserve"> In agreeing to first discuss this threshold question for Category C, WG members noted also that answers to some questions in this category might be somewhat conditional, in that a Yes/No answer to one may obviate the need to answer others. The </w:t>
      </w:r>
      <w:r>
        <w:rPr>
          <w:rFonts w:asciiTheme="majorHAnsi" w:hAnsiTheme="majorHAnsi"/>
          <w:sz w:val="20"/>
          <w:szCs w:val="20"/>
        </w:rPr>
        <w:t xml:space="preserve">WG also noted that references to the </w:t>
      </w:r>
      <w:r w:rsidRPr="006B1EF4">
        <w:rPr>
          <w:rFonts w:asciiTheme="majorHAnsi" w:hAnsiTheme="majorHAnsi"/>
          <w:sz w:val="20"/>
          <w:szCs w:val="20"/>
        </w:rPr>
        <w:t>“use” of a domain for specific purposes may also implicate content questions.</w:t>
      </w:r>
    </w:p>
    <w:p w:rsidR="0072202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C74B16"/>
    <w:multiLevelType w:val="hybridMultilevel"/>
    <w:tmpl w:val="31EA3AC2"/>
    <w:lvl w:ilvl="0">
      <w:start w:val="1"/>
      <w:numFmt w:val="lowerLetter"/>
      <w:lvlText w:val="%1)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D2262F"/>
    <w:multiLevelType w:val="multilevel"/>
    <w:tmpl w:val="1102E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B4025"/>
    <w:multiLevelType w:val="hybridMultilevel"/>
    <w:tmpl w:val="B548315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17262"/>
    <w:multiLevelType w:val="hybridMultilevel"/>
    <w:tmpl w:val="513E2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oNotTrackMoves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F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B1EF4"/>
  </w:style>
  <w:style w:type="character" w:customStyle="1" w:styleId="FootnoteTextChar">
    <w:name w:val="Footnote Text Char"/>
    <w:basedOn w:val="DefaultParagraphFont"/>
    <w:link w:val="FootnoteText"/>
    <w:uiPriority w:val="99"/>
    <w:rsid w:val="006B1EF4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6B1E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5"/>
    <w:rPr>
      <w:rFonts w:ascii="Lucida Grande" w:eastAsia="Cambria" w:hAnsi="Lucida Grande" w:cs="Lucida Grande"/>
      <w:sz w:val="18"/>
      <w:szCs w:val="18"/>
    </w:rPr>
  </w:style>
  <w:style w:type="paragraph" w:customStyle="1" w:styleId="listparagraphcxspmiddle">
    <w:name w:val="listparagraphcxspmiddle"/>
    <w:basedOn w:val="Normal"/>
    <w:rsid w:val="00EA32B1"/>
    <w:pPr>
      <w:suppressAutoHyphens/>
      <w:spacing w:before="280" w:after="280" w:line="276" w:lineRule="auto"/>
    </w:pPr>
    <w:rPr>
      <w:rFonts w:ascii="Times New Roman" w:eastAsia="MS ??" w:hAnsi="Times New Roman"/>
    </w:rPr>
  </w:style>
  <w:style w:type="paragraph" w:styleId="ListParagraph">
    <w:name w:val="List Paragraph"/>
    <w:basedOn w:val="Normal"/>
    <w:uiPriority w:val="34"/>
    <w:qFormat/>
    <w:rsid w:val="0064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2014-05-20T16:06:56Z</dcterms:created>
  <dcterms:modified xsi:type="dcterms:W3CDTF">2014-05-20T16:06:56Z</dcterms:modified>
</cp:coreProperties>
</file>