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B63" w:rsidRPr="007F522B" w:rsidRDefault="00E41B63" w:rsidP="007F522B">
      <w:pPr>
        <w:jc w:val="both"/>
        <w:rPr>
          <w:rFonts w:ascii="Book Antiqua" w:hAnsi="Book Antiqua"/>
        </w:rPr>
      </w:pPr>
      <w:r w:rsidRPr="007F522B">
        <w:rPr>
          <w:rFonts w:ascii="Book Antiqua" w:hAnsi="Book Antiqua"/>
        </w:rPr>
        <w:t xml:space="preserve">Document Title: </w:t>
      </w:r>
      <w:r w:rsidR="00400AF7" w:rsidRPr="007F522B">
        <w:rPr>
          <w:rFonts w:ascii="Book Antiqua" w:hAnsi="Book Antiqua"/>
        </w:rPr>
        <w:t>South Africa’s Act No. 4 of 2013: Protection of Personal Information Act, 2013</w:t>
      </w:r>
    </w:p>
    <w:p w:rsidR="00E41B63" w:rsidRPr="007F522B" w:rsidRDefault="007F522B" w:rsidP="007F522B">
      <w:pPr>
        <w:jc w:val="both"/>
        <w:rPr>
          <w:rFonts w:ascii="Book Antiqua" w:hAnsi="Book Antiqua"/>
        </w:rPr>
      </w:pPr>
      <w:r w:rsidRPr="007F522B">
        <w:rPr>
          <w:rFonts w:ascii="Book Antiqua" w:hAnsi="Book Antiqua"/>
        </w:rPr>
        <w:t>Assented:</w:t>
      </w:r>
      <w:r w:rsidR="00E41B63" w:rsidRPr="007F522B">
        <w:rPr>
          <w:rFonts w:ascii="Book Antiqua" w:hAnsi="Book Antiqua"/>
        </w:rPr>
        <w:t xml:space="preserve"> </w:t>
      </w:r>
      <w:r w:rsidR="00FF59B5" w:rsidRPr="007F522B">
        <w:rPr>
          <w:rFonts w:ascii="Book Antiqua" w:hAnsi="Book Antiqua"/>
        </w:rPr>
        <w:t>26 November 2013</w:t>
      </w:r>
    </w:p>
    <w:p w:rsidR="00E41B63" w:rsidRPr="007F522B" w:rsidRDefault="00E41B63" w:rsidP="007F522B">
      <w:pPr>
        <w:jc w:val="both"/>
        <w:rPr>
          <w:rFonts w:ascii="Book Antiqua" w:hAnsi="Book Antiqua"/>
        </w:rPr>
      </w:pPr>
    </w:p>
    <w:p w:rsidR="00E41B63" w:rsidRPr="007F522B" w:rsidRDefault="00E04583" w:rsidP="007F522B">
      <w:pPr>
        <w:spacing w:after="283"/>
        <w:jc w:val="both"/>
        <w:rPr>
          <w:rFonts w:ascii="Book Antiqua" w:hAnsi="Book Antiqua"/>
          <w:b/>
          <w:sz w:val="28"/>
        </w:rPr>
      </w:pPr>
      <w:r>
        <w:rPr>
          <w:rFonts w:ascii="Book Antiqua" w:hAnsi="Book Antiqua"/>
          <w:b/>
          <w:sz w:val="28"/>
        </w:rPr>
        <w:t xml:space="preserve">South Africa </w:t>
      </w:r>
      <w:r w:rsidR="007F522B" w:rsidRPr="007F522B">
        <w:rPr>
          <w:rFonts w:ascii="Book Antiqua" w:hAnsi="Book Antiqua"/>
          <w:b/>
          <w:sz w:val="28"/>
        </w:rPr>
        <w:t xml:space="preserve">Protection of Personal Information Act </w:t>
      </w:r>
      <w:hyperlink r:id="rId5" w:history="1"/>
    </w:p>
    <w:p w:rsidR="00E41B63" w:rsidRPr="007F522B" w:rsidRDefault="00400AF7" w:rsidP="007F522B">
      <w:pPr>
        <w:spacing w:after="283"/>
        <w:jc w:val="both"/>
        <w:rPr>
          <w:rFonts w:ascii="Book Antiqua" w:hAnsi="Book Antiqua"/>
          <w:b/>
          <w:bCs/>
        </w:rPr>
      </w:pPr>
      <w:r w:rsidRPr="007F522B">
        <w:rPr>
          <w:rFonts w:ascii="Book Antiqua" w:hAnsi="Book Antiqua"/>
          <w:b/>
          <w:bCs/>
        </w:rPr>
        <w:t xml:space="preserve">Short Title </w:t>
      </w:r>
    </w:p>
    <w:p w:rsidR="00E41B63" w:rsidRPr="007F522B" w:rsidRDefault="00400AF7" w:rsidP="007F522B">
      <w:pPr>
        <w:jc w:val="both"/>
        <w:rPr>
          <w:rFonts w:ascii="Book Antiqua" w:hAnsi="Book Antiqua"/>
        </w:rPr>
      </w:pPr>
      <w:r w:rsidRPr="007F522B">
        <w:rPr>
          <w:rFonts w:ascii="Book Antiqua" w:hAnsi="Book Antiqua"/>
        </w:rPr>
        <w:t>An Act to promote the protection of personal information processed by public and private bodies; to introduce certain conditions so as to establish minimum requirements for the processing of personal information; to provide for the establishment of an Information Regulator to exercise certain powers and to perform certain duties and functions in terms of this Act and the Promotion of Access to Information Act, 2000; to provide for the issuing of codes of conduct; to provide for the rights of persons regarding unsolicited electronic communications and automated decision making; to regulate the flow of personal information across the borders of the Republic; and to provide for matters connected therewith.</w:t>
      </w:r>
    </w:p>
    <w:p w:rsidR="00400AF7" w:rsidRPr="007F522B" w:rsidRDefault="00400AF7" w:rsidP="007F522B">
      <w:pPr>
        <w:jc w:val="both"/>
        <w:rPr>
          <w:rFonts w:ascii="Book Antiqua" w:hAnsi="Book Antiqua"/>
        </w:rPr>
      </w:pPr>
    </w:p>
    <w:p w:rsidR="008C64D8" w:rsidRPr="007F522B" w:rsidRDefault="00E41B63" w:rsidP="007F522B">
      <w:pPr>
        <w:jc w:val="both"/>
        <w:rPr>
          <w:rFonts w:ascii="Book Antiqua" w:hAnsi="Book Antiqua"/>
          <w:b/>
          <w:bCs/>
        </w:rPr>
      </w:pPr>
      <w:r w:rsidRPr="007F522B">
        <w:rPr>
          <w:rFonts w:ascii="Book Antiqua" w:hAnsi="Book Antiqua"/>
          <w:b/>
          <w:bCs/>
        </w:rPr>
        <w:t xml:space="preserve">Summary of </w:t>
      </w:r>
      <w:r w:rsidR="008C64D8" w:rsidRPr="007F522B">
        <w:rPr>
          <w:rFonts w:ascii="Book Antiqua" w:hAnsi="Book Antiqua"/>
          <w:b/>
          <w:bCs/>
        </w:rPr>
        <w:t xml:space="preserve">Relevant </w:t>
      </w:r>
      <w:r w:rsidR="00D051B1" w:rsidRPr="007F522B">
        <w:rPr>
          <w:rFonts w:ascii="Book Antiqua" w:hAnsi="Book Antiqua"/>
          <w:b/>
          <w:bCs/>
        </w:rPr>
        <w:t>Sections</w:t>
      </w:r>
      <w:r w:rsidRPr="007F522B">
        <w:rPr>
          <w:rFonts w:ascii="Book Antiqua" w:hAnsi="Book Antiqua"/>
          <w:b/>
          <w:bCs/>
        </w:rPr>
        <w:t xml:space="preserve"> of </w:t>
      </w:r>
      <w:r w:rsidR="00D051B1" w:rsidRPr="007F522B">
        <w:rPr>
          <w:rFonts w:ascii="Book Antiqua" w:hAnsi="Book Antiqua"/>
          <w:b/>
          <w:bCs/>
        </w:rPr>
        <w:t xml:space="preserve">the </w:t>
      </w:r>
      <w:r w:rsidR="008C64D8" w:rsidRPr="007F522B">
        <w:rPr>
          <w:rFonts w:ascii="Book Antiqua" w:hAnsi="Book Antiqua"/>
          <w:b/>
          <w:bCs/>
        </w:rPr>
        <w:t>Act</w:t>
      </w:r>
      <w:r w:rsidRPr="007F522B">
        <w:rPr>
          <w:rFonts w:ascii="Book Antiqua" w:hAnsi="Book Antiqua"/>
          <w:b/>
          <w:bCs/>
        </w:rPr>
        <w:t xml:space="preserve"> </w:t>
      </w:r>
    </w:p>
    <w:p w:rsidR="00D051B1" w:rsidRPr="007F522B" w:rsidRDefault="00D051B1" w:rsidP="007F522B">
      <w:pPr>
        <w:jc w:val="both"/>
        <w:rPr>
          <w:rFonts w:ascii="Book Antiqua" w:hAnsi="Book Antiqua"/>
        </w:rPr>
      </w:pPr>
      <w:r w:rsidRPr="007F522B">
        <w:rPr>
          <w:rFonts w:ascii="Book Antiqua" w:hAnsi="Book Antiqua"/>
        </w:rPr>
        <w:t>2. Purpose of Act.</w:t>
      </w:r>
    </w:p>
    <w:p w:rsidR="00D051B1" w:rsidRPr="007F522B" w:rsidRDefault="00D051B1" w:rsidP="007F522B">
      <w:pPr>
        <w:jc w:val="both"/>
        <w:rPr>
          <w:rFonts w:ascii="Book Antiqua" w:hAnsi="Book Antiqua"/>
        </w:rPr>
      </w:pPr>
      <w:r w:rsidRPr="007F522B">
        <w:rPr>
          <w:rFonts w:ascii="Book Antiqua" w:hAnsi="Book Antiqua"/>
        </w:rPr>
        <w:t xml:space="preserve"> The purpose of th</w:t>
      </w:r>
      <w:r w:rsidR="004D39CE" w:rsidRPr="007F522B">
        <w:rPr>
          <w:rFonts w:ascii="Book Antiqua" w:hAnsi="Book Antiqua"/>
        </w:rPr>
        <w:t>e</w:t>
      </w:r>
      <w:r w:rsidRPr="007F522B">
        <w:rPr>
          <w:rFonts w:ascii="Book Antiqua" w:hAnsi="Book Antiqua"/>
        </w:rPr>
        <w:t xml:space="preserve"> Act is to—</w:t>
      </w:r>
    </w:p>
    <w:p w:rsidR="00D051B1" w:rsidRPr="007F522B" w:rsidRDefault="00D051B1" w:rsidP="007F522B">
      <w:pPr>
        <w:jc w:val="both"/>
        <w:rPr>
          <w:rFonts w:ascii="Book Antiqua" w:hAnsi="Book Antiqua"/>
        </w:rPr>
      </w:pPr>
      <w:r w:rsidRPr="007F522B">
        <w:rPr>
          <w:rFonts w:ascii="Book Antiqua" w:hAnsi="Book Antiqua"/>
        </w:rPr>
        <w:t xml:space="preserve"> (a) give effect to the constitutional right to privacy, by safeguarding personal information when processed by a responsible party, subject to justifiable limitations that are aimed at—</w:t>
      </w:r>
    </w:p>
    <w:p w:rsidR="00D051B1" w:rsidRPr="007F522B" w:rsidRDefault="00D051B1" w:rsidP="007F522B">
      <w:pPr>
        <w:ind w:left="709"/>
        <w:jc w:val="both"/>
        <w:rPr>
          <w:rFonts w:ascii="Book Antiqua" w:hAnsi="Book Antiqua"/>
        </w:rPr>
      </w:pPr>
      <w:r w:rsidRPr="007F522B">
        <w:rPr>
          <w:rFonts w:ascii="Book Antiqua" w:hAnsi="Book Antiqua"/>
        </w:rPr>
        <w:t xml:space="preserve"> (i) balancing the right to privacy against other rights, particularly the right of access to information; and</w:t>
      </w:r>
    </w:p>
    <w:p w:rsidR="00D051B1" w:rsidRPr="007F522B" w:rsidRDefault="00D051B1" w:rsidP="007F522B">
      <w:pPr>
        <w:ind w:left="709"/>
        <w:jc w:val="both"/>
        <w:rPr>
          <w:rFonts w:ascii="Book Antiqua" w:hAnsi="Book Antiqua"/>
        </w:rPr>
      </w:pPr>
      <w:r w:rsidRPr="007F522B">
        <w:rPr>
          <w:rFonts w:ascii="Book Antiqua" w:hAnsi="Book Antiqua"/>
        </w:rPr>
        <w:t xml:space="preserve"> (ii) protecting important interests, including the free flow of information within the </w:t>
      </w:r>
      <w:r w:rsidR="004D39CE" w:rsidRPr="007F522B">
        <w:rPr>
          <w:rFonts w:ascii="Book Antiqua" w:hAnsi="Book Antiqua"/>
        </w:rPr>
        <w:t>[South Africa]</w:t>
      </w:r>
      <w:r w:rsidRPr="007F522B">
        <w:rPr>
          <w:rFonts w:ascii="Book Antiqua" w:hAnsi="Book Antiqua"/>
        </w:rPr>
        <w:t xml:space="preserve"> and across international borders;</w:t>
      </w:r>
    </w:p>
    <w:p w:rsidR="00D051B1" w:rsidRPr="007F522B" w:rsidRDefault="00D051B1" w:rsidP="007F522B">
      <w:pPr>
        <w:jc w:val="both"/>
        <w:rPr>
          <w:rFonts w:ascii="Book Antiqua" w:hAnsi="Book Antiqua"/>
        </w:rPr>
      </w:pPr>
      <w:r w:rsidRPr="007F522B">
        <w:rPr>
          <w:rFonts w:ascii="Book Antiqua" w:hAnsi="Book Antiqua"/>
        </w:rPr>
        <w:t xml:space="preserve"> (b) regulate the manner in which personal information may be processed, by establishing conditions, in harmony with international standards, that prescribe the minimum threshold requirements for the lawful processing of personal information; </w:t>
      </w:r>
    </w:p>
    <w:p w:rsidR="00D051B1" w:rsidRPr="007F522B" w:rsidRDefault="00D051B1" w:rsidP="007F522B">
      <w:pPr>
        <w:jc w:val="both"/>
        <w:rPr>
          <w:rFonts w:ascii="Book Antiqua" w:hAnsi="Book Antiqua"/>
        </w:rPr>
      </w:pPr>
      <w:r w:rsidRPr="007F522B">
        <w:rPr>
          <w:rFonts w:ascii="Book Antiqua" w:hAnsi="Book Antiqua"/>
        </w:rPr>
        <w:t>(c) provide persons with rights and remedies to protect their personal information from processing that is not in accordance with this Act; and</w:t>
      </w:r>
    </w:p>
    <w:p w:rsidR="00D051B1" w:rsidRPr="007F522B" w:rsidRDefault="00D051B1" w:rsidP="007F522B">
      <w:pPr>
        <w:jc w:val="both"/>
        <w:rPr>
          <w:rFonts w:ascii="Book Antiqua" w:hAnsi="Book Antiqua"/>
        </w:rPr>
      </w:pPr>
      <w:r w:rsidRPr="007F522B">
        <w:rPr>
          <w:rFonts w:ascii="Book Antiqua" w:hAnsi="Book Antiqua"/>
        </w:rPr>
        <w:t xml:space="preserve"> (d) establish voluntary and compulsory measures, including the establishment of an Information Regulator, to ensure respect for and to promote, enforce and </w:t>
      </w:r>
      <w:r w:rsidR="004D39CE" w:rsidRPr="007F522B">
        <w:rPr>
          <w:rFonts w:ascii="Book Antiqua" w:hAnsi="Book Antiqua"/>
        </w:rPr>
        <w:t>fulfill</w:t>
      </w:r>
      <w:r w:rsidRPr="007F522B">
        <w:rPr>
          <w:rFonts w:ascii="Book Antiqua" w:hAnsi="Book Antiqua"/>
        </w:rPr>
        <w:t xml:space="preserve"> the rights protected by this Act.</w:t>
      </w:r>
    </w:p>
    <w:p w:rsidR="00D051B1" w:rsidRPr="007F522B" w:rsidRDefault="00D051B1" w:rsidP="007F522B">
      <w:pPr>
        <w:jc w:val="both"/>
        <w:rPr>
          <w:rFonts w:ascii="Book Antiqua" w:hAnsi="Book Antiqua"/>
        </w:rPr>
      </w:pPr>
    </w:p>
    <w:p w:rsidR="00D051B1" w:rsidRPr="007F522B" w:rsidRDefault="00D051B1" w:rsidP="007F522B">
      <w:pPr>
        <w:jc w:val="both"/>
        <w:rPr>
          <w:rFonts w:ascii="Book Antiqua" w:hAnsi="Book Antiqua"/>
          <w:b/>
          <w:bCs/>
        </w:rPr>
      </w:pPr>
      <w:r w:rsidRPr="007F522B">
        <w:rPr>
          <w:rFonts w:ascii="Book Antiqua" w:hAnsi="Book Antiqua"/>
        </w:rPr>
        <w:t>4. Conditions for lawful processing of data</w:t>
      </w:r>
    </w:p>
    <w:p w:rsidR="004D39CE" w:rsidRPr="007F522B" w:rsidRDefault="00D051B1" w:rsidP="007F522B">
      <w:pPr>
        <w:jc w:val="both"/>
        <w:rPr>
          <w:rFonts w:ascii="Book Antiqua" w:hAnsi="Book Antiqua"/>
        </w:rPr>
      </w:pPr>
      <w:r w:rsidRPr="007F522B">
        <w:rPr>
          <w:rFonts w:ascii="Book Antiqua" w:hAnsi="Book Antiqua"/>
        </w:rPr>
        <w:t>The</w:t>
      </w:r>
      <w:r w:rsidR="004D39CE" w:rsidRPr="007F522B">
        <w:rPr>
          <w:rFonts w:ascii="Book Antiqua" w:hAnsi="Book Antiqua"/>
        </w:rPr>
        <w:t>re are eight</w:t>
      </w:r>
      <w:r w:rsidRPr="007F522B">
        <w:rPr>
          <w:rFonts w:ascii="Book Antiqua" w:hAnsi="Book Antiqua"/>
        </w:rPr>
        <w:t xml:space="preserve"> conditions for the lawful processing of personal information by or</w:t>
      </w:r>
      <w:r w:rsidR="004D39CE" w:rsidRPr="007F522B">
        <w:rPr>
          <w:rFonts w:ascii="Book Antiqua" w:hAnsi="Book Antiqua"/>
        </w:rPr>
        <w:t xml:space="preserve"> for a responsible part. These </w:t>
      </w:r>
      <w:r w:rsidR="00090999" w:rsidRPr="007F522B">
        <w:rPr>
          <w:rFonts w:ascii="Book Antiqua" w:hAnsi="Book Antiqua"/>
        </w:rPr>
        <w:t>are:</w:t>
      </w:r>
      <w:r w:rsidR="004D39CE" w:rsidRPr="007F522B">
        <w:rPr>
          <w:rFonts w:ascii="Book Antiqua" w:hAnsi="Book Antiqua"/>
        </w:rPr>
        <w:t xml:space="preserve"> </w:t>
      </w:r>
      <w:r w:rsidR="00090999" w:rsidRPr="007F522B">
        <w:rPr>
          <w:rFonts w:ascii="Book Antiqua" w:hAnsi="Book Antiqua"/>
        </w:rPr>
        <w:t>a</w:t>
      </w:r>
      <w:r w:rsidR="004D39CE" w:rsidRPr="007F522B">
        <w:rPr>
          <w:rFonts w:ascii="Book Antiqua" w:hAnsi="Book Antiqua"/>
        </w:rPr>
        <w:t>ccountability</w:t>
      </w:r>
      <w:r w:rsidR="00090999" w:rsidRPr="007F522B">
        <w:rPr>
          <w:rFonts w:ascii="Book Antiqua" w:hAnsi="Book Antiqua"/>
        </w:rPr>
        <w:t>, p</w:t>
      </w:r>
      <w:r w:rsidR="004D39CE" w:rsidRPr="007F522B">
        <w:rPr>
          <w:rFonts w:ascii="Book Antiqua" w:hAnsi="Book Antiqua"/>
        </w:rPr>
        <w:t>rocessing limitation</w:t>
      </w:r>
      <w:r w:rsidR="00C05567" w:rsidRPr="007F522B">
        <w:rPr>
          <w:rFonts w:ascii="Book Antiqua" w:hAnsi="Book Antiqua"/>
        </w:rPr>
        <w:t xml:space="preserve"> </w:t>
      </w:r>
      <w:r w:rsidR="00090999" w:rsidRPr="007F522B">
        <w:rPr>
          <w:rFonts w:ascii="Book Antiqua" w:hAnsi="Book Antiqua"/>
        </w:rPr>
        <w:t>(including</w:t>
      </w:r>
      <w:r w:rsidR="002F3248" w:rsidRPr="007F522B">
        <w:rPr>
          <w:rFonts w:ascii="Book Antiqua" w:hAnsi="Book Antiqua"/>
        </w:rPr>
        <w:t xml:space="preserve"> </w:t>
      </w:r>
      <w:r w:rsidR="00C05567" w:rsidRPr="007F522B">
        <w:rPr>
          <w:rFonts w:ascii="Book Antiqua" w:hAnsi="Book Antiqua"/>
        </w:rPr>
        <w:t>minimality)</w:t>
      </w:r>
      <w:r w:rsidR="004D39CE" w:rsidRPr="007F522B">
        <w:rPr>
          <w:rFonts w:ascii="Book Antiqua" w:hAnsi="Book Antiqua"/>
        </w:rPr>
        <w:t xml:space="preserve">, </w:t>
      </w:r>
      <w:r w:rsidR="00090999" w:rsidRPr="007F522B">
        <w:rPr>
          <w:rFonts w:ascii="Book Antiqua" w:hAnsi="Book Antiqua"/>
        </w:rPr>
        <w:t>p</w:t>
      </w:r>
      <w:r w:rsidR="004D39CE" w:rsidRPr="007F522B">
        <w:rPr>
          <w:rFonts w:ascii="Book Antiqua" w:hAnsi="Book Antiqua"/>
        </w:rPr>
        <w:t>urpose specification</w:t>
      </w:r>
      <w:r w:rsidR="002F3248" w:rsidRPr="007F522B">
        <w:rPr>
          <w:rFonts w:ascii="Book Antiqua" w:hAnsi="Book Antiqua"/>
        </w:rPr>
        <w:t xml:space="preserve"> (including </w:t>
      </w:r>
      <w:r w:rsidR="00090999" w:rsidRPr="007F522B">
        <w:rPr>
          <w:rFonts w:ascii="Book Antiqua" w:hAnsi="Book Antiqua"/>
        </w:rPr>
        <w:t>limitations on</w:t>
      </w:r>
      <w:r w:rsidR="002F3248" w:rsidRPr="007F522B">
        <w:rPr>
          <w:rFonts w:ascii="Book Antiqua" w:hAnsi="Book Antiqua"/>
        </w:rPr>
        <w:t xml:space="preserve"> retention)</w:t>
      </w:r>
      <w:r w:rsidR="004D39CE" w:rsidRPr="007F522B">
        <w:rPr>
          <w:rFonts w:ascii="Book Antiqua" w:hAnsi="Book Antiqua"/>
        </w:rPr>
        <w:t xml:space="preserve">, </w:t>
      </w:r>
      <w:r w:rsidR="00090999" w:rsidRPr="007F522B">
        <w:rPr>
          <w:rFonts w:ascii="Book Antiqua" w:hAnsi="Book Antiqua"/>
        </w:rPr>
        <w:t>further</w:t>
      </w:r>
      <w:r w:rsidR="004D39CE" w:rsidRPr="007F522B">
        <w:rPr>
          <w:rFonts w:ascii="Book Antiqua" w:hAnsi="Book Antiqua"/>
        </w:rPr>
        <w:t xml:space="preserve"> processing </w:t>
      </w:r>
      <w:r w:rsidR="00090999" w:rsidRPr="007F522B">
        <w:rPr>
          <w:rFonts w:ascii="Book Antiqua" w:hAnsi="Book Antiqua"/>
        </w:rPr>
        <w:t>limitation, i</w:t>
      </w:r>
      <w:r w:rsidR="004D39CE" w:rsidRPr="007F522B">
        <w:rPr>
          <w:rFonts w:ascii="Book Antiqua" w:hAnsi="Book Antiqua"/>
        </w:rPr>
        <w:t xml:space="preserve">nformation quality, </w:t>
      </w:r>
      <w:r w:rsidR="00090999" w:rsidRPr="007F522B">
        <w:rPr>
          <w:rFonts w:ascii="Book Antiqua" w:hAnsi="Book Antiqua"/>
        </w:rPr>
        <w:t>o</w:t>
      </w:r>
      <w:r w:rsidR="004D39CE" w:rsidRPr="007F522B">
        <w:rPr>
          <w:rFonts w:ascii="Book Antiqua" w:hAnsi="Book Antiqua"/>
        </w:rPr>
        <w:t xml:space="preserve">penness, </w:t>
      </w:r>
      <w:r w:rsidR="00090999" w:rsidRPr="007F522B">
        <w:rPr>
          <w:rFonts w:ascii="Book Antiqua" w:hAnsi="Book Antiqua"/>
        </w:rPr>
        <w:t>s</w:t>
      </w:r>
      <w:r w:rsidR="004D39CE" w:rsidRPr="007F522B">
        <w:rPr>
          <w:rFonts w:ascii="Book Antiqua" w:hAnsi="Book Antiqua"/>
        </w:rPr>
        <w:t xml:space="preserve">ecurity safeguards and </w:t>
      </w:r>
      <w:r w:rsidR="00090999" w:rsidRPr="007F522B">
        <w:rPr>
          <w:rFonts w:ascii="Book Antiqua" w:hAnsi="Book Antiqua"/>
        </w:rPr>
        <w:t>d</w:t>
      </w:r>
      <w:r w:rsidR="004D39CE" w:rsidRPr="007F522B">
        <w:rPr>
          <w:rFonts w:ascii="Book Antiqua" w:hAnsi="Book Antiqua"/>
        </w:rPr>
        <w:t xml:space="preserve">ata subject participation. </w:t>
      </w:r>
    </w:p>
    <w:p w:rsidR="00D051B1" w:rsidRPr="007F522B" w:rsidRDefault="00D051B1" w:rsidP="007F522B">
      <w:pPr>
        <w:jc w:val="both"/>
        <w:rPr>
          <w:rFonts w:ascii="Book Antiqua" w:hAnsi="Book Antiqua"/>
        </w:rPr>
      </w:pPr>
    </w:p>
    <w:p w:rsidR="00D051B1" w:rsidRPr="007F522B" w:rsidRDefault="00D051B1" w:rsidP="007F522B">
      <w:pPr>
        <w:jc w:val="both"/>
        <w:rPr>
          <w:rFonts w:ascii="Book Antiqua" w:hAnsi="Book Antiqua"/>
        </w:rPr>
      </w:pPr>
      <w:r w:rsidRPr="007F522B">
        <w:rPr>
          <w:rFonts w:ascii="Book Antiqua" w:hAnsi="Book Antiqua"/>
        </w:rPr>
        <w:t>5. Rights of data subjects</w:t>
      </w:r>
    </w:p>
    <w:p w:rsidR="00D051B1" w:rsidRPr="007F522B" w:rsidRDefault="00D051B1" w:rsidP="007F522B">
      <w:pPr>
        <w:jc w:val="both"/>
        <w:rPr>
          <w:rFonts w:ascii="Book Antiqua" w:hAnsi="Book Antiqua"/>
        </w:rPr>
      </w:pPr>
      <w:r w:rsidRPr="007F522B">
        <w:rPr>
          <w:rFonts w:ascii="Book Antiqua" w:hAnsi="Book Antiqua"/>
        </w:rPr>
        <w:t xml:space="preserve">Data Subjects have the right </w:t>
      </w:r>
      <w:r w:rsidR="004D39CE" w:rsidRPr="007F522B">
        <w:rPr>
          <w:rFonts w:ascii="Book Antiqua" w:hAnsi="Book Antiqua"/>
        </w:rPr>
        <w:t xml:space="preserve">for their data to be collected according to the eight conditions set out in section 4. In addition, they have the following rights: notification when their data is </w:t>
      </w:r>
      <w:r w:rsidR="004D39CE" w:rsidRPr="007F522B">
        <w:rPr>
          <w:rFonts w:ascii="Book Antiqua" w:hAnsi="Book Antiqua"/>
        </w:rPr>
        <w:lastRenderedPageBreak/>
        <w:t xml:space="preserve">being sought,  </w:t>
      </w:r>
      <w:r w:rsidRPr="007F522B">
        <w:rPr>
          <w:rFonts w:ascii="Book Antiqua" w:hAnsi="Book Antiqua"/>
        </w:rPr>
        <w:t xml:space="preserve"> to be notified that data about them</w:t>
      </w:r>
      <w:r w:rsidR="0020346E">
        <w:rPr>
          <w:rFonts w:ascii="Book Antiqua" w:hAnsi="Book Antiqua"/>
        </w:rPr>
        <w:t xml:space="preserve"> has been accessed</w:t>
      </w:r>
      <w:r w:rsidR="004D39CE" w:rsidRPr="007F522B">
        <w:rPr>
          <w:rFonts w:ascii="Book Antiqua" w:hAnsi="Book Antiqua"/>
        </w:rPr>
        <w:t xml:space="preserve">, access to their information, correction, destruction, deletion of their information, </w:t>
      </w:r>
      <w:r w:rsidR="00C05567" w:rsidRPr="007F522B">
        <w:rPr>
          <w:rFonts w:ascii="Book Antiqua" w:hAnsi="Book Antiqua"/>
        </w:rPr>
        <w:t>object to processing of their information</w:t>
      </w:r>
      <w:r w:rsidRPr="007F522B">
        <w:rPr>
          <w:rFonts w:ascii="Book Antiqua" w:hAnsi="Book Antiqua"/>
        </w:rPr>
        <w:t xml:space="preserve"> </w:t>
      </w:r>
      <w:r w:rsidR="00C05567" w:rsidRPr="007F522B">
        <w:rPr>
          <w:rFonts w:ascii="Book Antiqua" w:hAnsi="Book Antiqua"/>
        </w:rPr>
        <w:t xml:space="preserve">and to institute complaints among other rights. </w:t>
      </w:r>
    </w:p>
    <w:p w:rsidR="00C05567" w:rsidRPr="007F522B" w:rsidRDefault="00C05567" w:rsidP="007F522B">
      <w:pPr>
        <w:jc w:val="both"/>
        <w:rPr>
          <w:rFonts w:ascii="Book Antiqua" w:hAnsi="Book Antiqua"/>
        </w:rPr>
      </w:pPr>
    </w:p>
    <w:p w:rsidR="004D39CE" w:rsidRPr="007F522B" w:rsidRDefault="00132E0C" w:rsidP="007F522B">
      <w:pPr>
        <w:jc w:val="both"/>
        <w:rPr>
          <w:rFonts w:ascii="Book Antiqua" w:hAnsi="Book Antiqua"/>
        </w:rPr>
      </w:pPr>
      <w:r w:rsidRPr="007F522B">
        <w:rPr>
          <w:rFonts w:ascii="Book Antiqua" w:hAnsi="Book Antiqua"/>
        </w:rPr>
        <w:t xml:space="preserve">The law in Chapter </w:t>
      </w:r>
      <w:r w:rsidR="00090999" w:rsidRPr="007F522B">
        <w:rPr>
          <w:rFonts w:ascii="Book Antiqua" w:hAnsi="Book Antiqua"/>
        </w:rPr>
        <w:t xml:space="preserve">3 </w:t>
      </w:r>
      <w:r w:rsidRPr="007F522B">
        <w:rPr>
          <w:rFonts w:ascii="Book Antiqua" w:hAnsi="Book Antiqua"/>
        </w:rPr>
        <w:t xml:space="preserve">Part B (Sections 27-33) deals with special personal information, publication of which is prohibited. </w:t>
      </w:r>
    </w:p>
    <w:p w:rsidR="00132E0C" w:rsidRPr="007F522B" w:rsidRDefault="00132E0C" w:rsidP="007F522B">
      <w:pPr>
        <w:jc w:val="both"/>
        <w:rPr>
          <w:rFonts w:ascii="Book Antiqua" w:hAnsi="Book Antiqua"/>
        </w:rPr>
      </w:pPr>
    </w:p>
    <w:p w:rsidR="00132E0C" w:rsidRPr="007F522B" w:rsidRDefault="00132E0C" w:rsidP="007F522B">
      <w:pPr>
        <w:jc w:val="both"/>
        <w:rPr>
          <w:rFonts w:ascii="Book Antiqua" w:hAnsi="Book Antiqua"/>
        </w:rPr>
      </w:pPr>
      <w:r w:rsidRPr="007F522B">
        <w:rPr>
          <w:rFonts w:ascii="Book Antiqua" w:hAnsi="Book Antiqua"/>
        </w:rPr>
        <w:t xml:space="preserve">Chapter 7 deals with dispute resolution and the regulator may issue codes of conduct for players. Chapter 9 </w:t>
      </w:r>
      <w:r w:rsidR="00090999" w:rsidRPr="007F522B">
        <w:rPr>
          <w:rFonts w:ascii="Book Antiqua" w:hAnsi="Book Antiqua"/>
        </w:rPr>
        <w:t xml:space="preserve">captures the issue of transborder information flows. Data from South Africa may only be exported to a third party with a legal framework for lawful processing of information. </w:t>
      </w:r>
    </w:p>
    <w:p w:rsidR="00090999" w:rsidRPr="007F522B" w:rsidRDefault="00090999" w:rsidP="007F522B">
      <w:pPr>
        <w:jc w:val="both"/>
        <w:rPr>
          <w:rFonts w:ascii="Book Antiqua" w:hAnsi="Book Antiqua"/>
        </w:rPr>
      </w:pPr>
    </w:p>
    <w:p w:rsidR="00E41B63" w:rsidRPr="007F522B" w:rsidRDefault="007F522B" w:rsidP="007F522B">
      <w:pPr>
        <w:jc w:val="both"/>
        <w:rPr>
          <w:rFonts w:ascii="Book Antiqua" w:hAnsi="Book Antiqua"/>
        </w:rPr>
      </w:pPr>
      <w:r>
        <w:rPr>
          <w:rFonts w:ascii="Book Antiqua" w:hAnsi="Book Antiqua"/>
        </w:rPr>
        <w:t>Additional information</w:t>
      </w:r>
      <w:r w:rsidR="00F255E2">
        <w:rPr>
          <w:rFonts w:ascii="Book Antiqua" w:hAnsi="Book Antiqua"/>
        </w:rPr>
        <w:t>:</w:t>
      </w:r>
    </w:p>
    <w:p w:rsidR="00E41B63" w:rsidRPr="007F522B" w:rsidRDefault="00090999" w:rsidP="007F522B">
      <w:pPr>
        <w:jc w:val="both"/>
        <w:rPr>
          <w:rFonts w:ascii="Book Antiqua" w:hAnsi="Book Antiqua"/>
        </w:rPr>
      </w:pPr>
      <w:r w:rsidRPr="007F522B">
        <w:rPr>
          <w:rFonts w:ascii="Book Antiqua" w:hAnsi="Book Antiqua"/>
        </w:rPr>
        <w:t xml:space="preserve">This is an important law as most of the gTLDs in Africa are based in South Africa. </w:t>
      </w:r>
      <w:r w:rsidR="00E41B63" w:rsidRPr="007F522B">
        <w:rPr>
          <w:rFonts w:ascii="Book Antiqua" w:hAnsi="Book Antiqua"/>
        </w:rPr>
        <w:t xml:space="preserve"> </w:t>
      </w:r>
      <w:r w:rsidR="0020346E">
        <w:rPr>
          <w:rFonts w:ascii="Book Antiqua" w:hAnsi="Book Antiqua"/>
        </w:rPr>
        <w:t xml:space="preserve">Additionally, many African countries benchmark with South African law when making their laws. </w:t>
      </w:r>
    </w:p>
    <w:sectPr w:rsidR="00E41B63" w:rsidRPr="007F522B" w:rsidSect="006736A8">
      <w:pgSz w:w="12240" w:h="15840"/>
      <w:pgMar w:top="1134" w:right="1134" w:bottom="1134"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ont291">
    <w:charset w:val="00"/>
    <w:family w:val="auto"/>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400AF7"/>
    <w:rsid w:val="00090999"/>
    <w:rsid w:val="00132E0C"/>
    <w:rsid w:val="0020346E"/>
    <w:rsid w:val="002F3248"/>
    <w:rsid w:val="003C1909"/>
    <w:rsid w:val="00400AF7"/>
    <w:rsid w:val="004D39CE"/>
    <w:rsid w:val="00631F2F"/>
    <w:rsid w:val="006736A8"/>
    <w:rsid w:val="006E2D4A"/>
    <w:rsid w:val="007515B1"/>
    <w:rsid w:val="00766984"/>
    <w:rsid w:val="007F522B"/>
    <w:rsid w:val="008C64D8"/>
    <w:rsid w:val="00937F9C"/>
    <w:rsid w:val="00B52177"/>
    <w:rsid w:val="00C05567"/>
    <w:rsid w:val="00D051B1"/>
    <w:rsid w:val="00E04583"/>
    <w:rsid w:val="00E41B63"/>
    <w:rsid w:val="00F255E2"/>
    <w:rsid w:val="00FF59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6A8"/>
    <w:pPr>
      <w:widowControl w:val="0"/>
      <w:suppressAutoHyphens/>
    </w:pPr>
    <w:rPr>
      <w:rFonts w:eastAsia="SimSun" w:cs="Mangal"/>
      <w:kern w:val="1"/>
      <w:sz w:val="24"/>
      <w:szCs w:val="24"/>
      <w:lang w:val="en-US" w:eastAsia="hi-IN" w:bidi="hi-IN"/>
    </w:rPr>
  </w:style>
  <w:style w:type="paragraph" w:styleId="Heading4">
    <w:name w:val="heading 4"/>
    <w:basedOn w:val="Heading"/>
    <w:next w:val="BodyText"/>
    <w:qFormat/>
    <w:rsid w:val="006736A8"/>
    <w:pPr>
      <w:numPr>
        <w:ilvl w:val="3"/>
        <w:numId w:val="1"/>
      </w:numPr>
      <w:outlineLvl w:val="3"/>
    </w:pPr>
    <w:rPr>
      <w:rFonts w:ascii="Times New Roman" w:eastAsia="SimSu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736A8"/>
  </w:style>
  <w:style w:type="character" w:customStyle="1" w:styleId="WW8Num1z1">
    <w:name w:val="WW8Num1z1"/>
    <w:rsid w:val="006736A8"/>
  </w:style>
  <w:style w:type="character" w:customStyle="1" w:styleId="WW8Num1z2">
    <w:name w:val="WW8Num1z2"/>
    <w:rsid w:val="006736A8"/>
  </w:style>
  <w:style w:type="character" w:customStyle="1" w:styleId="WW8Num1z3">
    <w:name w:val="WW8Num1z3"/>
    <w:rsid w:val="006736A8"/>
  </w:style>
  <w:style w:type="character" w:customStyle="1" w:styleId="WW8Num1z4">
    <w:name w:val="WW8Num1z4"/>
    <w:rsid w:val="006736A8"/>
  </w:style>
  <w:style w:type="character" w:customStyle="1" w:styleId="WW8Num1z5">
    <w:name w:val="WW8Num1z5"/>
    <w:rsid w:val="006736A8"/>
  </w:style>
  <w:style w:type="character" w:customStyle="1" w:styleId="WW8Num1z6">
    <w:name w:val="WW8Num1z6"/>
    <w:rsid w:val="006736A8"/>
  </w:style>
  <w:style w:type="character" w:customStyle="1" w:styleId="WW8Num1z7">
    <w:name w:val="WW8Num1z7"/>
    <w:rsid w:val="006736A8"/>
  </w:style>
  <w:style w:type="character" w:customStyle="1" w:styleId="WW8Num1z8">
    <w:name w:val="WW8Num1z8"/>
    <w:rsid w:val="006736A8"/>
  </w:style>
  <w:style w:type="character" w:customStyle="1" w:styleId="ListLabel6">
    <w:name w:val="ListLabel 6"/>
    <w:rsid w:val="006736A8"/>
    <w:rPr>
      <w:rFonts w:cs="font291"/>
      <w:color w:val="365F91"/>
      <w:u w:val="none"/>
    </w:rPr>
  </w:style>
  <w:style w:type="character" w:customStyle="1" w:styleId="ListLabel2">
    <w:name w:val="ListLabel 2"/>
    <w:rsid w:val="006736A8"/>
    <w:rPr>
      <w:rFonts w:cs="Courier New"/>
    </w:rPr>
  </w:style>
  <w:style w:type="character" w:styleId="Hyperlink">
    <w:name w:val="Hyperlink"/>
    <w:rsid w:val="006736A8"/>
    <w:rPr>
      <w:color w:val="000080"/>
      <w:u w:val="single"/>
    </w:rPr>
  </w:style>
  <w:style w:type="character" w:styleId="FollowedHyperlink">
    <w:name w:val="FollowedHyperlink"/>
    <w:rsid w:val="006736A8"/>
    <w:rPr>
      <w:color w:val="800000"/>
      <w:u w:val="single"/>
    </w:rPr>
  </w:style>
  <w:style w:type="paragraph" w:customStyle="1" w:styleId="Heading">
    <w:name w:val="Heading"/>
    <w:basedOn w:val="Normal"/>
    <w:next w:val="BodyText"/>
    <w:rsid w:val="006736A8"/>
    <w:pPr>
      <w:keepNext/>
      <w:spacing w:before="240" w:after="120"/>
    </w:pPr>
    <w:rPr>
      <w:rFonts w:ascii="Arial" w:eastAsia="Microsoft YaHei" w:hAnsi="Arial"/>
      <w:sz w:val="28"/>
      <w:szCs w:val="28"/>
    </w:rPr>
  </w:style>
  <w:style w:type="paragraph" w:styleId="BodyText">
    <w:name w:val="Body Text"/>
    <w:basedOn w:val="Normal"/>
    <w:rsid w:val="006736A8"/>
    <w:pPr>
      <w:spacing w:after="120"/>
    </w:pPr>
  </w:style>
  <w:style w:type="paragraph" w:styleId="List">
    <w:name w:val="List"/>
    <w:basedOn w:val="BodyText"/>
    <w:rsid w:val="006736A8"/>
  </w:style>
  <w:style w:type="paragraph" w:styleId="Caption">
    <w:name w:val="caption"/>
    <w:basedOn w:val="Normal"/>
    <w:qFormat/>
    <w:rsid w:val="006736A8"/>
    <w:pPr>
      <w:suppressLineNumbers/>
      <w:spacing w:before="120" w:after="120"/>
    </w:pPr>
    <w:rPr>
      <w:i/>
      <w:iCs/>
    </w:rPr>
  </w:style>
  <w:style w:type="paragraph" w:customStyle="1" w:styleId="Index">
    <w:name w:val="Index"/>
    <w:basedOn w:val="Normal"/>
    <w:rsid w:val="006736A8"/>
    <w:pPr>
      <w:suppressLineNumbers/>
    </w:pPr>
  </w:style>
  <w:style w:type="paragraph" w:styleId="ListParagraph">
    <w:name w:val="List Paragraph"/>
    <w:basedOn w:val="Normal"/>
    <w:qFormat/>
    <w:rsid w:val="006736A8"/>
    <w:pPr>
      <w:ind w:left="720"/>
    </w:pPr>
  </w:style>
  <w:style w:type="paragraph" w:customStyle="1" w:styleId="TableContents">
    <w:name w:val="Table Contents"/>
    <w:basedOn w:val="Normal"/>
    <w:rsid w:val="006736A8"/>
    <w:pPr>
      <w:suppressLineNumbers/>
    </w:pPr>
  </w:style>
  <w:style w:type="paragraph" w:customStyle="1" w:styleId="TableHeading">
    <w:name w:val="Table Heading"/>
    <w:basedOn w:val="TableContents"/>
    <w:rsid w:val="006736A8"/>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e.int/en/web/conventions/search-on-treaties/-/conventions/treaty/108?_coeconventions_WAR_coeconventionsportlet_languageId=ru_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Links>
    <vt:vector size="6" baseType="variant">
      <vt:variant>
        <vt:i4>5505087</vt:i4>
      </vt:variant>
      <vt:variant>
        <vt:i4>0</vt:i4>
      </vt:variant>
      <vt:variant>
        <vt:i4>0</vt:i4>
      </vt:variant>
      <vt:variant>
        <vt:i4>5</vt:i4>
      </vt:variant>
      <vt:variant>
        <vt:lpwstr>http://www.coe.int/en/web/conventions/search-on-treaties/-/conventions/treaty/108?_coeconventions_WAR_coeconventionsportlet_languageId=ru_RU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GRACE</cp:lastModifiedBy>
  <cp:revision>9</cp:revision>
  <cp:lastPrinted>1601-01-01T00:00:00Z</cp:lastPrinted>
  <dcterms:created xsi:type="dcterms:W3CDTF">2016-04-12T06:58:00Z</dcterms:created>
  <dcterms:modified xsi:type="dcterms:W3CDTF">2016-04-13T16:27:00Z</dcterms:modified>
</cp:coreProperties>
</file>