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Possible requirements from:</w:t>
      </w:r>
    </w:p>
    <w:p>
      <w:pPr>
        <w:pStyle w:val="Body"/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DESCRIPTION OF 2013 RAA DATA RETENTION SPECIFICATION DATA ELEMENTS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AND POTENTIALLY LEGITIMATE PURPOSES FOR COLLECTION/RETENTION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DISCUSSION DRAFT ONLY 21 March 2014</w:t>
      </w:r>
    </w:p>
    <w:p>
      <w:pPr>
        <w:pStyle w:val="No Spacing"/>
        <w:ind w:left="720" w:hanging="720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pacing w:val="-1"/>
          <w:sz w:val="24"/>
          <w:szCs w:val="24"/>
          <w:u w:val="single"/>
          <w:rtl w:val="0"/>
          <w:lang w:val="en-US"/>
        </w:rPr>
        <w:t>Description of the document: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 xml:space="preserve">This document lists  and describes all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data elements that can be collected by the registrars in accordance with the 2013 RAA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it provides reasons / legitimate purposes for that collection and retention.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Possible requirements stemming from this document:</w:t>
      </w:r>
    </w:p>
    <w:p>
      <w:pPr>
        <w:pStyle w:val="Body"/>
      </w:pPr>
    </w:p>
    <w:p>
      <w:pPr>
        <w:pStyle w:val="Body"/>
        <w:spacing w:after="200"/>
        <w:jc w:val="left"/>
      </w:pPr>
      <w:r>
        <w:rPr>
          <w:rFonts w:ascii="Arial" w:hAnsi="Arial"/>
          <w:sz w:val="24"/>
          <w:szCs w:val="24"/>
          <w:rtl w:val="0"/>
          <w:lang w:val="en-US"/>
        </w:rPr>
        <w:t>Users/Purposes (UP)</w:t>
      </w:r>
      <w:r>
        <w:rPr>
          <w:rFonts w:ascii="Arial" w:hAnsi="Arial"/>
          <w:sz w:val="24"/>
          <w:szCs w:val="24"/>
          <w:rtl w:val="0"/>
          <w:lang w:val="en-US"/>
        </w:rPr>
        <w:t xml:space="preserve">: </w:t>
      </w:r>
      <w:r>
        <w:rPr>
          <w:rFonts w:ascii="Arial" w:hAnsi="Arial"/>
          <w:sz w:val="24"/>
          <w:szCs w:val="24"/>
          <w:rtl w:val="0"/>
          <w:lang w:val="en-US"/>
        </w:rPr>
        <w:t>The following possible requirements address the charter question on Users and Purposes (UP):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Who should</w:t>
      </w:r>
      <w:r>
        <w:rPr>
          <w:rFonts w:ascii="Trebuchet MS" w:hAnsi="Trebuchet MS"/>
          <w:i w:val="1"/>
          <w:iCs w:val="1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have access to gTLD registration data &amp; why?</w:t>
      </w:r>
    </w:p>
    <w:p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Registrars</w:t>
      </w:r>
      <w:r>
        <w:rPr>
          <w:rFonts w:ascii="Arial" w:hAnsi="Arial"/>
          <w:sz w:val="24"/>
          <w:szCs w:val="24"/>
          <w:rtl w:val="0"/>
          <w:lang w:val="en-US"/>
        </w:rPr>
        <w:t xml:space="preserve"> should have access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standard data elements</w:t>
      </w:r>
      <w:r>
        <w:rPr>
          <w:rFonts w:ascii="Arial" w:hAnsi="Arial"/>
          <w:sz w:val="24"/>
          <w:szCs w:val="24"/>
          <w:rtl w:val="0"/>
          <w:lang w:val="en-US"/>
        </w:rPr>
        <w:t xml:space="preserve"> (First and last name of the registrant, Technical contact and billing contact, Postal address, Email address, Telephone number, T</w:t>
      </w:r>
      <w:r>
        <w:rPr>
          <w:rFonts w:ascii="Arial" w:hAnsi="Arial"/>
          <w:sz w:val="24"/>
          <w:szCs w:val="24"/>
          <w:rtl w:val="0"/>
          <w:lang w:val="en-US"/>
        </w:rPr>
        <w:t>ypes of domain name services purchased</w:t>
      </w:r>
      <w:r>
        <w:rPr>
          <w:rFonts w:ascii="Arial" w:hAnsi="Arial"/>
          <w:sz w:val="24"/>
          <w:szCs w:val="24"/>
          <w:rtl w:val="0"/>
          <w:lang w:val="en-US"/>
        </w:rPr>
        <w:t>, i</w:t>
      </w:r>
      <w:r>
        <w:rPr>
          <w:rFonts w:ascii="Arial" w:hAnsi="Arial"/>
          <w:sz w:val="24"/>
          <w:szCs w:val="24"/>
          <w:rtl w:val="0"/>
          <w:lang w:val="fr-FR"/>
        </w:rPr>
        <w:t xml:space="preserve">nformation </w:t>
      </w:r>
      <w:r>
        <w:rPr>
          <w:rFonts w:ascii="Arial" w:hAnsi="Arial"/>
          <w:sz w:val="24"/>
          <w:szCs w:val="24"/>
          <w:rtl w:val="0"/>
          <w:lang w:val="en-US"/>
        </w:rPr>
        <w:t>on t</w:t>
      </w:r>
      <w:r>
        <w:rPr>
          <w:rFonts w:ascii="Arial" w:hAnsi="Arial"/>
          <w:sz w:val="24"/>
          <w:szCs w:val="24"/>
          <w:rtl w:val="0"/>
          <w:lang w:val="en-US"/>
        </w:rPr>
        <w:t>he means and source of payment</w:t>
      </w:r>
      <w:r>
        <w:rPr>
          <w:rFonts w:ascii="Arial" w:hAnsi="Arial"/>
          <w:sz w:val="24"/>
          <w:szCs w:val="24"/>
          <w:rtl w:val="0"/>
          <w:lang w:val="en-US"/>
        </w:rPr>
        <w:t xml:space="preserve">) for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billing, billing disputes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</w:pPr>
    </w:p>
    <w:p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u w:val="single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The public community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 should have access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WHOIS Information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 (describe in the WHOIS Specification) in order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mitigate abuse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, 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address hijacking, theft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 and</w:t>
      </w:r>
      <w:r>
        <w:rPr>
          <w:rFonts w:ascii="Arial" w:hAnsi="Arial"/>
          <w:sz w:val="24"/>
          <w:szCs w:val="24"/>
          <w:u w:val="none"/>
          <w:rtl w:val="0"/>
          <w:lang w:val="it-IT"/>
        </w:rPr>
        <w:t xml:space="preserve"> slamming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.</w:t>
      </w:r>
    </w:p>
    <w:p>
      <w:pPr>
        <w:pStyle w:val="Body"/>
      </w:pPr>
    </w:p>
    <w:p>
      <w:pPr>
        <w:pStyle w:val="Body"/>
        <w:numPr>
          <w:ilvl w:val="0"/>
          <w:numId w:val="1"/>
        </w:numPr>
        <w:rPr>
          <w:rFonts w:ascii="Arial" w:hAnsi="Arial"/>
          <w:sz w:val="24"/>
          <w:szCs w:val="24"/>
          <w:u w:val="single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Registrars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 should have access to and be able to collect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records of communications with the registrant regarding the registration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 (l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og files including communication sources, IP, ISP, behaviour on the website, method of transmission, source IP address, HTTP header, email, Skype handle associated with communication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 xml:space="preserve">) in order to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mitigate f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raud prevention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, for b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illing disputes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, for commercial purposes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