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From DT1 Output: </w:t>
      </w:r>
      <w:hyperlink r:id="rId6">
        <w:r w:rsidDel="00000000" w:rsidR="00000000" w:rsidRPr="00000000">
          <w:rPr>
            <w:color w:val="0563c1"/>
            <w:u w:val="single"/>
            <w:rtl w:val="0"/>
          </w:rPr>
          <w:t xml:space="preserve">https://community.icann.org/download/attachments/74580012/DT1%20-%20TechIssues-Research-final.pdf</w:t>
        </w:r>
      </w:hyperlink>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left="360" w:firstLine="0"/>
        <w:contextualSpacing w:val="0"/>
        <w:rPr/>
      </w:pPr>
      <w:r w:rsidDel="00000000" w:rsidR="00000000" w:rsidRPr="00000000">
        <w:rPr>
          <w:b w:val="1"/>
          <w:rtl w:val="0"/>
        </w:rPr>
        <w:t xml:space="preserve">Definition:</w:t>
      </w:r>
      <w:r w:rsidDel="00000000" w:rsidR="00000000" w:rsidRPr="00000000">
        <w:rPr>
          <w:i w:val="1"/>
          <w:rtl w:val="0"/>
        </w:rPr>
        <w:t xml:space="preserve"> Information collected to enable use of registration data elements by researchers and other similar persons, as a source for academic or other public interest studies or research,  relating either solely or in part to the use of the DNS.</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Who associated with the domain name registration needs to be identified and/or contacted for the purpose of Academic or Public Interest DNS Research?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Entities who buy/sell, register, or use domain names may benefit indirectly from academic or public interest DNS research.</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The entities to be identified or contacted about each domain name registration (hereafter referred to as research subjects) depend upon the nature of the research, but may include the domain name’s current owner (the Registrant), the domain name’s current user (who may or may not be the customer of a Privacy/Proxy provider), a Privacy/Proxy provider associated with the domain name, or the Registrar of record associated with the domain name.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Identification of research subjects is often not strictly necessary for this purpose; for example, research that is performed through aggregation of domain name characteristics obtained from registration data, without regard to registrant or registrar. However, for research tasks such as determining a domain name’s registration history, identifying the past and present entities associated with a specific domain name may be essential to the study.</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Contact with each entity for research purposes may not be necessary or desired by those entities. For example, the GNSO-sponsored study of WHOIS abuse included surveying registrants about their experiences with abuse of contact data published in WHOIS – this study was performed for the indirect benefit of all entities with contact data in WHOIS. However, some entities may view unsolicited survey invitations as intrusive or perceive contactability for research as a risk not benefit.</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What is the objective achieved by identifying and/or contacting each of those entities?</w:t>
      </w:r>
    </w:p>
    <w:p w:rsidR="00000000" w:rsidDel="00000000" w:rsidP="00000000" w:rsidRDefault="00000000" w:rsidRPr="00000000" w14:paraId="0000000F">
      <w:pPr>
        <w:keepNext w:val="1"/>
        <w:keepLines w:val="1"/>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The party initiating contact (e.g., Internet researcher, ICANN, government) has an interest in performing the study (e.g., cybercrime research, WHOIS accuracy studies, Internet proliferation studies, legal and economic analysis of the DNS or domain name registration systems, research to inform public policy). As such, that party benefits directly from access to WHOIS data for this purpose, including data associated with the research subject or domain name that may not be personally-identifiable information (e.g., country of the registrant, sponsoring registrar).</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The entity being identified or contacted for this purpose may not directly benefit, but may indirectly benefit through reduction in cybercrime, improvements in public policy, fewer data inaccuracies, Internet capacity building, enforcement of laws, consumer protection, etc. Benefits to the research subject depend upon the nature of the research.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In some cases, the research subject may benefit directly – for example, if a prospective buyer is researching the history of a domain name before purchasing it from a willing and interested seller.</w:t>
      </w:r>
    </w:p>
    <w:p w:rsidR="00000000" w:rsidDel="00000000" w:rsidP="00000000" w:rsidRDefault="00000000" w:rsidRPr="00000000" w14:paraId="0000001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What might be expected of that entity with regard to the domain name?</w:t>
      </w:r>
    </w:p>
    <w:p w:rsidR="00000000" w:rsidDel="00000000" w:rsidP="00000000" w:rsidRDefault="00000000" w:rsidRPr="00000000" w14:paraId="00000016">
      <w:pPr>
        <w:keepNext w:val="1"/>
        <w:contextualSpacing w:val="0"/>
        <w:rPr/>
      </w:pPr>
      <w:r w:rsidDel="00000000" w:rsidR="00000000" w:rsidRPr="00000000">
        <w:rPr>
          <w:rtl w:val="0"/>
        </w:rPr>
      </w:r>
    </w:p>
    <w:p w:rsidR="00000000" w:rsidDel="00000000" w:rsidP="00000000" w:rsidRDefault="00000000" w:rsidRPr="00000000" w14:paraId="00000017">
      <w:pPr>
        <w:contextualSpacing w:val="0"/>
        <w:rPr/>
      </w:pPr>
      <w:bookmarkStart w:colFirst="0" w:colLast="0" w:name="_gjdgxs" w:id="0"/>
      <w:bookmarkEnd w:id="0"/>
      <w:r w:rsidDel="00000000" w:rsidR="00000000" w:rsidRPr="00000000">
        <w:rPr>
          <w:rtl w:val="0"/>
        </w:rPr>
        <w:t xml:space="preserve">The identified or contacted entity has no obligation to respond to communication initiated for academic or public interest DNS research.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RDS Purpose: Academic or Public Interest DNS Research</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DT1 Answers to Questions – First Draft for DT Review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mmunity.icann.org/download/attachments/74580012/DT1%20-%20TechIssues-Research-final.pdf"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