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BA58D" w14:textId="776BC9D8" w:rsidR="00815273" w:rsidRPr="00815273" w:rsidRDefault="00815273">
      <w:pPr>
        <w:rPr>
          <w:b/>
        </w:rPr>
      </w:pPr>
      <w:r w:rsidRPr="00815273">
        <w:rPr>
          <w:b/>
        </w:rPr>
        <w:t>DATA EXTRACTED FROM</w:t>
      </w:r>
      <w:r>
        <w:rPr>
          <w:b/>
        </w:rPr>
        <w:t xml:space="preserve"> DELOITTE, IBM &amp; ICANN WEBINARS</w:t>
      </w:r>
      <w:r w:rsidR="00A84BDD">
        <w:rPr>
          <w:b/>
        </w:rPr>
        <w:t xml:space="preserve"> AND STAFF RPMs PAPER </w:t>
      </w:r>
      <w:bookmarkStart w:id="0" w:name="_GoBack"/>
      <w:bookmarkEnd w:id="0"/>
    </w:p>
    <w:p w14:paraId="19EACE65" w14:textId="77777777" w:rsidR="00815273" w:rsidRDefault="00815273"/>
    <w:p w14:paraId="5FFCA6B2" w14:textId="77777777" w:rsidR="00815273" w:rsidRDefault="00815273">
      <w:r w:rsidRPr="00815273">
        <w:rPr>
          <w:u w:val="single"/>
        </w:rPr>
        <w:t>March 2013</w:t>
      </w:r>
      <w:r>
        <w:t>:</w:t>
      </w:r>
    </w:p>
    <w:p w14:paraId="7A93E8BB" w14:textId="77777777" w:rsidR="00815273" w:rsidRDefault="002048F7">
      <w:r>
        <w:t xml:space="preserve">138 </w:t>
      </w:r>
      <w:r w:rsidR="00815273">
        <w:t xml:space="preserve">records </w:t>
      </w:r>
      <w:r>
        <w:t xml:space="preserve">submitted </w:t>
      </w:r>
      <w:r w:rsidR="00815273">
        <w:t xml:space="preserve">in </w:t>
      </w:r>
      <w:r>
        <w:t xml:space="preserve">March 2013 </w:t>
      </w:r>
      <w:r w:rsidR="00815273">
        <w:t xml:space="preserve">(launch date) </w:t>
      </w:r>
    </w:p>
    <w:p w14:paraId="1754479F" w14:textId="77777777" w:rsidR="00815273" w:rsidRDefault="00815273"/>
    <w:p w14:paraId="174C51A4" w14:textId="77777777" w:rsidR="00815273" w:rsidRDefault="00815273">
      <w:r w:rsidRPr="00815273">
        <w:rPr>
          <w:u w:val="single"/>
        </w:rPr>
        <w:t>January 2014</w:t>
      </w:r>
      <w:r>
        <w:t>:</w:t>
      </w:r>
    </w:p>
    <w:p w14:paraId="65E4C0DD" w14:textId="77777777" w:rsidR="00815273" w:rsidRDefault="00815273">
      <w:r>
        <w:t>Highest number submitted in a month during the first year of operation: 2726</w:t>
      </w:r>
    </w:p>
    <w:p w14:paraId="13C7D8A5" w14:textId="77777777" w:rsidR="002048F7" w:rsidRDefault="002048F7"/>
    <w:p w14:paraId="74CEFD2B" w14:textId="77777777" w:rsidR="00815273" w:rsidRDefault="002048F7">
      <w:r w:rsidRPr="00815273">
        <w:rPr>
          <w:u w:val="single"/>
        </w:rPr>
        <w:t>March 2014</w:t>
      </w:r>
      <w:r w:rsidR="00815273">
        <w:t>:</w:t>
      </w:r>
      <w:r>
        <w:t xml:space="preserve"> </w:t>
      </w:r>
    </w:p>
    <w:p w14:paraId="43D3428C" w14:textId="77777777" w:rsidR="00815273" w:rsidRDefault="00DA70F3">
      <w:r>
        <w:t xml:space="preserve">88% </w:t>
      </w:r>
      <w:r w:rsidR="00815273">
        <w:t xml:space="preserve">of marks </w:t>
      </w:r>
      <w:r w:rsidR="002048F7">
        <w:t xml:space="preserve">were </w:t>
      </w:r>
      <w:r>
        <w:t>submitted by TM agents</w:t>
      </w:r>
    </w:p>
    <w:p w14:paraId="1AACCC4E" w14:textId="77777777" w:rsidR="009D7663" w:rsidRDefault="00DA70F3">
      <w:r>
        <w:t>1 in 2 opted for multi-year registrations</w:t>
      </w:r>
    </w:p>
    <w:p w14:paraId="72267ED6" w14:textId="77777777" w:rsidR="00DA70F3" w:rsidRDefault="00DA70F3">
      <w:r>
        <w:t>29</w:t>
      </w:r>
      <w:r w:rsidR="00815273">
        <w:t>,</w:t>
      </w:r>
      <w:r w:rsidRPr="00DA70F3">
        <w:t>634</w:t>
      </w:r>
      <w:r>
        <w:t xml:space="preserve"> notifications </w:t>
      </w:r>
      <w:r w:rsidR="00815273">
        <w:t xml:space="preserve">had been </w:t>
      </w:r>
      <w:r>
        <w:t>sent to TM holders</w:t>
      </w:r>
    </w:p>
    <w:p w14:paraId="49DCC1EA" w14:textId="77777777" w:rsidR="002048F7" w:rsidRDefault="002048F7"/>
    <w:p w14:paraId="350816AF" w14:textId="77777777" w:rsidR="00DA70F3" w:rsidRPr="00DA70F3" w:rsidRDefault="00DA70F3" w:rsidP="00DA70F3">
      <w:r>
        <w:t>Top 10 countries</w:t>
      </w:r>
      <w:r w:rsidR="00815273">
        <w:t xml:space="preserve"> submitting into the TMCH</w:t>
      </w:r>
      <w:r>
        <w:t xml:space="preserve"> (total over 10 scripts and 115 jurisdictions):</w:t>
      </w:r>
    </w:p>
    <w:p w14:paraId="125B07E7" w14:textId="77777777" w:rsidR="00DA70F3" w:rsidRPr="00DA70F3" w:rsidRDefault="00DA70F3" w:rsidP="00DA70F3">
      <w:r w:rsidRPr="00DA70F3">
        <w:t>1.UNITED STATES</w:t>
      </w:r>
    </w:p>
    <w:p w14:paraId="494AD19B" w14:textId="77777777" w:rsidR="00DA70F3" w:rsidRPr="00DA70F3" w:rsidRDefault="00DA70F3" w:rsidP="00DA70F3">
      <w:r w:rsidRPr="00DA70F3">
        <w:t>2.GERMANY</w:t>
      </w:r>
    </w:p>
    <w:p w14:paraId="5657F2FC" w14:textId="77777777" w:rsidR="00DA70F3" w:rsidRPr="00DA70F3" w:rsidRDefault="00DA70F3" w:rsidP="00DA70F3">
      <w:r w:rsidRPr="00DA70F3">
        <w:t>3.FRANCE</w:t>
      </w:r>
    </w:p>
    <w:p w14:paraId="071198EC" w14:textId="77777777" w:rsidR="00DA70F3" w:rsidRPr="00DA70F3" w:rsidRDefault="00DA70F3" w:rsidP="00DA70F3">
      <w:r w:rsidRPr="00DA70F3">
        <w:t>4.UNITED KINGDOM</w:t>
      </w:r>
    </w:p>
    <w:p w14:paraId="49245460" w14:textId="77777777" w:rsidR="00DA70F3" w:rsidRPr="00DA70F3" w:rsidRDefault="00DA70F3" w:rsidP="00DA70F3">
      <w:r w:rsidRPr="00DA70F3">
        <w:t>5.SWITZERLAND</w:t>
      </w:r>
    </w:p>
    <w:p w14:paraId="11C5BB06" w14:textId="77777777" w:rsidR="00DA70F3" w:rsidRPr="00DA70F3" w:rsidRDefault="00DA70F3" w:rsidP="00DA70F3">
      <w:r w:rsidRPr="00DA70F3">
        <w:t>6.SPAIN</w:t>
      </w:r>
    </w:p>
    <w:p w14:paraId="69A487FB" w14:textId="77777777" w:rsidR="00DA70F3" w:rsidRPr="00DA70F3" w:rsidRDefault="00DA70F3" w:rsidP="00DA70F3">
      <w:r w:rsidRPr="00DA70F3">
        <w:t>7.ITALY</w:t>
      </w:r>
    </w:p>
    <w:p w14:paraId="680187DD" w14:textId="77777777" w:rsidR="00DA70F3" w:rsidRPr="00DA70F3" w:rsidRDefault="00DA70F3" w:rsidP="00DA70F3">
      <w:r w:rsidRPr="00DA70F3">
        <w:t>8.SWEDEN</w:t>
      </w:r>
    </w:p>
    <w:p w14:paraId="1DC627C4" w14:textId="77777777" w:rsidR="00DA70F3" w:rsidRPr="00DA70F3" w:rsidRDefault="00DA70F3" w:rsidP="00DA70F3">
      <w:r w:rsidRPr="00DA70F3">
        <w:t>9.JAPAN</w:t>
      </w:r>
    </w:p>
    <w:p w14:paraId="55F0550E" w14:textId="77777777" w:rsidR="00DA70F3" w:rsidRPr="00DA70F3" w:rsidRDefault="00DA70F3" w:rsidP="00DA70F3">
      <w:r w:rsidRPr="00DA70F3">
        <w:t>10.AUSTRALIA</w:t>
      </w:r>
    </w:p>
    <w:p w14:paraId="7FFBE588" w14:textId="77777777" w:rsidR="00DA70F3" w:rsidRDefault="00DA70F3"/>
    <w:p w14:paraId="7DA17E60" w14:textId="77777777" w:rsidR="002048F7" w:rsidRDefault="002048F7">
      <w:r w:rsidRPr="00815273">
        <w:rPr>
          <w:u w:val="single"/>
        </w:rPr>
        <w:t>Oct</w:t>
      </w:r>
      <w:r w:rsidR="00815273" w:rsidRPr="00815273">
        <w:rPr>
          <w:u w:val="single"/>
        </w:rPr>
        <w:t>ober</w:t>
      </w:r>
      <w:r w:rsidRPr="00815273">
        <w:rPr>
          <w:u w:val="single"/>
        </w:rPr>
        <w:t xml:space="preserve"> 2014</w:t>
      </w:r>
      <w:r>
        <w:t>:</w:t>
      </w:r>
    </w:p>
    <w:p w14:paraId="377A1F56" w14:textId="77777777" w:rsidR="002048F7" w:rsidRDefault="002048F7">
      <w:r>
        <w:t>Highest sunrise total: 713</w:t>
      </w:r>
    </w:p>
    <w:p w14:paraId="631106D3" w14:textId="77777777" w:rsidR="002048F7" w:rsidRDefault="002048F7">
      <w:r>
        <w:t>Average per gTLD: 113 (based on 228 gTLDs)</w:t>
      </w:r>
    </w:p>
    <w:p w14:paraId="1F3FABAA" w14:textId="77777777" w:rsidR="002048F7" w:rsidRDefault="002048F7"/>
    <w:p w14:paraId="68A95885" w14:textId="77777777" w:rsidR="002048F7" w:rsidRDefault="00815273">
      <w:r w:rsidRPr="00815273">
        <w:rPr>
          <w:u w:val="single"/>
        </w:rPr>
        <w:t>As of</w:t>
      </w:r>
      <w:r w:rsidR="002048F7" w:rsidRPr="00815273">
        <w:rPr>
          <w:u w:val="single"/>
        </w:rPr>
        <w:t xml:space="preserve"> July 2014</w:t>
      </w:r>
      <w:r w:rsidR="002048F7">
        <w:t>:</w:t>
      </w:r>
    </w:p>
    <w:p w14:paraId="43B5D642" w14:textId="77777777" w:rsidR="002048F7" w:rsidRDefault="002048F7" w:rsidP="002048F7">
      <w:r w:rsidRPr="002048F7">
        <w:t xml:space="preserve">Claims notices sent: 6,361,411 </w:t>
      </w:r>
    </w:p>
    <w:p w14:paraId="31E98A0E" w14:textId="77777777" w:rsidR="002048F7" w:rsidRDefault="002048F7" w:rsidP="002048F7">
      <w:r w:rsidRPr="002048F7">
        <w:t xml:space="preserve">Cumulative Claims transactions: 60,735 </w:t>
      </w:r>
    </w:p>
    <w:p w14:paraId="6761FA06" w14:textId="77777777" w:rsidR="002048F7" w:rsidRDefault="002048F7" w:rsidP="002048F7">
      <w:r w:rsidRPr="002048F7">
        <w:t xml:space="preserve">Average Claims transactions per </w:t>
      </w:r>
      <w:r>
        <w:t>g</w:t>
      </w:r>
      <w:r w:rsidRPr="002048F7">
        <w:t xml:space="preserve">TLD: 299 (based on 228 </w:t>
      </w:r>
      <w:r>
        <w:t>g</w:t>
      </w:r>
      <w:r w:rsidRPr="002048F7">
        <w:t xml:space="preserve">TLDs) </w:t>
      </w:r>
    </w:p>
    <w:p w14:paraId="56B33851" w14:textId="77777777" w:rsidR="00E259A8" w:rsidRDefault="00E259A8" w:rsidP="002048F7"/>
    <w:p w14:paraId="34844D66" w14:textId="529A10F4" w:rsidR="00E259A8" w:rsidRDefault="00E259A8" w:rsidP="002048F7">
      <w:r>
        <w:rPr>
          <w:u w:val="single"/>
        </w:rPr>
        <w:t>December 2014:</w:t>
      </w:r>
    </w:p>
    <w:p w14:paraId="7B8944BE" w14:textId="77777777" w:rsidR="00E259A8" w:rsidRDefault="00E259A8" w:rsidP="002048F7"/>
    <w:p w14:paraId="5C1F20A3" w14:textId="30D3174D" w:rsidR="00E259A8" w:rsidRPr="00E259A8" w:rsidRDefault="00E259A8" w:rsidP="00E259A8">
      <w:r>
        <w:t>27% of SMD</w:t>
      </w:r>
      <w:r>
        <w:rPr>
          <w:rStyle w:val="FootnoteReference"/>
        </w:rPr>
        <w:footnoteReference w:id="1"/>
      </w:r>
      <w:r>
        <w:t xml:space="preserve"> files have been </w:t>
      </w:r>
      <w:r>
        <w:t>used in at least one Sunrise period.</w:t>
      </w:r>
    </w:p>
    <w:p w14:paraId="1036FEEF" w14:textId="77777777" w:rsidR="00D31AD2" w:rsidRDefault="00D31AD2" w:rsidP="002048F7"/>
    <w:p w14:paraId="2E1AC849" w14:textId="181A0B59" w:rsidR="00C9121B" w:rsidRDefault="00C9121B" w:rsidP="002048F7">
      <w:pPr>
        <w:rPr>
          <w:u w:val="single"/>
        </w:rPr>
      </w:pPr>
      <w:r>
        <w:rPr>
          <w:u w:val="single"/>
        </w:rPr>
        <w:t>May 2015</w:t>
      </w:r>
    </w:p>
    <w:p w14:paraId="2D211805" w14:textId="77777777" w:rsidR="00C9121B" w:rsidRDefault="00C9121B" w:rsidP="00C9121B">
      <w:r>
        <w:t>Top 20 jurisdictions for registered trademarks, according to number of records accepted for inclusion in the TMCH between March 2013 and May 2015</w:t>
      </w:r>
    </w:p>
    <w:p w14:paraId="658FCD76" w14:textId="77777777" w:rsidR="00C9121B" w:rsidRDefault="00C9121B" w:rsidP="00C912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9121B" w14:paraId="0D655F41" w14:textId="77777777" w:rsidTr="002E1E77">
        <w:tc>
          <w:tcPr>
            <w:tcW w:w="4675" w:type="dxa"/>
          </w:tcPr>
          <w:p w14:paraId="69A3369B" w14:textId="77777777" w:rsidR="00C9121B" w:rsidRPr="00C9121B" w:rsidRDefault="00C9121B" w:rsidP="002E1E77">
            <w:pPr>
              <w:jc w:val="center"/>
              <w:rPr>
                <w:b/>
              </w:rPr>
            </w:pPr>
            <w:r w:rsidRPr="00C9121B">
              <w:rPr>
                <w:rFonts w:eastAsia="Times New Roman"/>
                <w:b/>
              </w:rPr>
              <w:lastRenderedPageBreak/>
              <w:t>Jurisdiction</w:t>
            </w:r>
          </w:p>
        </w:tc>
        <w:tc>
          <w:tcPr>
            <w:tcW w:w="4675" w:type="dxa"/>
          </w:tcPr>
          <w:p w14:paraId="3572BA64" w14:textId="77777777" w:rsidR="00C9121B" w:rsidRPr="00C9121B" w:rsidRDefault="00C9121B" w:rsidP="002E1E77">
            <w:pPr>
              <w:jc w:val="center"/>
              <w:rPr>
                <w:b/>
              </w:rPr>
            </w:pPr>
            <w:r w:rsidRPr="00C9121B">
              <w:rPr>
                <w:rFonts w:eastAsia="Times New Roman"/>
                <w:b/>
              </w:rPr>
              <w:t>Verified Registered Trademarks</w:t>
            </w:r>
          </w:p>
        </w:tc>
      </w:tr>
      <w:tr w:rsidR="00C9121B" w14:paraId="29819450" w14:textId="77777777" w:rsidTr="002E1E77">
        <w:tc>
          <w:tcPr>
            <w:tcW w:w="4675" w:type="dxa"/>
          </w:tcPr>
          <w:p w14:paraId="0503FAB0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 w:rsidRPr="00C9121B">
              <w:rPr>
                <w:rFonts w:eastAsia="Times New Roman"/>
              </w:rPr>
              <w:t xml:space="preserve">United States </w:t>
            </w:r>
          </w:p>
        </w:tc>
        <w:tc>
          <w:tcPr>
            <w:tcW w:w="4675" w:type="dxa"/>
          </w:tcPr>
          <w:p w14:paraId="04B4DCA7" w14:textId="77777777" w:rsidR="00C9121B" w:rsidRDefault="00C9121B" w:rsidP="002E1E77">
            <w:r w:rsidRPr="00EB569C">
              <w:rPr>
                <w:rFonts w:eastAsia="Times New Roman"/>
              </w:rPr>
              <w:t>13,145</w:t>
            </w:r>
          </w:p>
        </w:tc>
      </w:tr>
      <w:tr w:rsidR="00C9121B" w14:paraId="0B0ED225" w14:textId="77777777" w:rsidTr="002E1E77">
        <w:tc>
          <w:tcPr>
            <w:tcW w:w="4675" w:type="dxa"/>
          </w:tcPr>
          <w:p w14:paraId="6B2389E4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Office for Harmonization in the Internal Market (EU)</w:t>
            </w:r>
          </w:p>
        </w:tc>
        <w:tc>
          <w:tcPr>
            <w:tcW w:w="4675" w:type="dxa"/>
          </w:tcPr>
          <w:p w14:paraId="4D6DDEF2" w14:textId="77777777" w:rsidR="00C9121B" w:rsidRDefault="00C9121B" w:rsidP="002E1E77">
            <w:r w:rsidRPr="00C9121B">
              <w:t>5,816</w:t>
            </w:r>
          </w:p>
        </w:tc>
      </w:tr>
      <w:tr w:rsidR="00C9121B" w14:paraId="73B4FD4C" w14:textId="77777777" w:rsidTr="002E1E77">
        <w:tc>
          <w:tcPr>
            <w:tcW w:w="4675" w:type="dxa"/>
          </w:tcPr>
          <w:p w14:paraId="52A07BF4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 w:rsidRPr="00C9121B">
              <w:t>France</w:t>
            </w:r>
          </w:p>
        </w:tc>
        <w:tc>
          <w:tcPr>
            <w:tcW w:w="4675" w:type="dxa"/>
          </w:tcPr>
          <w:p w14:paraId="71C0276A" w14:textId="77777777" w:rsidR="00C9121B" w:rsidRDefault="00C9121B" w:rsidP="002E1E77">
            <w:r w:rsidRPr="00C9121B">
              <w:t>1,654</w:t>
            </w:r>
          </w:p>
        </w:tc>
      </w:tr>
      <w:tr w:rsidR="00C9121B" w14:paraId="0E28F3A0" w14:textId="77777777" w:rsidTr="002E1E77">
        <w:tc>
          <w:tcPr>
            <w:tcW w:w="4675" w:type="dxa"/>
          </w:tcPr>
          <w:p w14:paraId="01664D1E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World Intellectual Property Organization</w:t>
            </w:r>
          </w:p>
        </w:tc>
        <w:tc>
          <w:tcPr>
            <w:tcW w:w="4675" w:type="dxa"/>
          </w:tcPr>
          <w:p w14:paraId="4CA918CB" w14:textId="77777777" w:rsidR="00C9121B" w:rsidRDefault="00C9121B" w:rsidP="002E1E77">
            <w:r>
              <w:t>1,825</w:t>
            </w:r>
          </w:p>
        </w:tc>
      </w:tr>
      <w:tr w:rsidR="00C9121B" w14:paraId="5F28FDD5" w14:textId="77777777" w:rsidTr="002E1E77">
        <w:tc>
          <w:tcPr>
            <w:tcW w:w="4675" w:type="dxa"/>
          </w:tcPr>
          <w:p w14:paraId="5416F1D4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Germany</w:t>
            </w:r>
          </w:p>
        </w:tc>
        <w:tc>
          <w:tcPr>
            <w:tcW w:w="4675" w:type="dxa"/>
          </w:tcPr>
          <w:p w14:paraId="0F482E68" w14:textId="77777777" w:rsidR="00C9121B" w:rsidRDefault="00C9121B" w:rsidP="002E1E77">
            <w:r>
              <w:t>1,408</w:t>
            </w:r>
          </w:p>
        </w:tc>
      </w:tr>
      <w:tr w:rsidR="00C9121B" w14:paraId="7621D409" w14:textId="77777777" w:rsidTr="002E1E77">
        <w:tc>
          <w:tcPr>
            <w:tcW w:w="4675" w:type="dxa"/>
          </w:tcPr>
          <w:p w14:paraId="429EBB1B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UK</w:t>
            </w:r>
          </w:p>
        </w:tc>
        <w:tc>
          <w:tcPr>
            <w:tcW w:w="4675" w:type="dxa"/>
          </w:tcPr>
          <w:p w14:paraId="5E7CD5C5" w14:textId="77777777" w:rsidR="00C9121B" w:rsidRDefault="00C9121B" w:rsidP="002E1E77">
            <w:r>
              <w:t>1,256</w:t>
            </w:r>
          </w:p>
        </w:tc>
      </w:tr>
      <w:tr w:rsidR="00C9121B" w14:paraId="58F952C1" w14:textId="77777777" w:rsidTr="002E1E77">
        <w:tc>
          <w:tcPr>
            <w:tcW w:w="4675" w:type="dxa"/>
          </w:tcPr>
          <w:p w14:paraId="0AD04593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Australia</w:t>
            </w:r>
          </w:p>
        </w:tc>
        <w:tc>
          <w:tcPr>
            <w:tcW w:w="4675" w:type="dxa"/>
          </w:tcPr>
          <w:p w14:paraId="7309C5E2" w14:textId="77777777" w:rsidR="00C9121B" w:rsidRDefault="00C9121B" w:rsidP="002E1E77">
            <w:r>
              <w:t>905</w:t>
            </w:r>
          </w:p>
        </w:tc>
      </w:tr>
      <w:tr w:rsidR="00C9121B" w14:paraId="4B44CECD" w14:textId="77777777" w:rsidTr="002E1E77">
        <w:tc>
          <w:tcPr>
            <w:tcW w:w="4675" w:type="dxa"/>
          </w:tcPr>
          <w:p w14:paraId="6FE8A66E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Spain</w:t>
            </w:r>
          </w:p>
        </w:tc>
        <w:tc>
          <w:tcPr>
            <w:tcW w:w="4675" w:type="dxa"/>
          </w:tcPr>
          <w:p w14:paraId="4B45AE84" w14:textId="77777777" w:rsidR="00C9121B" w:rsidRDefault="00C9121B" w:rsidP="002E1E77">
            <w:r>
              <w:t>714</w:t>
            </w:r>
          </w:p>
        </w:tc>
      </w:tr>
      <w:tr w:rsidR="00C9121B" w14:paraId="6BA7723B" w14:textId="77777777" w:rsidTr="002E1E77">
        <w:tc>
          <w:tcPr>
            <w:tcW w:w="4675" w:type="dxa"/>
          </w:tcPr>
          <w:p w14:paraId="29BE67F0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Canada</w:t>
            </w:r>
          </w:p>
        </w:tc>
        <w:tc>
          <w:tcPr>
            <w:tcW w:w="4675" w:type="dxa"/>
          </w:tcPr>
          <w:p w14:paraId="08A63762" w14:textId="77777777" w:rsidR="00C9121B" w:rsidRDefault="00C9121B" w:rsidP="002E1E77">
            <w:r>
              <w:t>713</w:t>
            </w:r>
          </w:p>
        </w:tc>
      </w:tr>
      <w:tr w:rsidR="00C9121B" w14:paraId="23A0D868" w14:textId="77777777" w:rsidTr="002E1E77">
        <w:tc>
          <w:tcPr>
            <w:tcW w:w="4675" w:type="dxa"/>
          </w:tcPr>
          <w:p w14:paraId="11D63427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Japan</w:t>
            </w:r>
          </w:p>
        </w:tc>
        <w:tc>
          <w:tcPr>
            <w:tcW w:w="4675" w:type="dxa"/>
          </w:tcPr>
          <w:p w14:paraId="619B733D" w14:textId="77777777" w:rsidR="00C9121B" w:rsidRDefault="00C9121B" w:rsidP="002E1E77">
            <w:r>
              <w:t>708</w:t>
            </w:r>
          </w:p>
        </w:tc>
      </w:tr>
      <w:tr w:rsidR="00C9121B" w14:paraId="576E391E" w14:textId="77777777" w:rsidTr="002E1E77">
        <w:tc>
          <w:tcPr>
            <w:tcW w:w="4675" w:type="dxa"/>
          </w:tcPr>
          <w:p w14:paraId="6C9AE12D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China</w:t>
            </w:r>
          </w:p>
        </w:tc>
        <w:tc>
          <w:tcPr>
            <w:tcW w:w="4675" w:type="dxa"/>
          </w:tcPr>
          <w:p w14:paraId="0CBD5B8F" w14:textId="77777777" w:rsidR="00C9121B" w:rsidRDefault="00C9121B" w:rsidP="002E1E77">
            <w:r>
              <w:t>639</w:t>
            </w:r>
          </w:p>
        </w:tc>
      </w:tr>
      <w:tr w:rsidR="00C9121B" w14:paraId="2594AD40" w14:textId="77777777" w:rsidTr="002E1E77">
        <w:tc>
          <w:tcPr>
            <w:tcW w:w="4675" w:type="dxa"/>
          </w:tcPr>
          <w:p w14:paraId="3A920845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Benelux Trademarks and Design Office</w:t>
            </w:r>
          </w:p>
        </w:tc>
        <w:tc>
          <w:tcPr>
            <w:tcW w:w="4675" w:type="dxa"/>
          </w:tcPr>
          <w:p w14:paraId="0F5406C7" w14:textId="77777777" w:rsidR="00C9121B" w:rsidRDefault="00C9121B" w:rsidP="002E1E77">
            <w:r>
              <w:t>518</w:t>
            </w:r>
          </w:p>
        </w:tc>
      </w:tr>
      <w:tr w:rsidR="00C9121B" w14:paraId="06F664D0" w14:textId="77777777" w:rsidTr="002E1E77">
        <w:tc>
          <w:tcPr>
            <w:tcW w:w="4675" w:type="dxa"/>
          </w:tcPr>
          <w:p w14:paraId="53C7497D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Switzerland</w:t>
            </w:r>
          </w:p>
        </w:tc>
        <w:tc>
          <w:tcPr>
            <w:tcW w:w="4675" w:type="dxa"/>
          </w:tcPr>
          <w:p w14:paraId="1F5B2710" w14:textId="77777777" w:rsidR="00C9121B" w:rsidRDefault="00C9121B" w:rsidP="002E1E77">
            <w:r>
              <w:t>350</w:t>
            </w:r>
          </w:p>
        </w:tc>
      </w:tr>
      <w:tr w:rsidR="00C9121B" w14:paraId="36B4590C" w14:textId="77777777" w:rsidTr="002E1E77">
        <w:tc>
          <w:tcPr>
            <w:tcW w:w="4675" w:type="dxa"/>
          </w:tcPr>
          <w:p w14:paraId="3586246E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Sweden</w:t>
            </w:r>
          </w:p>
        </w:tc>
        <w:tc>
          <w:tcPr>
            <w:tcW w:w="4675" w:type="dxa"/>
          </w:tcPr>
          <w:p w14:paraId="76305185" w14:textId="77777777" w:rsidR="00C9121B" w:rsidRDefault="00C9121B" w:rsidP="002E1E77">
            <w:r>
              <w:t>321</w:t>
            </w:r>
          </w:p>
        </w:tc>
      </w:tr>
      <w:tr w:rsidR="00C9121B" w14:paraId="69886A49" w14:textId="77777777" w:rsidTr="002E1E77">
        <w:tc>
          <w:tcPr>
            <w:tcW w:w="4675" w:type="dxa"/>
          </w:tcPr>
          <w:p w14:paraId="3FC8F368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New Zealand</w:t>
            </w:r>
          </w:p>
        </w:tc>
        <w:tc>
          <w:tcPr>
            <w:tcW w:w="4675" w:type="dxa"/>
          </w:tcPr>
          <w:p w14:paraId="1B2EB2A7" w14:textId="77777777" w:rsidR="00C9121B" w:rsidRDefault="00C9121B" w:rsidP="002E1E77">
            <w:r>
              <w:t>186</w:t>
            </w:r>
          </w:p>
        </w:tc>
      </w:tr>
      <w:tr w:rsidR="00C9121B" w14:paraId="4904C8F3" w14:textId="77777777" w:rsidTr="002E1E77">
        <w:tc>
          <w:tcPr>
            <w:tcW w:w="4675" w:type="dxa"/>
          </w:tcPr>
          <w:p w14:paraId="31626682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Italy</w:t>
            </w:r>
          </w:p>
        </w:tc>
        <w:tc>
          <w:tcPr>
            <w:tcW w:w="4675" w:type="dxa"/>
          </w:tcPr>
          <w:p w14:paraId="270369F6" w14:textId="77777777" w:rsidR="00C9121B" w:rsidRDefault="00C9121B" w:rsidP="002E1E77">
            <w:r>
              <w:t>177</w:t>
            </w:r>
          </w:p>
        </w:tc>
      </w:tr>
      <w:tr w:rsidR="00C9121B" w14:paraId="3B616C86" w14:textId="77777777" w:rsidTr="002E1E77">
        <w:tc>
          <w:tcPr>
            <w:tcW w:w="4675" w:type="dxa"/>
          </w:tcPr>
          <w:p w14:paraId="579DF029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Hong Kong</w:t>
            </w:r>
          </w:p>
        </w:tc>
        <w:tc>
          <w:tcPr>
            <w:tcW w:w="4675" w:type="dxa"/>
          </w:tcPr>
          <w:p w14:paraId="61134596" w14:textId="77777777" w:rsidR="00C9121B" w:rsidRDefault="00C9121B" w:rsidP="002E1E77">
            <w:r>
              <w:t>170</w:t>
            </w:r>
          </w:p>
        </w:tc>
      </w:tr>
      <w:tr w:rsidR="00C9121B" w14:paraId="53EBB1BA" w14:textId="77777777" w:rsidTr="002E1E77">
        <w:tc>
          <w:tcPr>
            <w:tcW w:w="4675" w:type="dxa"/>
          </w:tcPr>
          <w:p w14:paraId="238D3323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South Africa</w:t>
            </w:r>
          </w:p>
        </w:tc>
        <w:tc>
          <w:tcPr>
            <w:tcW w:w="4675" w:type="dxa"/>
          </w:tcPr>
          <w:p w14:paraId="7AEF931D" w14:textId="77777777" w:rsidR="00C9121B" w:rsidRDefault="00C9121B" w:rsidP="002E1E77">
            <w:r>
              <w:t>167</w:t>
            </w:r>
          </w:p>
        </w:tc>
      </w:tr>
      <w:tr w:rsidR="00C9121B" w14:paraId="239C0C60" w14:textId="77777777" w:rsidTr="002E1E77">
        <w:tc>
          <w:tcPr>
            <w:tcW w:w="4675" w:type="dxa"/>
          </w:tcPr>
          <w:p w14:paraId="140DFF85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Russian Federation</w:t>
            </w:r>
          </w:p>
        </w:tc>
        <w:tc>
          <w:tcPr>
            <w:tcW w:w="4675" w:type="dxa"/>
          </w:tcPr>
          <w:p w14:paraId="781047B6" w14:textId="77777777" w:rsidR="00C9121B" w:rsidRDefault="00C9121B" w:rsidP="002E1E77">
            <w:r>
              <w:t>154</w:t>
            </w:r>
          </w:p>
        </w:tc>
      </w:tr>
      <w:tr w:rsidR="00C9121B" w14:paraId="28F15EB6" w14:textId="77777777" w:rsidTr="002E1E77">
        <w:tc>
          <w:tcPr>
            <w:tcW w:w="4675" w:type="dxa"/>
          </w:tcPr>
          <w:p w14:paraId="34939113" w14:textId="77777777" w:rsidR="00C9121B" w:rsidRDefault="00C9121B" w:rsidP="002E1E77">
            <w:pPr>
              <w:pStyle w:val="ListParagraph"/>
              <w:numPr>
                <w:ilvl w:val="0"/>
                <w:numId w:val="1"/>
              </w:numPr>
            </w:pPr>
            <w:r>
              <w:t>Mexico</w:t>
            </w:r>
          </w:p>
        </w:tc>
        <w:tc>
          <w:tcPr>
            <w:tcW w:w="4675" w:type="dxa"/>
          </w:tcPr>
          <w:p w14:paraId="1C314359" w14:textId="77777777" w:rsidR="00C9121B" w:rsidRDefault="00C9121B" w:rsidP="002E1E77">
            <w:r>
              <w:t>127</w:t>
            </w:r>
          </w:p>
        </w:tc>
      </w:tr>
    </w:tbl>
    <w:p w14:paraId="548256C9" w14:textId="77777777" w:rsidR="00C9121B" w:rsidRDefault="00C9121B" w:rsidP="002048F7"/>
    <w:p w14:paraId="734608E4" w14:textId="452943CB" w:rsidR="00C9121B" w:rsidRDefault="00C9121B" w:rsidP="002048F7">
      <w:r>
        <w:t>(Period May 2013 to May 2015)</w:t>
      </w:r>
    </w:p>
    <w:p w14:paraId="741F10C4" w14:textId="77777777" w:rsidR="00C9121B" w:rsidRDefault="00C9121B" w:rsidP="002048F7">
      <w:r>
        <w:t xml:space="preserve">Submissions verified and accepted by TMCH: 32,711 </w:t>
      </w:r>
    </w:p>
    <w:p w14:paraId="5B1A9730" w14:textId="73CF292F" w:rsidR="00C9121B" w:rsidRDefault="00C9121B" w:rsidP="002048F7">
      <w:r>
        <w:t>Submissions not verified and thus ineligible: 3,323</w:t>
      </w:r>
    </w:p>
    <w:p w14:paraId="6D6BF837" w14:textId="77777777" w:rsidR="00C9121B" w:rsidRDefault="00C9121B" w:rsidP="002048F7"/>
    <w:p w14:paraId="621E57D4" w14:textId="07700E7A" w:rsidR="00C9121B" w:rsidRDefault="00C9121B" w:rsidP="00C9121B">
      <w:r>
        <w:t>90% of those</w:t>
      </w:r>
      <w:r>
        <w:t xml:space="preserve"> submitting verified trademarks</w:t>
      </w:r>
      <w:r>
        <w:t xml:space="preserve"> </w:t>
      </w:r>
      <w:r>
        <w:t>also opted to have their marks verified for proof of use to be</w:t>
      </w:r>
      <w:r>
        <w:t xml:space="preserve"> </w:t>
      </w:r>
      <w:r>
        <w:t>able to take advantage of the Sunrise period</w:t>
      </w:r>
      <w:r>
        <w:t>.</w:t>
      </w:r>
    </w:p>
    <w:p w14:paraId="2627017A" w14:textId="77777777" w:rsidR="00C9121B" w:rsidRDefault="00C9121B" w:rsidP="002048F7"/>
    <w:p w14:paraId="19C0E894" w14:textId="4AE04877" w:rsidR="00D31AD2" w:rsidRDefault="00D31AD2" w:rsidP="00D31AD2">
      <w:r w:rsidRPr="00815273">
        <w:rPr>
          <w:u w:val="single"/>
        </w:rPr>
        <w:t xml:space="preserve">As of </w:t>
      </w:r>
      <w:r>
        <w:rPr>
          <w:u w:val="single"/>
        </w:rPr>
        <w:t>August</w:t>
      </w:r>
      <w:r w:rsidRPr="00815273">
        <w:rPr>
          <w:u w:val="single"/>
        </w:rPr>
        <w:t xml:space="preserve"> 201</w:t>
      </w:r>
      <w:r>
        <w:rPr>
          <w:u w:val="single"/>
        </w:rPr>
        <w:t>5</w:t>
      </w:r>
      <w:r>
        <w:t>:</w:t>
      </w:r>
    </w:p>
    <w:p w14:paraId="28DEC1E9" w14:textId="1C54E11A" w:rsidR="00D31AD2" w:rsidRPr="002048F7" w:rsidRDefault="00D31AD2" w:rsidP="00D31AD2">
      <w:r>
        <w:t xml:space="preserve">37,971 marks submitted to the </w:t>
      </w:r>
      <w:r>
        <w:t>Clearinghouse from 121 jurisdictions, for a total of 95,809 trademark years</w:t>
      </w:r>
      <w:r w:rsidR="00E259A8">
        <w:t>.</w:t>
      </w:r>
    </w:p>
    <w:p w14:paraId="34C1A833" w14:textId="77777777" w:rsidR="002048F7" w:rsidRDefault="002048F7"/>
    <w:p w14:paraId="045E7536" w14:textId="24C9FB27" w:rsidR="00DA70F3" w:rsidRDefault="00D31AD2">
      <w:r>
        <w:rPr>
          <w:u w:val="single"/>
        </w:rPr>
        <w:t>As of September 2015:</w:t>
      </w:r>
    </w:p>
    <w:p w14:paraId="787FF111" w14:textId="28138737" w:rsidR="00D31AD2" w:rsidRDefault="00D31AD2" w:rsidP="00D31AD2">
      <w:r>
        <w:t xml:space="preserve">Total of 13,261 verified </w:t>
      </w:r>
      <w:r>
        <w:t xml:space="preserve">trademarks submitted </w:t>
      </w:r>
    </w:p>
    <w:p w14:paraId="74D954F2" w14:textId="1393E852" w:rsidR="00A02688" w:rsidRDefault="00A02688" w:rsidP="00D31AD2">
      <w:r w:rsidRPr="00A02688">
        <w:t>The basic fee for verification is USD 150 per trademark record per year.</w:t>
      </w:r>
    </w:p>
    <w:p w14:paraId="2C445C75" w14:textId="77777777" w:rsidR="00A02688" w:rsidRDefault="00A02688" w:rsidP="00D31AD2"/>
    <w:p w14:paraId="78186198" w14:textId="41CBF8BD" w:rsidR="00E259A8" w:rsidRDefault="00E259A8" w:rsidP="00E259A8">
      <w:r>
        <w:t xml:space="preserve">A </w:t>
      </w:r>
      <w:r>
        <w:t>customer service ticket summary chart illustrating the sum</w:t>
      </w:r>
      <w:r>
        <w:t xml:space="preserve"> </w:t>
      </w:r>
      <w:r>
        <w:t>and types of customer service requests received by the Clearinghouse. As reported by</w:t>
      </w:r>
      <w:r>
        <w:t xml:space="preserve"> </w:t>
      </w:r>
      <w:r>
        <w:t>Deloitte, the overall error rate in first submissions is approximately 19.3% and the</w:t>
      </w:r>
      <w:r>
        <w:t xml:space="preserve"> </w:t>
      </w:r>
      <w:r>
        <w:t>average length of time that it takes TMCH users to fi</w:t>
      </w:r>
      <w:r>
        <w:t xml:space="preserve">x an incorrect submission is 26 </w:t>
      </w:r>
      <w:r>
        <w:t>days. After correcting the mark information, the overall error rate is limited to 6%.</w:t>
      </w:r>
    </w:p>
    <w:p w14:paraId="5A64EC11" w14:textId="77777777" w:rsidR="00E259A8" w:rsidRDefault="00E259A8" w:rsidP="00D31AD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259A8" w14:paraId="1F2170E6" w14:textId="77777777" w:rsidTr="00E259A8">
        <w:tc>
          <w:tcPr>
            <w:tcW w:w="4675" w:type="dxa"/>
          </w:tcPr>
          <w:p w14:paraId="575508F3" w14:textId="71D826EC" w:rsidR="00E259A8" w:rsidRPr="00E259A8" w:rsidRDefault="00E259A8" w:rsidP="00E259A8">
            <w:pPr>
              <w:jc w:val="center"/>
              <w:rPr>
                <w:b/>
              </w:rPr>
            </w:pPr>
            <w:r>
              <w:rPr>
                <w:b/>
              </w:rPr>
              <w:t>Ticket Summary</w:t>
            </w:r>
          </w:p>
        </w:tc>
        <w:tc>
          <w:tcPr>
            <w:tcW w:w="4675" w:type="dxa"/>
          </w:tcPr>
          <w:p w14:paraId="74453C26" w14:textId="0C5A1D08" w:rsidR="00E259A8" w:rsidRPr="00E259A8" w:rsidRDefault="00E259A8" w:rsidP="00E259A8">
            <w:pPr>
              <w:jc w:val="center"/>
              <w:rPr>
                <w:b/>
              </w:rPr>
            </w:pPr>
            <w:r>
              <w:rPr>
                <w:b/>
              </w:rPr>
              <w:t>Count</w:t>
            </w:r>
          </w:p>
        </w:tc>
      </w:tr>
      <w:tr w:rsidR="00E259A8" w14:paraId="4EC16E28" w14:textId="77777777" w:rsidTr="00E259A8">
        <w:tc>
          <w:tcPr>
            <w:tcW w:w="4675" w:type="dxa"/>
          </w:tcPr>
          <w:p w14:paraId="60F4DB07" w14:textId="49124014" w:rsidR="00E259A8" w:rsidRDefault="00E259A8" w:rsidP="00D31AD2">
            <w:r>
              <w:t>API Issues</w:t>
            </w:r>
          </w:p>
        </w:tc>
        <w:tc>
          <w:tcPr>
            <w:tcW w:w="4675" w:type="dxa"/>
          </w:tcPr>
          <w:p w14:paraId="2C839394" w14:textId="5C311BCD" w:rsidR="00E259A8" w:rsidRDefault="00E259A8" w:rsidP="00D31AD2">
            <w:r>
              <w:t>456</w:t>
            </w:r>
          </w:p>
        </w:tc>
      </w:tr>
      <w:tr w:rsidR="00E259A8" w14:paraId="58549B7C" w14:textId="77777777" w:rsidTr="00E259A8">
        <w:tc>
          <w:tcPr>
            <w:tcW w:w="4675" w:type="dxa"/>
          </w:tcPr>
          <w:p w14:paraId="6DABC2C1" w14:textId="63046DD3" w:rsidR="00E259A8" w:rsidRDefault="00E259A8" w:rsidP="00D31AD2">
            <w:r>
              <w:t>Claims Notification Issue</w:t>
            </w:r>
          </w:p>
        </w:tc>
        <w:tc>
          <w:tcPr>
            <w:tcW w:w="4675" w:type="dxa"/>
          </w:tcPr>
          <w:p w14:paraId="715B583A" w14:textId="3BF61623" w:rsidR="00E259A8" w:rsidRDefault="00E259A8" w:rsidP="00D31AD2">
            <w:r>
              <w:t>295</w:t>
            </w:r>
          </w:p>
        </w:tc>
      </w:tr>
      <w:tr w:rsidR="00E259A8" w14:paraId="1031FE8D" w14:textId="77777777" w:rsidTr="00E259A8">
        <w:tc>
          <w:tcPr>
            <w:tcW w:w="4675" w:type="dxa"/>
          </w:tcPr>
          <w:p w14:paraId="40DDCBF9" w14:textId="6ABC186D" w:rsidR="00E259A8" w:rsidRDefault="00E259A8" w:rsidP="00D31AD2">
            <w:r>
              <w:t>Other Issues (e.g. general new gTLD, UDRP/URS, invoicing)</w:t>
            </w:r>
          </w:p>
        </w:tc>
        <w:tc>
          <w:tcPr>
            <w:tcW w:w="4675" w:type="dxa"/>
          </w:tcPr>
          <w:p w14:paraId="17E6E6D4" w14:textId="4D01F406" w:rsidR="00E259A8" w:rsidRDefault="00E259A8" w:rsidP="00D31AD2">
            <w:r>
              <w:t>2,655</w:t>
            </w:r>
          </w:p>
        </w:tc>
      </w:tr>
      <w:tr w:rsidR="00E259A8" w14:paraId="207A9692" w14:textId="77777777" w:rsidTr="00E259A8">
        <w:tc>
          <w:tcPr>
            <w:tcW w:w="4675" w:type="dxa"/>
          </w:tcPr>
          <w:p w14:paraId="68FF2F27" w14:textId="5EFB6FA2" w:rsidR="00E259A8" w:rsidRDefault="00E259A8" w:rsidP="00D31AD2">
            <w:r>
              <w:t>Profile Management Issues</w:t>
            </w:r>
          </w:p>
        </w:tc>
        <w:tc>
          <w:tcPr>
            <w:tcW w:w="4675" w:type="dxa"/>
          </w:tcPr>
          <w:p w14:paraId="20C0D365" w14:textId="6EF67171" w:rsidR="00E259A8" w:rsidRDefault="00E259A8" w:rsidP="00D31AD2">
            <w:r>
              <w:t>604</w:t>
            </w:r>
          </w:p>
        </w:tc>
      </w:tr>
      <w:tr w:rsidR="00E259A8" w14:paraId="36DA7A2E" w14:textId="77777777" w:rsidTr="00E259A8">
        <w:tc>
          <w:tcPr>
            <w:tcW w:w="4675" w:type="dxa"/>
          </w:tcPr>
          <w:p w14:paraId="19EF2074" w14:textId="7F6AE2D9" w:rsidR="00E259A8" w:rsidRDefault="00E259A8" w:rsidP="00D31AD2">
            <w:r>
              <w:t>Sunrise File Issues</w:t>
            </w:r>
          </w:p>
        </w:tc>
        <w:tc>
          <w:tcPr>
            <w:tcW w:w="4675" w:type="dxa"/>
          </w:tcPr>
          <w:p w14:paraId="05BCCB93" w14:textId="428DA720" w:rsidR="00E259A8" w:rsidRDefault="00E259A8" w:rsidP="00D31AD2">
            <w:r>
              <w:t>1,157</w:t>
            </w:r>
          </w:p>
        </w:tc>
      </w:tr>
      <w:tr w:rsidR="00E259A8" w14:paraId="254DA5E2" w14:textId="77777777" w:rsidTr="00E259A8">
        <w:tc>
          <w:tcPr>
            <w:tcW w:w="4675" w:type="dxa"/>
          </w:tcPr>
          <w:p w14:paraId="768DFDE4" w14:textId="4F51600C" w:rsidR="00E259A8" w:rsidRDefault="00E259A8" w:rsidP="00D31AD2">
            <w:r>
              <w:t>Sunrise Notification Issues</w:t>
            </w:r>
          </w:p>
        </w:tc>
        <w:tc>
          <w:tcPr>
            <w:tcW w:w="4675" w:type="dxa"/>
          </w:tcPr>
          <w:p w14:paraId="40520319" w14:textId="4150B76A" w:rsidR="00E259A8" w:rsidRDefault="00E259A8" w:rsidP="00E259A8">
            <w:r>
              <w:t>126</w:t>
            </w:r>
          </w:p>
        </w:tc>
      </w:tr>
      <w:tr w:rsidR="00E259A8" w14:paraId="17B4100B" w14:textId="77777777" w:rsidTr="00E259A8">
        <w:trPr>
          <w:trHeight w:val="269"/>
        </w:trPr>
        <w:tc>
          <w:tcPr>
            <w:tcW w:w="4675" w:type="dxa"/>
          </w:tcPr>
          <w:p w14:paraId="2EE193BD" w14:textId="2BF99D9B" w:rsidR="00E259A8" w:rsidRDefault="00E259A8" w:rsidP="00D31AD2">
            <w:r>
              <w:t>Trademark management Issues</w:t>
            </w:r>
          </w:p>
        </w:tc>
        <w:tc>
          <w:tcPr>
            <w:tcW w:w="4675" w:type="dxa"/>
          </w:tcPr>
          <w:p w14:paraId="1EED7BD3" w14:textId="50992A02" w:rsidR="00E259A8" w:rsidRDefault="00E259A8" w:rsidP="00D31AD2">
            <w:r>
              <w:t>4,340</w:t>
            </w:r>
          </w:p>
        </w:tc>
      </w:tr>
      <w:tr w:rsidR="00E259A8" w14:paraId="603D090D" w14:textId="77777777" w:rsidTr="00E259A8">
        <w:trPr>
          <w:trHeight w:val="269"/>
        </w:trPr>
        <w:tc>
          <w:tcPr>
            <w:tcW w:w="4675" w:type="dxa"/>
          </w:tcPr>
          <w:p w14:paraId="1BB41440" w14:textId="20912472" w:rsidR="00E259A8" w:rsidRPr="00E259A8" w:rsidRDefault="00E259A8" w:rsidP="00D31AD2">
            <w:pPr>
              <w:rPr>
                <w:i/>
              </w:rPr>
            </w:pPr>
            <w:r>
              <w:rPr>
                <w:i/>
              </w:rPr>
              <w:t>Total</w:t>
            </w:r>
          </w:p>
        </w:tc>
        <w:tc>
          <w:tcPr>
            <w:tcW w:w="4675" w:type="dxa"/>
          </w:tcPr>
          <w:p w14:paraId="66798DAD" w14:textId="7B2FF264" w:rsidR="00E259A8" w:rsidRPr="00E259A8" w:rsidRDefault="00E259A8" w:rsidP="00D31AD2">
            <w:pPr>
              <w:rPr>
                <w:i/>
              </w:rPr>
            </w:pPr>
            <w:r>
              <w:rPr>
                <w:i/>
              </w:rPr>
              <w:t>9,633</w:t>
            </w:r>
          </w:p>
        </w:tc>
      </w:tr>
    </w:tbl>
    <w:p w14:paraId="7F4C55EB" w14:textId="77777777" w:rsidR="00E259A8" w:rsidRDefault="00E259A8" w:rsidP="00D31AD2"/>
    <w:sectPr w:rsidR="00E259A8" w:rsidSect="00326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6247BA" w14:textId="77777777" w:rsidR="008B357A" w:rsidRDefault="008B357A" w:rsidP="00E259A8">
      <w:r>
        <w:separator/>
      </w:r>
    </w:p>
  </w:endnote>
  <w:endnote w:type="continuationSeparator" w:id="0">
    <w:p w14:paraId="08D28C39" w14:textId="77777777" w:rsidR="008B357A" w:rsidRDefault="008B357A" w:rsidP="00E2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F2928" w14:textId="77777777" w:rsidR="008B357A" w:rsidRDefault="008B357A" w:rsidP="00E259A8">
      <w:r>
        <w:separator/>
      </w:r>
    </w:p>
  </w:footnote>
  <w:footnote w:type="continuationSeparator" w:id="0">
    <w:p w14:paraId="309A37C2" w14:textId="77777777" w:rsidR="008B357A" w:rsidRDefault="008B357A" w:rsidP="00E259A8">
      <w:r>
        <w:continuationSeparator/>
      </w:r>
    </w:p>
  </w:footnote>
  <w:footnote w:id="1">
    <w:p w14:paraId="2D31B047" w14:textId="7CC49353" w:rsidR="00E259A8" w:rsidRPr="00E259A8" w:rsidRDefault="00E259A8" w:rsidP="00E259A8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>A</w:t>
      </w:r>
      <w:r w:rsidRPr="00E259A8">
        <w:rPr>
          <w:sz w:val="18"/>
          <w:szCs w:val="18"/>
        </w:rPr>
        <w:t xml:space="preserve"> trademark record that</w:t>
      </w:r>
      <w:r>
        <w:rPr>
          <w:sz w:val="18"/>
          <w:szCs w:val="18"/>
        </w:rPr>
        <w:t xml:space="preserve"> has been verified for proof of </w:t>
      </w:r>
      <w:r w:rsidRPr="00E259A8">
        <w:rPr>
          <w:sz w:val="18"/>
          <w:szCs w:val="18"/>
        </w:rPr>
        <w:t>use will be issued an SMD file generated by the Clearinghouse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E90AD5"/>
    <w:multiLevelType w:val="hybridMultilevel"/>
    <w:tmpl w:val="8070B4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0F3"/>
    <w:rsid w:val="000A2AAC"/>
    <w:rsid w:val="002048F7"/>
    <w:rsid w:val="00273856"/>
    <w:rsid w:val="00326516"/>
    <w:rsid w:val="00431FEF"/>
    <w:rsid w:val="00435BDF"/>
    <w:rsid w:val="00815273"/>
    <w:rsid w:val="008B357A"/>
    <w:rsid w:val="00A02688"/>
    <w:rsid w:val="00A84BDD"/>
    <w:rsid w:val="00C9121B"/>
    <w:rsid w:val="00D31AD2"/>
    <w:rsid w:val="00DA70F3"/>
    <w:rsid w:val="00E259A8"/>
    <w:rsid w:val="00F045D8"/>
    <w:rsid w:val="00FB2D09"/>
    <w:rsid w:val="00FE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8C4AA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26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121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E259A8"/>
  </w:style>
  <w:style w:type="character" w:customStyle="1" w:styleId="FootnoteTextChar">
    <w:name w:val="Footnote Text Char"/>
    <w:basedOn w:val="DefaultParagraphFont"/>
    <w:link w:val="FootnoteText"/>
    <w:uiPriority w:val="99"/>
    <w:rsid w:val="00E259A8"/>
  </w:style>
  <w:style w:type="character" w:styleId="FootnoteReference">
    <w:name w:val="footnote reference"/>
    <w:basedOn w:val="DefaultParagraphFont"/>
    <w:uiPriority w:val="99"/>
    <w:unhideWhenUsed/>
    <w:rsid w:val="00E259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A7CE061-245A-2047-AEC7-097B5BB68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408</Words>
  <Characters>2326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Wong</dc:creator>
  <cp:keywords/>
  <dc:description/>
  <cp:lastModifiedBy>David Tait</cp:lastModifiedBy>
  <cp:revision>6</cp:revision>
  <dcterms:created xsi:type="dcterms:W3CDTF">2016-08-12T08:40:00Z</dcterms:created>
  <dcterms:modified xsi:type="dcterms:W3CDTF">2016-08-12T09:11:00Z</dcterms:modified>
</cp:coreProperties>
</file>