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1F52C" w14:textId="77777777" w:rsidR="009D7663" w:rsidRPr="008152B1" w:rsidRDefault="0035656A">
      <w:pPr>
        <w:rPr>
          <w:sz w:val="22"/>
          <w:szCs w:val="22"/>
        </w:rPr>
      </w:pPr>
    </w:p>
    <w:p w14:paraId="04526DE6" w14:textId="16FDE95E" w:rsidR="007A7A9C" w:rsidRDefault="009A31E9">
      <w:pPr>
        <w:rPr>
          <w:b/>
          <w:sz w:val="22"/>
          <w:szCs w:val="22"/>
        </w:rPr>
      </w:pPr>
      <w:r w:rsidRPr="009A31E9">
        <w:rPr>
          <w:b/>
          <w:sz w:val="22"/>
          <w:szCs w:val="22"/>
        </w:rPr>
        <w:t xml:space="preserve">SUMMARY TABLE – REVIEW OF AGREED </w:t>
      </w:r>
      <w:r w:rsidR="008C1F10">
        <w:rPr>
          <w:b/>
          <w:sz w:val="22"/>
          <w:szCs w:val="22"/>
        </w:rPr>
        <w:t>TRADEMARK CLAIMS</w:t>
      </w:r>
      <w:r w:rsidRPr="009A31E9">
        <w:rPr>
          <w:b/>
          <w:sz w:val="22"/>
          <w:szCs w:val="22"/>
        </w:rPr>
        <w:t xml:space="preserve"> CHARTER QUESTIONS AND </w:t>
      </w:r>
      <w:r w:rsidR="007A7A9C">
        <w:rPr>
          <w:b/>
          <w:sz w:val="22"/>
          <w:szCs w:val="22"/>
        </w:rPr>
        <w:t>RELATED DATA</w:t>
      </w:r>
    </w:p>
    <w:p w14:paraId="25EE6E40" w14:textId="7EE3AFF2" w:rsidR="0078197F" w:rsidRPr="00B51625" w:rsidRDefault="0078197F">
      <w:pPr>
        <w:rPr>
          <w:i/>
          <w:sz w:val="22"/>
          <w:szCs w:val="22"/>
        </w:rPr>
      </w:pPr>
      <w:r w:rsidRPr="00B51625">
        <w:rPr>
          <w:i/>
          <w:sz w:val="22"/>
          <w:szCs w:val="22"/>
        </w:rPr>
        <w:t xml:space="preserve">Prepared by ICANN staff for </w:t>
      </w:r>
      <w:r w:rsidR="00B51625" w:rsidRPr="00B51625">
        <w:rPr>
          <w:i/>
          <w:sz w:val="22"/>
          <w:szCs w:val="22"/>
        </w:rPr>
        <w:t xml:space="preserve">use by </w:t>
      </w:r>
      <w:r w:rsidRPr="00B51625">
        <w:rPr>
          <w:i/>
          <w:sz w:val="22"/>
          <w:szCs w:val="22"/>
        </w:rPr>
        <w:t>the proposed new Trademark Claims Review Sub Team</w:t>
      </w:r>
    </w:p>
    <w:p w14:paraId="0BE3452C" w14:textId="77777777" w:rsidR="007A7A9C" w:rsidRPr="00B51625" w:rsidRDefault="007A7A9C">
      <w:pPr>
        <w:rPr>
          <w:i/>
          <w:sz w:val="22"/>
          <w:szCs w:val="22"/>
        </w:rPr>
      </w:pPr>
    </w:p>
    <w:p w14:paraId="692606DE" w14:textId="77777777" w:rsidR="00430ECC" w:rsidRPr="008152B1" w:rsidRDefault="00430ECC">
      <w:pPr>
        <w:rPr>
          <w:sz w:val="22"/>
          <w:szCs w:val="22"/>
        </w:rPr>
      </w:pPr>
    </w:p>
    <w:tbl>
      <w:tblPr>
        <w:tblStyle w:val="TableGrid"/>
        <w:tblW w:w="0" w:type="auto"/>
        <w:tblLook w:val="04A0" w:firstRow="1" w:lastRow="0" w:firstColumn="1" w:lastColumn="0" w:noHBand="0" w:noVBand="1"/>
      </w:tblPr>
      <w:tblGrid>
        <w:gridCol w:w="1974"/>
        <w:gridCol w:w="9163"/>
        <w:gridCol w:w="1261"/>
        <w:gridCol w:w="1992"/>
      </w:tblGrid>
      <w:tr w:rsidR="005361B7" w:rsidRPr="008152B1" w14:paraId="2D812760" w14:textId="2D3D5813" w:rsidTr="005361B7">
        <w:trPr>
          <w:tblHeader/>
        </w:trPr>
        <w:tc>
          <w:tcPr>
            <w:tcW w:w="1974" w:type="dxa"/>
            <w:shd w:val="clear" w:color="auto" w:fill="D9E2F3" w:themeFill="accent1" w:themeFillTint="33"/>
          </w:tcPr>
          <w:p w14:paraId="72E25C25" w14:textId="4A51EB1D" w:rsidR="009A31E9" w:rsidRPr="009A31E9" w:rsidRDefault="0078197F">
            <w:pPr>
              <w:rPr>
                <w:b/>
                <w:sz w:val="22"/>
                <w:szCs w:val="22"/>
              </w:rPr>
            </w:pPr>
            <w:r>
              <w:rPr>
                <w:b/>
                <w:sz w:val="22"/>
                <w:szCs w:val="22"/>
              </w:rPr>
              <w:t>LIST OF FINAL AGREED</w:t>
            </w:r>
            <w:r w:rsidR="008C1F10">
              <w:rPr>
                <w:b/>
                <w:sz w:val="22"/>
                <w:szCs w:val="22"/>
              </w:rPr>
              <w:t xml:space="preserve"> TRADEMARK CLAIMS</w:t>
            </w:r>
            <w:r w:rsidR="009A31E9" w:rsidRPr="009A31E9">
              <w:rPr>
                <w:b/>
                <w:sz w:val="22"/>
                <w:szCs w:val="22"/>
              </w:rPr>
              <w:t xml:space="preserve"> CHARTER QUESTIONS</w:t>
            </w:r>
            <w:r>
              <w:rPr>
                <w:rStyle w:val="FootnoteReference"/>
                <w:b/>
                <w:sz w:val="22"/>
                <w:szCs w:val="22"/>
              </w:rPr>
              <w:footnoteReference w:id="1"/>
            </w:r>
          </w:p>
        </w:tc>
        <w:tc>
          <w:tcPr>
            <w:tcW w:w="8551" w:type="dxa"/>
            <w:shd w:val="clear" w:color="auto" w:fill="D9E2F3" w:themeFill="accent1" w:themeFillTint="33"/>
          </w:tcPr>
          <w:p w14:paraId="70F5FC70" w14:textId="60A5CD44" w:rsidR="009A31E9" w:rsidRPr="009A31E9" w:rsidRDefault="009A31E9">
            <w:pPr>
              <w:rPr>
                <w:b/>
                <w:sz w:val="22"/>
                <w:szCs w:val="22"/>
              </w:rPr>
            </w:pPr>
            <w:r w:rsidRPr="009A31E9">
              <w:rPr>
                <w:b/>
                <w:sz w:val="22"/>
                <w:szCs w:val="22"/>
              </w:rPr>
              <w:t>RELEVANT AG</w:t>
            </w:r>
            <w:r w:rsidR="007971C0">
              <w:rPr>
                <w:b/>
                <w:sz w:val="22"/>
                <w:szCs w:val="22"/>
              </w:rPr>
              <w:t xml:space="preserve"> CLAIMS</w:t>
            </w:r>
            <w:r w:rsidRPr="009A31E9">
              <w:rPr>
                <w:b/>
                <w:sz w:val="22"/>
                <w:szCs w:val="22"/>
              </w:rPr>
              <w:t xml:space="preserve"> SURVEY RESULTS </w:t>
            </w:r>
          </w:p>
        </w:tc>
        <w:tc>
          <w:tcPr>
            <w:tcW w:w="1873" w:type="dxa"/>
            <w:shd w:val="clear" w:color="auto" w:fill="D9E2F3" w:themeFill="accent1" w:themeFillTint="33"/>
          </w:tcPr>
          <w:p w14:paraId="27E23E6A" w14:textId="5759DDAD" w:rsidR="009A31E9" w:rsidRPr="009A31E9" w:rsidRDefault="009A31E9">
            <w:pPr>
              <w:rPr>
                <w:b/>
                <w:sz w:val="22"/>
                <w:szCs w:val="22"/>
              </w:rPr>
            </w:pPr>
            <w:r w:rsidRPr="009A31E9">
              <w:rPr>
                <w:b/>
                <w:sz w:val="22"/>
                <w:szCs w:val="22"/>
              </w:rPr>
              <w:t>RELEVANT DATA REVIEWED PREVIOUSLY</w:t>
            </w:r>
            <w:r w:rsidR="007971C0">
              <w:rPr>
                <w:rStyle w:val="FootnoteReference"/>
                <w:b/>
                <w:sz w:val="22"/>
                <w:szCs w:val="22"/>
              </w:rPr>
              <w:footnoteReference w:id="2"/>
            </w:r>
            <w:r w:rsidRPr="009A31E9">
              <w:rPr>
                <w:b/>
                <w:sz w:val="22"/>
                <w:szCs w:val="22"/>
              </w:rPr>
              <w:t xml:space="preserve"> </w:t>
            </w:r>
          </w:p>
        </w:tc>
        <w:tc>
          <w:tcPr>
            <w:tcW w:w="0" w:type="auto"/>
            <w:shd w:val="clear" w:color="auto" w:fill="D9E2F3" w:themeFill="accent1" w:themeFillTint="33"/>
          </w:tcPr>
          <w:p w14:paraId="25689D1B" w14:textId="08461340" w:rsidR="009A31E9" w:rsidRPr="009A31E9" w:rsidRDefault="009A31E9">
            <w:pPr>
              <w:rPr>
                <w:b/>
                <w:sz w:val="22"/>
                <w:szCs w:val="22"/>
              </w:rPr>
            </w:pPr>
            <w:r w:rsidRPr="009A31E9">
              <w:rPr>
                <w:b/>
                <w:sz w:val="22"/>
                <w:szCs w:val="22"/>
              </w:rPr>
              <w:t>SUB TEAM POLICY/OPERATIONAL FIX RECOMMENDATIONS (for WG discussion)</w:t>
            </w:r>
          </w:p>
        </w:tc>
      </w:tr>
      <w:tr w:rsidR="00773793" w:rsidRPr="008152B1" w14:paraId="159F2B5C" w14:textId="395FE43C" w:rsidTr="005361B7">
        <w:tc>
          <w:tcPr>
            <w:tcW w:w="1974" w:type="dxa"/>
          </w:tcPr>
          <w:p w14:paraId="46BF5348" w14:textId="462ACC1F" w:rsidR="009A31E9" w:rsidRPr="00D6034F" w:rsidRDefault="00E342FC" w:rsidP="00E342FC">
            <w:pPr>
              <w:rPr>
                <w:sz w:val="22"/>
                <w:szCs w:val="22"/>
              </w:rPr>
            </w:pPr>
            <w:r w:rsidRPr="00D6034F">
              <w:rPr>
                <w:sz w:val="22"/>
                <w:szCs w:val="22"/>
              </w:rPr>
              <w:t>Q1</w:t>
            </w:r>
          </w:p>
          <w:p w14:paraId="49DD5E7D" w14:textId="77777777" w:rsidR="00E342FC" w:rsidRPr="00D6034F" w:rsidRDefault="00E342FC" w:rsidP="00C321A4">
            <w:pPr>
              <w:rPr>
                <w:sz w:val="22"/>
                <w:szCs w:val="22"/>
              </w:rPr>
            </w:pPr>
            <w:r w:rsidRPr="00D6034F">
              <w:rPr>
                <w:sz w:val="22"/>
                <w:szCs w:val="22"/>
              </w:rPr>
              <w:t>Is the Trademark Claims service having its intended effect? Consider the following questions specifically in the context both of a Claims Notice as well as a Notice of Registered Name:</w:t>
            </w:r>
          </w:p>
          <w:p w14:paraId="4C7EB182" w14:textId="6BDD9013" w:rsidR="00E342FC" w:rsidRPr="00F57B81" w:rsidRDefault="00E342FC" w:rsidP="00F57B81">
            <w:pPr>
              <w:pStyle w:val="ListParagraph"/>
              <w:numPr>
                <w:ilvl w:val="0"/>
                <w:numId w:val="11"/>
              </w:numPr>
              <w:rPr>
                <w:sz w:val="22"/>
                <w:szCs w:val="22"/>
              </w:rPr>
            </w:pPr>
            <w:r w:rsidRPr="00F57B81">
              <w:rPr>
                <w:sz w:val="22"/>
                <w:szCs w:val="22"/>
              </w:rPr>
              <w:t xml:space="preserve">Is the Trademark Claims service having its intended effect of deterring bad-faith registrations and </w:t>
            </w:r>
            <w:r w:rsidRPr="00F57B81">
              <w:rPr>
                <w:sz w:val="22"/>
                <w:szCs w:val="22"/>
              </w:rPr>
              <w:lastRenderedPageBreak/>
              <w:t>providing notice to domain name applicants?</w:t>
            </w:r>
          </w:p>
          <w:p w14:paraId="34EABF75" w14:textId="44F51979" w:rsidR="009A31E9" w:rsidRPr="00A62DC0" w:rsidRDefault="00E342FC" w:rsidP="00A62DC0">
            <w:pPr>
              <w:pStyle w:val="ListParagraph"/>
              <w:numPr>
                <w:ilvl w:val="0"/>
                <w:numId w:val="11"/>
              </w:numPr>
              <w:rPr>
                <w:sz w:val="22"/>
                <w:szCs w:val="22"/>
                <w:u w:val="single"/>
              </w:rPr>
            </w:pPr>
            <w:r w:rsidRPr="00D6034F">
              <w:rPr>
                <w:sz w:val="22"/>
                <w:szCs w:val="22"/>
              </w:rPr>
              <w:t>Is the Trademark Claims service having any unintended consequences, such as deterring good-faith</w:t>
            </w:r>
            <w:r w:rsidRPr="00D6034F" w:rsidDel="00CB4E67">
              <w:rPr>
                <w:sz w:val="22"/>
                <w:szCs w:val="22"/>
              </w:rPr>
              <w:t xml:space="preserve"> </w:t>
            </w:r>
            <w:r w:rsidRPr="00D6034F">
              <w:rPr>
                <w:sz w:val="22"/>
                <w:szCs w:val="22"/>
              </w:rPr>
              <w:t>domain name applications?</w:t>
            </w:r>
          </w:p>
        </w:tc>
        <w:tc>
          <w:tcPr>
            <w:tcW w:w="8551" w:type="dxa"/>
          </w:tcPr>
          <w:p w14:paraId="6C9064B1"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7FB4CF4F" w14:textId="77777777" w:rsidR="00406C72" w:rsidRPr="00773793" w:rsidRDefault="000B2162" w:rsidP="00406C72">
            <w:pPr>
              <w:pStyle w:val="NormalWeb"/>
              <w:spacing w:before="0" w:beforeAutospacing="0" w:after="0" w:afterAutospacing="0"/>
              <w:rPr>
                <w:rFonts w:ascii="Calibri" w:hAnsi="Calibri" w:cs="Calibri"/>
                <w:color w:val="000000"/>
                <w:sz w:val="22"/>
                <w:szCs w:val="22"/>
              </w:rPr>
            </w:pPr>
            <w:r w:rsidRPr="00773793">
              <w:rPr>
                <w:rFonts w:ascii="Calibri" w:hAnsi="Calibri" w:cs="Calibri"/>
                <w:color w:val="000000"/>
                <w:sz w:val="22"/>
                <w:szCs w:val="22"/>
              </w:rPr>
              <w:t>The AG survey results assist in answering this question, including both of its sub questions (a) and (b):</w:t>
            </w:r>
          </w:p>
          <w:p w14:paraId="42AA8B37" w14:textId="77777777" w:rsidR="00773793" w:rsidRPr="00773793" w:rsidRDefault="000B2162" w:rsidP="00773793">
            <w:pPr>
              <w:pStyle w:val="NormalWeb"/>
              <w:numPr>
                <w:ilvl w:val="0"/>
                <w:numId w:val="24"/>
              </w:numPr>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Trademark Claims service is </w:t>
            </w:r>
            <w:commentRangeStart w:id="0"/>
            <w:r w:rsidRPr="00773793">
              <w:rPr>
                <w:rFonts w:ascii="Calibri" w:hAnsi="Calibri" w:cs="Calibri"/>
                <w:color w:val="000000"/>
                <w:sz w:val="22"/>
                <w:szCs w:val="22"/>
              </w:rPr>
              <w:t>clearly having its intended effect of providing Claims Notice to domain name applicants</w:t>
            </w:r>
            <w:commentRangeEnd w:id="0"/>
            <w:r w:rsidR="0071109C">
              <w:rPr>
                <w:rStyle w:val="CommentReference"/>
                <w:rFonts w:asciiTheme="minorHAnsi" w:eastAsiaTheme="minorEastAsia" w:hAnsiTheme="minorHAnsi"/>
              </w:rPr>
              <w:commentReference w:id="0"/>
            </w:r>
            <w:r w:rsidRPr="00773793">
              <w:rPr>
                <w:rFonts w:ascii="Calibri" w:hAnsi="Calibri" w:cs="Calibri"/>
                <w:color w:val="000000"/>
                <w:sz w:val="22"/>
                <w:szCs w:val="22"/>
              </w:rPr>
              <w:t xml:space="preserve">. The Trademark Claims service may be having its intended effect of deterring bad-faith registrations to some extent, as there is evidence that the Claims Notice does affect the applicant’s decision whether or not to proceed with a registration. Nevertheless, </w:t>
            </w:r>
            <w:commentRangeStart w:id="1"/>
            <w:r w:rsidRPr="00773793">
              <w:rPr>
                <w:rFonts w:ascii="Calibri" w:hAnsi="Calibri" w:cs="Calibri"/>
                <w:color w:val="000000"/>
                <w:sz w:val="22"/>
                <w:szCs w:val="22"/>
              </w:rPr>
              <w:t xml:space="preserve">there is no data indicating whether these applicants are limited to only “bad faith” registration. </w:t>
            </w:r>
            <w:commentRangeEnd w:id="1"/>
            <w:r w:rsidR="0071109C">
              <w:rPr>
                <w:rStyle w:val="CommentReference"/>
                <w:rFonts w:asciiTheme="minorHAnsi" w:eastAsiaTheme="minorEastAsia" w:hAnsiTheme="minorHAnsi"/>
              </w:rPr>
              <w:commentReference w:id="1"/>
            </w:r>
          </w:p>
          <w:p w14:paraId="02B6A683" w14:textId="5BA0CB77" w:rsidR="000B2162" w:rsidRPr="00773793" w:rsidRDefault="000B2162" w:rsidP="00773793">
            <w:pPr>
              <w:pStyle w:val="NormalWeb"/>
              <w:numPr>
                <w:ilvl w:val="0"/>
                <w:numId w:val="24"/>
              </w:numPr>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Trademark Claims service may have unintended consequences, such as deterring good-faith domain name applications, due to the collateral damage caused by its confusing and/or intimidating wording perceived by some potential and actual registrant respondents. Notably, the abandonment rate of non-ICANN-experienced potential and actual registrant respondents seem to be materially higher than those involved in ICANN. Other unintended consequences include the reduced publicity for the marks that are being protected or the conflicting domains that are being registered, negative impacts to Registry Operator and Registrar respondents. </w:t>
            </w:r>
          </w:p>
          <w:p w14:paraId="341EA072" w14:textId="77777777" w:rsidR="000B2162" w:rsidRPr="00773793" w:rsidRDefault="000B2162" w:rsidP="000B2162">
            <w:pPr>
              <w:rPr>
                <w:rFonts w:ascii="Calibri" w:hAnsi="Calibri" w:cs="Calibri"/>
                <w:sz w:val="22"/>
                <w:szCs w:val="22"/>
              </w:rPr>
            </w:pPr>
          </w:p>
          <w:p w14:paraId="15FDF961"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10"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4B54BF0D"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tab: cells D-E-F12-27</w:t>
            </w:r>
          </w:p>
          <w:p w14:paraId="0D323423"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Q11b tab</w:t>
            </w:r>
          </w:p>
          <w:p w14:paraId="5A06D118"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Q11c tab</w:t>
            </w:r>
          </w:p>
          <w:p w14:paraId="52907044"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F50-52, F81</w:t>
            </w:r>
          </w:p>
          <w:p w14:paraId="0A2FC5C9"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lastRenderedPageBreak/>
              <w:t>Registry - Q26 tab: cells B8-14</w:t>
            </w:r>
          </w:p>
          <w:p w14:paraId="65C364C4"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Q28 tab: cells D-E-G-H-I-J5-7</w:t>
            </w:r>
          </w:p>
          <w:p w14:paraId="13FDAE9D"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Q10 tab: cells D6-8</w:t>
            </w:r>
          </w:p>
          <w:p w14:paraId="062076BC"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Q11 tab: cells A7, A25, B6-8, D5</w:t>
            </w:r>
          </w:p>
          <w:p w14:paraId="2677B888" w14:textId="77777777" w:rsidR="000B2162" w:rsidRPr="00773793" w:rsidRDefault="000B2162" w:rsidP="000B2162">
            <w:pPr>
              <w:rPr>
                <w:rFonts w:ascii="Calibri" w:hAnsi="Calibri" w:cs="Calibri"/>
                <w:sz w:val="22"/>
                <w:szCs w:val="22"/>
              </w:rPr>
            </w:pPr>
          </w:p>
          <w:p w14:paraId="59EEEFA7"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Details </w:t>
            </w:r>
            <w:hyperlink r:id="rId11" w:history="1">
              <w:r w:rsidRPr="00773793">
                <w:rPr>
                  <w:rStyle w:val="Hyperlink"/>
                  <w:rFonts w:ascii="Calibri" w:hAnsi="Calibri" w:cs="Calibri"/>
                  <w:color w:val="1155CC"/>
                  <w:sz w:val="22"/>
                  <w:szCs w:val="22"/>
                </w:rPr>
                <w:t>https://docs.google.com/document/d/1A5PSNNrAFS2bFvNoMFx-5DQUNhXpnocOrEbT1XL480E/edit?usp=sharing</w:t>
              </w:r>
            </w:hyperlink>
            <w:r w:rsidRPr="00773793">
              <w:rPr>
                <w:rFonts w:ascii="Calibri" w:hAnsi="Calibri" w:cs="Calibri"/>
                <w:color w:val="000000"/>
                <w:sz w:val="22"/>
                <w:szCs w:val="22"/>
              </w:rPr>
              <w:t xml:space="preserve"> </w:t>
            </w:r>
          </w:p>
          <w:p w14:paraId="3E6CC6FD" w14:textId="77777777" w:rsidR="000B2162" w:rsidRPr="00773793" w:rsidRDefault="000B2162" w:rsidP="000B2162">
            <w:pPr>
              <w:rPr>
                <w:rFonts w:ascii="Calibri" w:hAnsi="Calibri" w:cs="Calibri"/>
                <w:sz w:val="22"/>
                <w:szCs w:val="22"/>
              </w:rPr>
            </w:pPr>
          </w:p>
          <w:p w14:paraId="2CBFBE3A" w14:textId="6031C1EF" w:rsidR="009A31E9"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Sub Team Discussion:</w:t>
            </w:r>
            <w:r w:rsidRPr="00773793">
              <w:rPr>
                <w:rFonts w:ascii="Calibri" w:hAnsi="Calibri" w:cs="Calibri"/>
                <w:color w:val="000000"/>
                <w:sz w:val="22"/>
                <w:szCs w:val="22"/>
              </w:rPr>
              <w:t xml:space="preserve"> </w:t>
            </w:r>
            <w:hyperlink r:id="rId12" w:history="1">
              <w:r w:rsidRPr="00773793">
                <w:rPr>
                  <w:rStyle w:val="Hyperlink"/>
                  <w:rFonts w:ascii="Calibri" w:hAnsi="Calibri" w:cs="Calibri"/>
                  <w:color w:val="1155CC"/>
                  <w:sz w:val="22"/>
                  <w:szCs w:val="22"/>
                </w:rPr>
                <w:t>19 December 2018</w:t>
              </w:r>
            </w:hyperlink>
            <w:r w:rsidRPr="00773793">
              <w:rPr>
                <w:rFonts w:ascii="Calibri" w:hAnsi="Calibri" w:cs="Calibri"/>
                <w:b/>
                <w:bCs/>
                <w:color w:val="000000"/>
                <w:sz w:val="22"/>
                <w:szCs w:val="22"/>
              </w:rPr>
              <w:t xml:space="preserve">, </w:t>
            </w:r>
            <w:hyperlink r:id="rId13" w:history="1">
              <w:r w:rsidRPr="00773793">
                <w:rPr>
                  <w:rStyle w:val="Hyperlink"/>
                  <w:rFonts w:ascii="Calibri" w:hAnsi="Calibri" w:cs="Calibri"/>
                  <w:color w:val="1155CC"/>
                  <w:sz w:val="22"/>
                  <w:szCs w:val="22"/>
                </w:rPr>
                <w:t>2 January 2019</w:t>
              </w:r>
            </w:hyperlink>
            <w:r w:rsidRPr="00773793">
              <w:rPr>
                <w:rFonts w:ascii="Calibri" w:hAnsi="Calibri" w:cs="Calibri"/>
                <w:color w:val="000000"/>
                <w:sz w:val="22"/>
                <w:szCs w:val="22"/>
              </w:rPr>
              <w:t xml:space="preserve">, </w:t>
            </w:r>
            <w:hyperlink r:id="rId14" w:history="1">
              <w:r w:rsidRPr="00773793">
                <w:rPr>
                  <w:rStyle w:val="Hyperlink"/>
                  <w:rFonts w:ascii="Calibri" w:hAnsi="Calibri" w:cs="Calibri"/>
                  <w:color w:val="1155CC"/>
                  <w:sz w:val="22"/>
                  <w:szCs w:val="22"/>
                </w:rPr>
                <w:t>9 January 2019</w:t>
              </w:r>
            </w:hyperlink>
          </w:p>
        </w:tc>
        <w:tc>
          <w:tcPr>
            <w:tcW w:w="1873" w:type="dxa"/>
          </w:tcPr>
          <w:p w14:paraId="52F17EED" w14:textId="77777777" w:rsidR="009A31E9" w:rsidRPr="008152B1" w:rsidRDefault="009A31E9">
            <w:pPr>
              <w:rPr>
                <w:sz w:val="22"/>
                <w:szCs w:val="22"/>
              </w:rPr>
            </w:pPr>
          </w:p>
        </w:tc>
        <w:tc>
          <w:tcPr>
            <w:tcW w:w="0" w:type="auto"/>
          </w:tcPr>
          <w:p w14:paraId="2EC399F4" w14:textId="77777777" w:rsidR="009A31E9" w:rsidRPr="008152B1" w:rsidRDefault="009A31E9">
            <w:pPr>
              <w:rPr>
                <w:sz w:val="22"/>
                <w:szCs w:val="22"/>
              </w:rPr>
            </w:pPr>
          </w:p>
        </w:tc>
      </w:tr>
      <w:tr w:rsidR="00773793" w:rsidRPr="008152B1" w14:paraId="088D43DE" w14:textId="20F5FC69" w:rsidTr="005361B7">
        <w:tc>
          <w:tcPr>
            <w:tcW w:w="1974" w:type="dxa"/>
          </w:tcPr>
          <w:p w14:paraId="00246D99" w14:textId="4270D916" w:rsidR="00E342FC" w:rsidRPr="00D6034F" w:rsidRDefault="00E342FC" w:rsidP="00E342FC">
            <w:pPr>
              <w:rPr>
                <w:sz w:val="22"/>
                <w:szCs w:val="22"/>
              </w:rPr>
            </w:pPr>
            <w:r w:rsidRPr="00D6034F">
              <w:rPr>
                <w:sz w:val="22"/>
                <w:szCs w:val="22"/>
              </w:rPr>
              <w:t>Q2</w:t>
            </w:r>
          </w:p>
          <w:p w14:paraId="108D28FA" w14:textId="77777777" w:rsidR="00E342FC" w:rsidRPr="00D6034F" w:rsidRDefault="00E342FC" w:rsidP="00E342FC">
            <w:pPr>
              <w:rPr>
                <w:sz w:val="22"/>
                <w:szCs w:val="22"/>
              </w:rPr>
            </w:pPr>
            <w:r w:rsidRPr="00D6034F">
              <w:rPr>
                <w:sz w:val="22"/>
                <w:szCs w:val="22"/>
              </w:rPr>
              <w:t xml:space="preserve">If the answers to 1.a. is “no” or 1.b. is “yes”, or if it could be better: What about the Trademark Claims Notice and/or the Notice of Registered Name should be adjusted, added or eliminated in order for it to have its </w:t>
            </w:r>
            <w:r w:rsidRPr="00D6034F">
              <w:rPr>
                <w:sz w:val="22"/>
                <w:szCs w:val="22"/>
              </w:rPr>
              <w:lastRenderedPageBreak/>
              <w:t>intended effect, under each of the following questions?</w:t>
            </w:r>
          </w:p>
          <w:p w14:paraId="1269C09D" w14:textId="4FFB1077" w:rsidR="00E342FC" w:rsidRPr="00F57B81" w:rsidRDefault="00E342FC" w:rsidP="00F57B81">
            <w:pPr>
              <w:pStyle w:val="ListParagraph"/>
              <w:numPr>
                <w:ilvl w:val="0"/>
                <w:numId w:val="2"/>
              </w:numPr>
              <w:rPr>
                <w:sz w:val="22"/>
                <w:szCs w:val="22"/>
              </w:rPr>
            </w:pPr>
            <w:r w:rsidRPr="00F57B81">
              <w:rPr>
                <w:sz w:val="22"/>
                <w:szCs w:val="22"/>
              </w:rPr>
              <w:t>Should the Claims period be extended - if so, for how long (up to permanently)?</w:t>
            </w:r>
          </w:p>
          <w:p w14:paraId="7E0EF4F2" w14:textId="77777777" w:rsidR="00E342FC" w:rsidRPr="00D6034F" w:rsidRDefault="00E342FC" w:rsidP="00E342FC">
            <w:pPr>
              <w:numPr>
                <w:ilvl w:val="0"/>
                <w:numId w:val="2"/>
              </w:numPr>
              <w:rPr>
                <w:sz w:val="22"/>
                <w:szCs w:val="22"/>
              </w:rPr>
            </w:pPr>
            <w:r w:rsidRPr="00D6034F">
              <w:rPr>
                <w:sz w:val="22"/>
                <w:szCs w:val="22"/>
              </w:rPr>
              <w:t>Should the Claims period be shortened?</w:t>
            </w:r>
          </w:p>
          <w:p w14:paraId="1ED7D6DE" w14:textId="77777777" w:rsidR="00E342FC" w:rsidRPr="00D6034F" w:rsidRDefault="00E342FC" w:rsidP="00E342FC">
            <w:pPr>
              <w:numPr>
                <w:ilvl w:val="0"/>
                <w:numId w:val="2"/>
              </w:numPr>
              <w:rPr>
                <w:sz w:val="22"/>
                <w:szCs w:val="22"/>
              </w:rPr>
            </w:pPr>
            <w:r w:rsidRPr="00D6034F">
              <w:rPr>
                <w:sz w:val="22"/>
                <w:szCs w:val="22"/>
              </w:rPr>
              <w:t>Should the Claims period be mandatory?</w:t>
            </w:r>
          </w:p>
          <w:p w14:paraId="595ABE5D" w14:textId="77777777" w:rsidR="00E342FC" w:rsidRPr="00D6034F" w:rsidRDefault="00E342FC" w:rsidP="00E342FC">
            <w:pPr>
              <w:numPr>
                <w:ilvl w:val="0"/>
                <w:numId w:val="2"/>
              </w:numPr>
              <w:rPr>
                <w:sz w:val="22"/>
                <w:szCs w:val="22"/>
              </w:rPr>
            </w:pPr>
            <w:r w:rsidRPr="00D6034F">
              <w:rPr>
                <w:sz w:val="22"/>
                <w:szCs w:val="22"/>
              </w:rPr>
              <w:t>Should any TLDs be exempt from the Claims RPM and if so, which ones and why?</w:t>
            </w:r>
          </w:p>
          <w:p w14:paraId="3BAF735D" w14:textId="5EF3944F" w:rsidR="009A31E9" w:rsidRPr="00D6034F" w:rsidRDefault="00E342FC" w:rsidP="00E342FC">
            <w:pPr>
              <w:numPr>
                <w:ilvl w:val="0"/>
                <w:numId w:val="2"/>
              </w:numPr>
              <w:rPr>
                <w:sz w:val="22"/>
                <w:szCs w:val="22"/>
              </w:rPr>
            </w:pPr>
            <w:r w:rsidRPr="00D6034F">
              <w:rPr>
                <w:sz w:val="22"/>
                <w:szCs w:val="22"/>
              </w:rPr>
              <w:t xml:space="preserve">Should the proof of use </w:t>
            </w:r>
            <w:r w:rsidRPr="00D6034F">
              <w:rPr>
                <w:sz w:val="22"/>
                <w:szCs w:val="22"/>
              </w:rPr>
              <w:lastRenderedPageBreak/>
              <w:t>requirements for Sunrise be extended to include the issuance of TMCH notices?</w:t>
            </w:r>
          </w:p>
        </w:tc>
        <w:tc>
          <w:tcPr>
            <w:tcW w:w="8551" w:type="dxa"/>
          </w:tcPr>
          <w:p w14:paraId="510B2EC2"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350DB546" w14:textId="77777777" w:rsidR="00406C72" w:rsidRPr="00773793" w:rsidRDefault="00406C72" w:rsidP="00406C72">
            <w:pPr>
              <w:pStyle w:val="NormalWeb"/>
              <w:spacing w:before="0" w:beforeAutospacing="0" w:after="0" w:afterAutospacing="0"/>
              <w:rPr>
                <w:rFonts w:ascii="Calibri" w:hAnsi="Calibri" w:cs="Calibri"/>
                <w:sz w:val="22"/>
                <w:szCs w:val="22"/>
              </w:rPr>
            </w:pPr>
            <w:commentRangeStart w:id="2"/>
            <w:r w:rsidRPr="00773793">
              <w:rPr>
                <w:rFonts w:ascii="Calibri" w:hAnsi="Calibri" w:cs="Calibri"/>
                <w:color w:val="000000"/>
                <w:sz w:val="22"/>
                <w:szCs w:val="22"/>
              </w:rPr>
              <w:t xml:space="preserve">The AG survey results assist in answering the sub questions (a), (b), (c), and (e): </w:t>
            </w:r>
          </w:p>
          <w:p w14:paraId="69F00E60"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(a) The Claims period should be extended, preferably on a permanent basis, based on most, if not all trademark and brand owner responses. Some Registry Operator and Registrar respondents support an extended Claims period, including a “perpetual” </w:t>
            </w:r>
            <w:commentRangeStart w:id="3"/>
            <w:r w:rsidRPr="00773793">
              <w:rPr>
                <w:rFonts w:ascii="Calibri" w:hAnsi="Calibri" w:cs="Calibri"/>
                <w:color w:val="000000"/>
                <w:sz w:val="22"/>
                <w:szCs w:val="22"/>
              </w:rPr>
              <w:t>length</w:t>
            </w:r>
            <w:commentRangeEnd w:id="3"/>
            <w:r w:rsidR="00B119CA">
              <w:rPr>
                <w:rStyle w:val="CommentReference"/>
                <w:rFonts w:asciiTheme="minorHAnsi" w:eastAsiaTheme="minorEastAsia" w:hAnsiTheme="minorHAnsi"/>
              </w:rPr>
              <w:commentReference w:id="3"/>
            </w:r>
            <w:r w:rsidRPr="00773793">
              <w:rPr>
                <w:rFonts w:ascii="Calibri" w:hAnsi="Calibri" w:cs="Calibri"/>
                <w:color w:val="000000"/>
                <w:sz w:val="22"/>
                <w:szCs w:val="22"/>
              </w:rPr>
              <w:t xml:space="preserve">. </w:t>
            </w:r>
            <w:commentRangeEnd w:id="2"/>
            <w:r w:rsidR="00DE16AF">
              <w:rPr>
                <w:rStyle w:val="CommentReference"/>
                <w:rFonts w:asciiTheme="minorHAnsi" w:eastAsiaTheme="minorEastAsia" w:hAnsiTheme="minorHAnsi"/>
              </w:rPr>
              <w:commentReference w:id="2"/>
            </w:r>
          </w:p>
          <w:p w14:paraId="396471CF"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(b) The Claims period should not be shortened based on most, if not all, trademark and brand owner responses. The Claims period should be shortened based on the majority of Registry Operator and Registrar responses. Nevertheless, there is no data showing substantial inappropriate deterrent effect of the period on actual and potential registrants. </w:t>
            </w:r>
          </w:p>
          <w:p w14:paraId="5D6EF27B"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(c) The Claims period should be mandatory based on most, if not all, trademark and brand owner responses. It should not be mandatory based on the majority of Registry Operator and Registrar responses.  </w:t>
            </w:r>
          </w:p>
          <w:p w14:paraId="04594230"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(e) Some Registry Operator responses imply the desire of extending the proof of use requirements for Sunrise to include the issuance of TMCH notices due to overly generic terms. </w:t>
            </w:r>
          </w:p>
          <w:p w14:paraId="6F4CD552"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lastRenderedPageBreak/>
              <w:t>The survey results do not assist in answering the sub question (d).</w:t>
            </w:r>
          </w:p>
          <w:p w14:paraId="71A0993B" w14:textId="77777777" w:rsidR="00406C72" w:rsidRPr="00773793" w:rsidRDefault="00406C72" w:rsidP="00406C72">
            <w:pPr>
              <w:rPr>
                <w:rFonts w:ascii="Calibri" w:hAnsi="Calibri" w:cs="Calibri"/>
                <w:sz w:val="22"/>
                <w:szCs w:val="22"/>
              </w:rPr>
            </w:pPr>
          </w:p>
          <w:p w14:paraId="392362BF"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15"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1D900C09"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Registries &amp; Registrars tab: cells D-H60-62, F29, F31, F-G63-66, F81, G74</w:t>
            </w:r>
          </w:p>
          <w:p w14:paraId="3A2A7628"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Q26 tab: cells B8-14</w:t>
            </w:r>
          </w:p>
          <w:p w14:paraId="0A03C1E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Q28 tab</w:t>
            </w:r>
          </w:p>
          <w:p w14:paraId="4D32D844"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tab: cells E-F12-27</w:t>
            </w:r>
          </w:p>
          <w:p w14:paraId="329F93A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D-G45-55, F84-85</w:t>
            </w:r>
          </w:p>
          <w:p w14:paraId="2EEF42AF" w14:textId="77777777" w:rsidR="00406C72" w:rsidRPr="00773793" w:rsidRDefault="00406C72" w:rsidP="00406C72">
            <w:pPr>
              <w:rPr>
                <w:rFonts w:ascii="Calibri" w:hAnsi="Calibri" w:cs="Calibri"/>
                <w:sz w:val="22"/>
                <w:szCs w:val="22"/>
              </w:rPr>
            </w:pPr>
          </w:p>
          <w:p w14:paraId="2BDDFA1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7DCFCE8B" w14:textId="77777777" w:rsidR="00406C72" w:rsidRPr="00773793" w:rsidRDefault="0035656A" w:rsidP="00406C72">
            <w:pPr>
              <w:pStyle w:val="NormalWeb"/>
              <w:spacing w:before="0" w:beforeAutospacing="0" w:after="0" w:afterAutospacing="0"/>
              <w:rPr>
                <w:rFonts w:ascii="Calibri" w:hAnsi="Calibri" w:cs="Calibri"/>
                <w:sz w:val="22"/>
                <w:szCs w:val="22"/>
              </w:rPr>
            </w:pPr>
            <w:hyperlink r:id="rId16" w:history="1">
              <w:r w:rsidR="00406C72" w:rsidRPr="00773793">
                <w:rPr>
                  <w:rStyle w:val="Hyperlink"/>
                  <w:rFonts w:ascii="Calibri" w:hAnsi="Calibri" w:cs="Calibri"/>
                  <w:color w:val="1155CC"/>
                  <w:sz w:val="22"/>
                  <w:szCs w:val="22"/>
                </w:rPr>
                <w:t>https://docs.google.com/document/d/1hvt63HvVdNdYIZxKVMXHq3fIEFxfnweT0F3ZXsJU_Q8/edit?usp=sharing</w:t>
              </w:r>
            </w:hyperlink>
            <w:r w:rsidR="00406C72" w:rsidRPr="00773793">
              <w:rPr>
                <w:rFonts w:ascii="Calibri" w:hAnsi="Calibri" w:cs="Calibri"/>
                <w:color w:val="000000"/>
                <w:sz w:val="22"/>
                <w:szCs w:val="22"/>
              </w:rPr>
              <w:t xml:space="preserve"> </w:t>
            </w:r>
          </w:p>
          <w:p w14:paraId="28339F50" w14:textId="77777777" w:rsidR="00406C72" w:rsidRPr="00773793" w:rsidRDefault="00406C72" w:rsidP="00406C72">
            <w:pPr>
              <w:rPr>
                <w:rFonts w:ascii="Calibri" w:hAnsi="Calibri" w:cs="Calibri"/>
                <w:sz w:val="22"/>
                <w:szCs w:val="22"/>
              </w:rPr>
            </w:pPr>
          </w:p>
          <w:p w14:paraId="54E97F3D" w14:textId="0B0B342C" w:rsidR="009A31E9"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Sub Team Discussion:</w:t>
            </w:r>
            <w:r w:rsidRPr="00773793">
              <w:rPr>
                <w:rFonts w:ascii="Calibri" w:hAnsi="Calibri" w:cs="Calibri"/>
                <w:color w:val="000000"/>
                <w:sz w:val="22"/>
                <w:szCs w:val="22"/>
              </w:rPr>
              <w:t xml:space="preserve"> </w:t>
            </w:r>
            <w:hyperlink r:id="rId17" w:history="1">
              <w:r w:rsidRPr="00773793">
                <w:rPr>
                  <w:rStyle w:val="Hyperlink"/>
                  <w:rFonts w:ascii="Calibri" w:hAnsi="Calibri" w:cs="Calibri"/>
                  <w:color w:val="1155CC"/>
                  <w:sz w:val="22"/>
                  <w:szCs w:val="22"/>
                </w:rPr>
                <w:t>23 January 2019</w:t>
              </w:r>
            </w:hyperlink>
          </w:p>
        </w:tc>
        <w:tc>
          <w:tcPr>
            <w:tcW w:w="1873" w:type="dxa"/>
          </w:tcPr>
          <w:p w14:paraId="1CC339CE" w14:textId="77777777" w:rsidR="009A31E9" w:rsidRPr="008152B1" w:rsidRDefault="009A31E9">
            <w:pPr>
              <w:rPr>
                <w:sz w:val="22"/>
                <w:szCs w:val="22"/>
              </w:rPr>
            </w:pPr>
          </w:p>
        </w:tc>
        <w:tc>
          <w:tcPr>
            <w:tcW w:w="0" w:type="auto"/>
          </w:tcPr>
          <w:p w14:paraId="17E108A9" w14:textId="77777777" w:rsidR="009A31E9" w:rsidRPr="008152B1" w:rsidRDefault="009A31E9">
            <w:pPr>
              <w:rPr>
                <w:sz w:val="22"/>
                <w:szCs w:val="22"/>
              </w:rPr>
            </w:pPr>
          </w:p>
        </w:tc>
      </w:tr>
      <w:tr w:rsidR="00773793" w:rsidRPr="008152B1" w14:paraId="1D2ED330" w14:textId="2F15FDEF" w:rsidTr="005361B7">
        <w:tc>
          <w:tcPr>
            <w:tcW w:w="1974" w:type="dxa"/>
          </w:tcPr>
          <w:p w14:paraId="2E715FAF" w14:textId="3D97F742" w:rsidR="009A31E9" w:rsidRPr="00D6034F" w:rsidRDefault="00E342FC">
            <w:pPr>
              <w:rPr>
                <w:sz w:val="22"/>
                <w:szCs w:val="22"/>
              </w:rPr>
            </w:pPr>
            <w:r w:rsidRPr="00D6034F">
              <w:rPr>
                <w:sz w:val="22"/>
                <w:szCs w:val="22"/>
              </w:rPr>
              <w:lastRenderedPageBreak/>
              <w:t>Q3</w:t>
            </w:r>
          </w:p>
          <w:p w14:paraId="73F44FF1" w14:textId="26CFAF62" w:rsidR="00E342FC" w:rsidRPr="00D6034F" w:rsidRDefault="00E342FC" w:rsidP="00E342FC">
            <w:pPr>
              <w:rPr>
                <w:bCs/>
                <w:sz w:val="22"/>
                <w:szCs w:val="22"/>
              </w:rPr>
            </w:pPr>
            <w:r w:rsidRPr="00D6034F">
              <w:rPr>
                <w:bCs/>
                <w:sz w:val="22"/>
                <w:szCs w:val="22"/>
              </w:rPr>
              <w:t>(a) Does the Trademark Claims Notice to domain name applicants meet its intended purpose?</w:t>
            </w:r>
          </w:p>
          <w:p w14:paraId="211B065D" w14:textId="76A1E255" w:rsidR="00E342FC" w:rsidRPr="00F57B81" w:rsidRDefault="00E342FC" w:rsidP="00F57B81">
            <w:pPr>
              <w:pStyle w:val="ListParagraph"/>
              <w:numPr>
                <w:ilvl w:val="0"/>
                <w:numId w:val="3"/>
              </w:numPr>
              <w:rPr>
                <w:bCs/>
                <w:sz w:val="22"/>
                <w:szCs w:val="22"/>
              </w:rPr>
            </w:pPr>
            <w:r w:rsidRPr="00F57B81">
              <w:rPr>
                <w:bCs/>
                <w:sz w:val="22"/>
                <w:szCs w:val="22"/>
              </w:rPr>
              <w:t>If not, is it intimidating, hard to understand, or otherwise inadequate?</w:t>
            </w:r>
            <w:r w:rsidR="00F57B81">
              <w:rPr>
                <w:bCs/>
                <w:sz w:val="22"/>
                <w:szCs w:val="22"/>
              </w:rPr>
              <w:t xml:space="preserve"> </w:t>
            </w:r>
            <w:r w:rsidRPr="00F57B81">
              <w:rPr>
                <w:bCs/>
                <w:sz w:val="22"/>
                <w:szCs w:val="22"/>
              </w:rPr>
              <w:t>If inadequate, how can it be improved?</w:t>
            </w:r>
          </w:p>
          <w:p w14:paraId="53458CE4" w14:textId="2ADE4C24" w:rsidR="00E342FC" w:rsidRPr="00F57B81" w:rsidRDefault="00E342FC" w:rsidP="00F57B81">
            <w:pPr>
              <w:numPr>
                <w:ilvl w:val="0"/>
                <w:numId w:val="3"/>
              </w:numPr>
              <w:rPr>
                <w:bCs/>
                <w:sz w:val="22"/>
                <w:szCs w:val="22"/>
              </w:rPr>
            </w:pPr>
            <w:r w:rsidRPr="00D6034F">
              <w:rPr>
                <w:bCs/>
                <w:sz w:val="22"/>
                <w:szCs w:val="22"/>
              </w:rPr>
              <w:t xml:space="preserve">Does it inform domain name applicants of the </w:t>
            </w:r>
            <w:r w:rsidRPr="00D6034F">
              <w:rPr>
                <w:bCs/>
                <w:sz w:val="22"/>
                <w:szCs w:val="22"/>
              </w:rPr>
              <w:lastRenderedPageBreak/>
              <w:t>scope and limitations of trademark holders’ rights?</w:t>
            </w:r>
            <w:r w:rsidR="00F57B81">
              <w:rPr>
                <w:bCs/>
                <w:sz w:val="22"/>
                <w:szCs w:val="22"/>
              </w:rPr>
              <w:t xml:space="preserve"> </w:t>
            </w:r>
            <w:r w:rsidRPr="00F57B81">
              <w:rPr>
                <w:bCs/>
                <w:sz w:val="22"/>
                <w:szCs w:val="22"/>
              </w:rPr>
              <w:t>If not, how can it be improved?</w:t>
            </w:r>
          </w:p>
          <w:p w14:paraId="250043D4" w14:textId="1B0BF594" w:rsidR="00E342FC" w:rsidRPr="00D6034F" w:rsidRDefault="00E342FC" w:rsidP="00E342FC">
            <w:pPr>
              <w:numPr>
                <w:ilvl w:val="0"/>
                <w:numId w:val="3"/>
              </w:numPr>
              <w:rPr>
                <w:bCs/>
                <w:sz w:val="22"/>
                <w:szCs w:val="22"/>
              </w:rPr>
            </w:pPr>
            <w:r w:rsidRPr="00D6034F">
              <w:rPr>
                <w:bCs/>
                <w:sz w:val="22"/>
                <w:szCs w:val="22"/>
              </w:rPr>
              <w:t>Are translations of the Trademark Claims Notice effective in informing domain name applicants of the scope and limitation of trademark holders’ rights?</w:t>
            </w:r>
          </w:p>
          <w:p w14:paraId="4E85B45F" w14:textId="2255037B" w:rsidR="009A31E9" w:rsidRPr="00D6034F" w:rsidRDefault="00E342FC">
            <w:pPr>
              <w:rPr>
                <w:bCs/>
                <w:sz w:val="22"/>
                <w:szCs w:val="22"/>
              </w:rPr>
            </w:pPr>
            <w:r w:rsidRPr="00D6034F">
              <w:rPr>
                <w:bCs/>
                <w:sz w:val="22"/>
                <w:szCs w:val="22"/>
              </w:rPr>
              <w:t xml:space="preserve">(b) Should Claims Notifications only be sent to registrants who complete domain name registrations, as opposed to </w:t>
            </w:r>
            <w:r w:rsidRPr="00D6034F">
              <w:rPr>
                <w:bCs/>
                <w:sz w:val="22"/>
                <w:szCs w:val="22"/>
              </w:rPr>
              <w:lastRenderedPageBreak/>
              <w:t>those who are attempting to register domain names that are matches to entries in the TMCH?</w:t>
            </w:r>
          </w:p>
        </w:tc>
        <w:tc>
          <w:tcPr>
            <w:tcW w:w="8551" w:type="dxa"/>
          </w:tcPr>
          <w:p w14:paraId="60DA90A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3BEBF683"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AG survey results assist in answering this question, including all of its sub questions (a), (a)(i), (a)(ii), (a)(iii), and (b): </w:t>
            </w:r>
          </w:p>
          <w:p w14:paraId="665CE0FF"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(a) The Claims Notice to domain name applicants seems to fall short of meeting its intended purpose, although there is evidence that the Claims Notice does affect the applicant’s decision whether or not to proceed with a registration.</w:t>
            </w:r>
          </w:p>
          <w:p w14:paraId="14307593"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(a)(i) The Claims Notice seems intimidating and hard understand to the majority of actual and potential registrant respondents, implying the need for improvement. Some registrar respondents hold the same opinion. Trademark and brand owner respondents have mixed responses on its adequacy. </w:t>
            </w:r>
          </w:p>
          <w:p w14:paraId="221B4133"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(a)(ii) The Claims Notice does not seem to adequately inform domain name applicants of the scope and limitations of trademark holders’ rights based on many actual and potential registrants’ responses. Some registrar respondents hold the same opinion. </w:t>
            </w:r>
          </w:p>
          <w:p w14:paraId="0AA10F3B"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(a)(iii) There are issues with regard to translations of the Claims Notice in informing domain name applicants of the scope and limitation of trademark holders’ rights. Some Registrar respondents do not translate the Claims Notice into all of the languages that they use when doing business with new gTLD registrants. As the survey data shows that the Claims Notice does not work well in the language in which it was initially drafted, it is implied that it would unlikely be more comprehensible in translation. </w:t>
            </w:r>
          </w:p>
          <w:p w14:paraId="5FD20BC5" w14:textId="5D4B50D4"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(b) The majority of trademark and brand owner respondents think the Claims Notice should be sent to registrants who are attempting to register domain names that are matches to entries in the TMCH. Registrar respondents have mixed opinions, but half think that the Claims notice should be sent to registrants when they proceed to check out the domain names. Some Registar respondents report challenges regarding sending the Claims Notice for pre-order </w:t>
            </w:r>
            <w:r w:rsidRPr="00773793">
              <w:rPr>
                <w:rFonts w:ascii="Calibri" w:hAnsi="Calibri" w:cs="Calibri"/>
                <w:color w:val="000000"/>
                <w:sz w:val="22"/>
                <w:szCs w:val="22"/>
              </w:rPr>
              <w:lastRenderedPageBreak/>
              <w:t xml:space="preserve">names, including expired Claims Notice and order flow issues. Registry Operator respondents mostly find that Claims Notice would not add too much cost. </w:t>
            </w:r>
          </w:p>
          <w:p w14:paraId="181A6D65" w14:textId="77777777" w:rsidR="00406C72" w:rsidRPr="00773793" w:rsidRDefault="00406C72" w:rsidP="00406C72">
            <w:pPr>
              <w:rPr>
                <w:rFonts w:ascii="Calibri" w:hAnsi="Calibri" w:cs="Calibri"/>
                <w:sz w:val="22"/>
                <w:szCs w:val="22"/>
              </w:rPr>
            </w:pPr>
          </w:p>
          <w:p w14:paraId="48E37396"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18"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58D62EA9"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tab: cells D-E-F12-27</w:t>
            </w:r>
          </w:p>
          <w:p w14:paraId="2BC8FC3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 tab</w:t>
            </w:r>
          </w:p>
          <w:p w14:paraId="587F7B6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Q11b tab</w:t>
            </w:r>
          </w:p>
          <w:p w14:paraId="2DAE0093"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Registrant - Q11c tab </w:t>
            </w:r>
          </w:p>
          <w:p w14:paraId="0758DF4C"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&amp; Registrars tab: cell D-F56, G70, G72, G74, G67-68, G75</w:t>
            </w:r>
          </w:p>
          <w:p w14:paraId="777B1C8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Q26 tab</w:t>
            </w:r>
          </w:p>
          <w:p w14:paraId="49036B6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cells F50-55, F56</w:t>
            </w:r>
          </w:p>
          <w:p w14:paraId="233BEC9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Owner - Q27 tab</w:t>
            </w:r>
          </w:p>
          <w:p w14:paraId="4CF12497" w14:textId="77777777" w:rsidR="00406C72" w:rsidRPr="00773793" w:rsidRDefault="00406C72" w:rsidP="00406C72">
            <w:pPr>
              <w:rPr>
                <w:rFonts w:ascii="Calibri" w:hAnsi="Calibri" w:cs="Calibri"/>
                <w:sz w:val="22"/>
                <w:szCs w:val="22"/>
              </w:rPr>
            </w:pPr>
          </w:p>
          <w:p w14:paraId="5A15A1B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0AEA337E" w14:textId="77777777" w:rsidR="00406C72" w:rsidRPr="00773793" w:rsidRDefault="0035656A" w:rsidP="00406C72">
            <w:pPr>
              <w:pStyle w:val="NormalWeb"/>
              <w:spacing w:before="0" w:beforeAutospacing="0" w:after="0" w:afterAutospacing="0"/>
              <w:rPr>
                <w:rFonts w:ascii="Calibri" w:hAnsi="Calibri" w:cs="Calibri"/>
                <w:sz w:val="22"/>
                <w:szCs w:val="22"/>
              </w:rPr>
            </w:pPr>
            <w:hyperlink r:id="rId19" w:history="1">
              <w:r w:rsidR="00406C72" w:rsidRPr="00773793">
                <w:rPr>
                  <w:rStyle w:val="Hyperlink"/>
                  <w:rFonts w:ascii="Calibri" w:hAnsi="Calibri" w:cs="Calibri"/>
                  <w:color w:val="1155CC"/>
                  <w:sz w:val="22"/>
                  <w:szCs w:val="22"/>
                </w:rPr>
                <w:t>https://docs.google.com/document/d/1WLE91cg73avpWHkzczNCnxw1ALWyhWqGZOnnrmqTsH4/edit?usp=sharing</w:t>
              </w:r>
            </w:hyperlink>
            <w:r w:rsidR="00406C72" w:rsidRPr="00773793">
              <w:rPr>
                <w:rFonts w:ascii="Calibri" w:hAnsi="Calibri" w:cs="Calibri"/>
                <w:color w:val="000000"/>
                <w:sz w:val="22"/>
                <w:szCs w:val="22"/>
              </w:rPr>
              <w:t xml:space="preserve"> </w:t>
            </w:r>
          </w:p>
          <w:p w14:paraId="55C610DC" w14:textId="77777777" w:rsidR="00406C72" w:rsidRPr="00773793" w:rsidRDefault="00406C72" w:rsidP="00406C72">
            <w:pPr>
              <w:rPr>
                <w:rFonts w:ascii="Calibri" w:hAnsi="Calibri" w:cs="Calibri"/>
                <w:sz w:val="22"/>
                <w:szCs w:val="22"/>
              </w:rPr>
            </w:pPr>
            <w:r w:rsidRPr="00773793">
              <w:rPr>
                <w:rFonts w:ascii="Calibri" w:hAnsi="Calibri" w:cs="Calibri"/>
                <w:sz w:val="22"/>
                <w:szCs w:val="22"/>
              </w:rPr>
              <w:br/>
            </w:r>
            <w:r w:rsidRPr="00773793">
              <w:rPr>
                <w:rFonts w:ascii="Calibri" w:hAnsi="Calibri" w:cs="Calibri"/>
                <w:b/>
                <w:bCs/>
                <w:color w:val="000000"/>
                <w:sz w:val="22"/>
                <w:szCs w:val="22"/>
              </w:rPr>
              <w:t xml:space="preserve">Sub Team Discussion: </w:t>
            </w:r>
            <w:hyperlink r:id="rId20" w:history="1">
              <w:r w:rsidRPr="00773793">
                <w:rPr>
                  <w:rStyle w:val="Hyperlink"/>
                  <w:rFonts w:ascii="Calibri" w:hAnsi="Calibri" w:cs="Calibri"/>
                  <w:color w:val="1155CC"/>
                  <w:sz w:val="22"/>
                  <w:szCs w:val="22"/>
                </w:rPr>
                <w:t>16 January 2019</w:t>
              </w:r>
            </w:hyperlink>
            <w:r w:rsidRPr="00773793">
              <w:rPr>
                <w:rFonts w:ascii="Calibri" w:hAnsi="Calibri" w:cs="Calibri"/>
                <w:color w:val="000000"/>
                <w:sz w:val="22"/>
                <w:szCs w:val="22"/>
              </w:rPr>
              <w:t xml:space="preserve">, </w:t>
            </w:r>
            <w:r w:rsidRPr="00773793">
              <w:rPr>
                <w:rFonts w:ascii="Calibri" w:hAnsi="Calibri" w:cs="Calibri"/>
                <w:b/>
                <w:bCs/>
                <w:color w:val="000000"/>
                <w:sz w:val="22"/>
                <w:szCs w:val="22"/>
              </w:rPr>
              <w:t> </w:t>
            </w:r>
            <w:hyperlink r:id="rId21" w:history="1">
              <w:r w:rsidRPr="00773793">
                <w:rPr>
                  <w:rStyle w:val="Hyperlink"/>
                  <w:rFonts w:ascii="Calibri" w:hAnsi="Calibri" w:cs="Calibri"/>
                  <w:color w:val="1155CC"/>
                  <w:sz w:val="22"/>
                  <w:szCs w:val="22"/>
                </w:rPr>
                <w:t>23 January 2019</w:t>
              </w:r>
            </w:hyperlink>
          </w:p>
          <w:p w14:paraId="7A6577F3" w14:textId="77777777" w:rsidR="009A31E9" w:rsidRPr="00773793" w:rsidRDefault="009A31E9">
            <w:pPr>
              <w:rPr>
                <w:rFonts w:ascii="Calibri" w:hAnsi="Calibri" w:cs="Calibri"/>
                <w:sz w:val="22"/>
                <w:szCs w:val="22"/>
              </w:rPr>
            </w:pPr>
          </w:p>
        </w:tc>
        <w:tc>
          <w:tcPr>
            <w:tcW w:w="1873" w:type="dxa"/>
          </w:tcPr>
          <w:p w14:paraId="21B7A482" w14:textId="77777777" w:rsidR="009A31E9" w:rsidRPr="008152B1" w:rsidRDefault="009A31E9">
            <w:pPr>
              <w:rPr>
                <w:sz w:val="22"/>
                <w:szCs w:val="22"/>
              </w:rPr>
            </w:pPr>
          </w:p>
        </w:tc>
        <w:tc>
          <w:tcPr>
            <w:tcW w:w="0" w:type="auto"/>
          </w:tcPr>
          <w:p w14:paraId="79BB78B0" w14:textId="77777777" w:rsidR="009A31E9" w:rsidRPr="008152B1" w:rsidRDefault="009A31E9">
            <w:pPr>
              <w:rPr>
                <w:sz w:val="22"/>
                <w:szCs w:val="22"/>
              </w:rPr>
            </w:pPr>
          </w:p>
        </w:tc>
      </w:tr>
      <w:tr w:rsidR="00773793" w:rsidRPr="008152B1" w14:paraId="1A99092F" w14:textId="4C06E4AA" w:rsidTr="005361B7">
        <w:tc>
          <w:tcPr>
            <w:tcW w:w="1974" w:type="dxa"/>
          </w:tcPr>
          <w:p w14:paraId="60EF6DCD" w14:textId="77777777" w:rsidR="009A31E9" w:rsidRPr="00D6034F" w:rsidRDefault="009A31E9">
            <w:pPr>
              <w:rPr>
                <w:sz w:val="22"/>
                <w:szCs w:val="22"/>
              </w:rPr>
            </w:pPr>
            <w:r w:rsidRPr="00D6034F">
              <w:rPr>
                <w:sz w:val="22"/>
                <w:szCs w:val="22"/>
              </w:rPr>
              <w:lastRenderedPageBreak/>
              <w:t>Q4</w:t>
            </w:r>
          </w:p>
          <w:p w14:paraId="58768EC8" w14:textId="77777777" w:rsidR="00E342FC" w:rsidRPr="00D6034F" w:rsidRDefault="00E342FC" w:rsidP="00E342FC">
            <w:pPr>
              <w:rPr>
                <w:sz w:val="22"/>
                <w:szCs w:val="22"/>
              </w:rPr>
            </w:pPr>
            <w:r w:rsidRPr="00D6034F">
              <w:rPr>
                <w:sz w:val="22"/>
                <w:szCs w:val="22"/>
              </w:rPr>
              <w:t>Is the exact match requirement for Trademark Claims serving the intended purposes of the Trademark Claims RPM? In conducting this analysis, recall that IDNs and Latin-based words with accents and umlauts are currently not serviced or recognized by many registries.</w:t>
            </w:r>
          </w:p>
          <w:p w14:paraId="57506858" w14:textId="157413A6" w:rsidR="00E342FC" w:rsidRPr="00322E5D" w:rsidRDefault="00E342FC" w:rsidP="00A62DC0">
            <w:pPr>
              <w:pStyle w:val="ListParagraph"/>
              <w:numPr>
                <w:ilvl w:val="0"/>
                <w:numId w:val="16"/>
              </w:numPr>
              <w:ind w:left="342"/>
              <w:rPr>
                <w:sz w:val="22"/>
                <w:szCs w:val="22"/>
              </w:rPr>
            </w:pPr>
            <w:r w:rsidRPr="00322E5D">
              <w:rPr>
                <w:sz w:val="22"/>
                <w:szCs w:val="22"/>
              </w:rPr>
              <w:t>What is the evidence of harm under the existing system?</w:t>
            </w:r>
          </w:p>
          <w:p w14:paraId="1E50708D" w14:textId="77777777" w:rsidR="00322E5D" w:rsidRDefault="00E342FC" w:rsidP="00A62DC0">
            <w:pPr>
              <w:numPr>
                <w:ilvl w:val="0"/>
                <w:numId w:val="16"/>
              </w:numPr>
              <w:ind w:left="342"/>
              <w:rPr>
                <w:sz w:val="22"/>
                <w:szCs w:val="22"/>
              </w:rPr>
            </w:pPr>
            <w:r w:rsidRPr="00D6034F">
              <w:rPr>
                <w:sz w:val="22"/>
                <w:szCs w:val="22"/>
              </w:rPr>
              <w:t>Should the matching criteria for Notices be expanded?</w:t>
            </w:r>
          </w:p>
          <w:p w14:paraId="075FA27E" w14:textId="77777777" w:rsidR="00322E5D" w:rsidRDefault="00E342FC" w:rsidP="00A62DC0">
            <w:pPr>
              <w:pStyle w:val="ListParagraph"/>
              <w:numPr>
                <w:ilvl w:val="0"/>
                <w:numId w:val="21"/>
              </w:numPr>
              <w:ind w:left="702"/>
              <w:rPr>
                <w:sz w:val="22"/>
                <w:szCs w:val="22"/>
              </w:rPr>
            </w:pPr>
            <w:r w:rsidRPr="00322E5D">
              <w:rPr>
                <w:sz w:val="22"/>
                <w:szCs w:val="22"/>
              </w:rPr>
              <w:lastRenderedPageBreak/>
              <w:t>Should the marks in the TMCH be the basis for an expansion of matches for the purpose of providing a broader range of claims notices?</w:t>
            </w:r>
          </w:p>
          <w:p w14:paraId="4C220330" w14:textId="77777777" w:rsidR="00322E5D" w:rsidRDefault="00E342FC" w:rsidP="00A62DC0">
            <w:pPr>
              <w:pStyle w:val="ListParagraph"/>
              <w:numPr>
                <w:ilvl w:val="0"/>
                <w:numId w:val="22"/>
              </w:numPr>
              <w:ind w:left="702" w:hanging="360"/>
              <w:rPr>
                <w:sz w:val="22"/>
                <w:szCs w:val="22"/>
              </w:rPr>
            </w:pPr>
            <w:r w:rsidRPr="00322E5D">
              <w:rPr>
                <w:sz w:val="22"/>
                <w:szCs w:val="22"/>
              </w:rPr>
              <w:t>What results (including unintended consequences) might each suggested form of expansion of matching criteria have?</w:t>
            </w:r>
          </w:p>
          <w:p w14:paraId="0D850EBD" w14:textId="77777777" w:rsidR="00322E5D" w:rsidRDefault="00E342FC" w:rsidP="00A62DC0">
            <w:pPr>
              <w:pStyle w:val="ListParagraph"/>
              <w:numPr>
                <w:ilvl w:val="0"/>
                <w:numId w:val="22"/>
              </w:numPr>
              <w:ind w:left="702" w:hanging="360"/>
              <w:rPr>
                <w:sz w:val="22"/>
                <w:szCs w:val="22"/>
              </w:rPr>
            </w:pPr>
            <w:r w:rsidRPr="00322E5D">
              <w:rPr>
                <w:sz w:val="22"/>
                <w:szCs w:val="22"/>
              </w:rPr>
              <w:t xml:space="preserve">What balance should be adhered to in striving to deter </w:t>
            </w:r>
            <w:r w:rsidRPr="00322E5D">
              <w:rPr>
                <w:sz w:val="22"/>
                <w:szCs w:val="22"/>
              </w:rPr>
              <w:lastRenderedPageBreak/>
              <w:t>bad-faith registrations but not good-faith domain name applications?</w:t>
            </w:r>
          </w:p>
          <w:p w14:paraId="740F70C3" w14:textId="1CB6025B" w:rsidR="00E342FC" w:rsidRPr="00322E5D" w:rsidRDefault="00E342FC" w:rsidP="00A62DC0">
            <w:pPr>
              <w:pStyle w:val="ListParagraph"/>
              <w:numPr>
                <w:ilvl w:val="0"/>
                <w:numId w:val="22"/>
              </w:numPr>
              <w:ind w:left="702" w:hanging="360"/>
              <w:rPr>
                <w:sz w:val="22"/>
                <w:szCs w:val="22"/>
              </w:rPr>
            </w:pPr>
            <w:r w:rsidRPr="00322E5D">
              <w:rPr>
                <w:sz w:val="22"/>
                <w:szCs w:val="22"/>
              </w:rPr>
              <w:t>What is the resulting list of non-exact match criteria recommended by the WG, if any?</w:t>
            </w:r>
          </w:p>
          <w:p w14:paraId="0F65EC58" w14:textId="03E5744E" w:rsidR="00E342FC" w:rsidRPr="00322E5D" w:rsidRDefault="00E342FC" w:rsidP="00A62DC0">
            <w:pPr>
              <w:pStyle w:val="ListParagraph"/>
              <w:numPr>
                <w:ilvl w:val="0"/>
                <w:numId w:val="16"/>
              </w:numPr>
              <w:ind w:left="342"/>
              <w:rPr>
                <w:sz w:val="22"/>
                <w:szCs w:val="22"/>
              </w:rPr>
            </w:pPr>
            <w:r w:rsidRPr="00322E5D">
              <w:rPr>
                <w:sz w:val="22"/>
                <w:szCs w:val="22"/>
              </w:rPr>
              <w:t>What is the feasibility of implementation for each form of expanded matches?</w:t>
            </w:r>
          </w:p>
          <w:p w14:paraId="5428970D" w14:textId="77777777" w:rsidR="00E342FC" w:rsidRPr="00D6034F" w:rsidRDefault="00E342FC" w:rsidP="00A62DC0">
            <w:pPr>
              <w:numPr>
                <w:ilvl w:val="0"/>
                <w:numId w:val="16"/>
              </w:numPr>
              <w:ind w:left="342"/>
              <w:rPr>
                <w:sz w:val="22"/>
                <w:szCs w:val="22"/>
              </w:rPr>
            </w:pPr>
            <w:r w:rsidRPr="00D6034F">
              <w:rPr>
                <w:sz w:val="22"/>
                <w:szCs w:val="22"/>
              </w:rPr>
              <w:t>If an expansion of matches solution were to be implemented:</w:t>
            </w:r>
          </w:p>
          <w:p w14:paraId="3DFD11CA" w14:textId="77777777" w:rsidR="00322E5D" w:rsidRDefault="00E342FC" w:rsidP="00A62DC0">
            <w:pPr>
              <w:pStyle w:val="ListParagraph"/>
              <w:numPr>
                <w:ilvl w:val="1"/>
                <w:numId w:val="16"/>
              </w:numPr>
              <w:ind w:left="702" w:hanging="180"/>
              <w:rPr>
                <w:sz w:val="22"/>
                <w:szCs w:val="22"/>
              </w:rPr>
            </w:pPr>
            <w:r w:rsidRPr="00322E5D">
              <w:rPr>
                <w:sz w:val="22"/>
                <w:szCs w:val="22"/>
              </w:rPr>
              <w:t>Should the existing TM Claims Notice be amended? If so, how?</w:t>
            </w:r>
          </w:p>
          <w:p w14:paraId="31EED038" w14:textId="15F39DE5" w:rsidR="009A31E9" w:rsidRPr="00322E5D" w:rsidRDefault="00E342FC" w:rsidP="00A62DC0">
            <w:pPr>
              <w:pStyle w:val="ListParagraph"/>
              <w:numPr>
                <w:ilvl w:val="1"/>
                <w:numId w:val="16"/>
              </w:numPr>
              <w:ind w:left="702" w:hanging="180"/>
              <w:rPr>
                <w:sz w:val="22"/>
                <w:szCs w:val="22"/>
              </w:rPr>
            </w:pPr>
            <w:r w:rsidRPr="00322E5D">
              <w:rPr>
                <w:sz w:val="22"/>
                <w:szCs w:val="22"/>
              </w:rPr>
              <w:lastRenderedPageBreak/>
              <w:t>Should the Claim period differ for exact matches versus non-exact matches?</w:t>
            </w:r>
          </w:p>
        </w:tc>
        <w:tc>
          <w:tcPr>
            <w:tcW w:w="8551" w:type="dxa"/>
          </w:tcPr>
          <w:p w14:paraId="62119808"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58025C7F" w14:textId="7456A0AB"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AG survey results assist in answering its sub question (a). Trademark and brand owner responses indicate that there is evidence of harm under the existing exact match system. Examples include the constraints of registering a company mark including a ‘Co’, </w:t>
            </w:r>
            <w:r w:rsidR="000B6D94">
              <w:rPr>
                <w:rFonts w:ascii="Calibri" w:hAnsi="Calibri" w:cs="Calibri"/>
                <w:color w:val="000000"/>
                <w:sz w:val="22"/>
                <w:szCs w:val="22"/>
              </w:rPr>
              <w:t xml:space="preserve">IDN issues, </w:t>
            </w:r>
            <w:r w:rsidRPr="00773793">
              <w:rPr>
                <w:rFonts w:ascii="Calibri" w:hAnsi="Calibri" w:cs="Calibri"/>
                <w:color w:val="000000"/>
                <w:sz w:val="22"/>
                <w:szCs w:val="22"/>
              </w:rPr>
              <w:t xml:space="preserve">as well as limitations in deterring potential bad faith registration of confusingly similar names, creative misspelling, combination of exact match with other terms/charters, etc. Consequently, Trademark and brand owner respondents have to pursue greater enforcement </w:t>
            </w:r>
            <w:commentRangeStart w:id="4"/>
            <w:r w:rsidRPr="00773793">
              <w:rPr>
                <w:rFonts w:ascii="Calibri" w:hAnsi="Calibri" w:cs="Calibri"/>
                <w:color w:val="000000"/>
                <w:sz w:val="22"/>
                <w:szCs w:val="22"/>
              </w:rPr>
              <w:t>actions</w:t>
            </w:r>
            <w:commentRangeEnd w:id="4"/>
            <w:r w:rsidR="0071109C">
              <w:rPr>
                <w:rStyle w:val="CommentReference"/>
                <w:rFonts w:asciiTheme="minorHAnsi" w:eastAsiaTheme="minorEastAsia" w:hAnsiTheme="minorHAnsi"/>
              </w:rPr>
              <w:commentReference w:id="4"/>
            </w:r>
            <w:r w:rsidRPr="00773793">
              <w:rPr>
                <w:rFonts w:ascii="Calibri" w:hAnsi="Calibri" w:cs="Calibri"/>
                <w:color w:val="000000"/>
                <w:sz w:val="22"/>
                <w:szCs w:val="22"/>
              </w:rPr>
              <w:t xml:space="preserve">. </w:t>
            </w:r>
          </w:p>
          <w:p w14:paraId="6DA35C0F" w14:textId="77777777" w:rsidR="00406C72" w:rsidRPr="00773793" w:rsidRDefault="00406C72" w:rsidP="00406C72">
            <w:pPr>
              <w:rPr>
                <w:rFonts w:ascii="Calibri" w:hAnsi="Calibri" w:cs="Calibri"/>
                <w:sz w:val="22"/>
                <w:szCs w:val="22"/>
              </w:rPr>
            </w:pPr>
          </w:p>
          <w:p w14:paraId="2F0FA92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survey results do not assist in answering the other sub questions. Nevertheless, Trademark and brand owner respondents overwhelming desire expanded matches (answer to sub question (b)); the anecdotal evidence cited above (sub question (a)) supports this idea. </w:t>
            </w:r>
          </w:p>
          <w:p w14:paraId="06DA1BC3" w14:textId="77777777" w:rsidR="00406C72" w:rsidRPr="00773793" w:rsidRDefault="00406C72" w:rsidP="00406C72">
            <w:pPr>
              <w:rPr>
                <w:rFonts w:ascii="Calibri" w:hAnsi="Calibri" w:cs="Calibri"/>
                <w:sz w:val="22"/>
                <w:szCs w:val="22"/>
              </w:rPr>
            </w:pPr>
          </w:p>
          <w:p w14:paraId="7867B75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22"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3DF18AF4"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cells F9, F55, F66-68, F70-73, F80-81</w:t>
            </w:r>
          </w:p>
          <w:p w14:paraId="766C805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Q29a tab: cell A7</w:t>
            </w:r>
          </w:p>
          <w:p w14:paraId="3B84714F"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G12, E13, G19, F27</w:t>
            </w:r>
          </w:p>
          <w:p w14:paraId="62FBA629" w14:textId="77777777" w:rsidR="00406C72" w:rsidRPr="00773793" w:rsidRDefault="00406C72" w:rsidP="00406C72">
            <w:pPr>
              <w:rPr>
                <w:rFonts w:ascii="Calibri" w:hAnsi="Calibri" w:cs="Calibri"/>
                <w:sz w:val="22"/>
                <w:szCs w:val="22"/>
              </w:rPr>
            </w:pPr>
          </w:p>
          <w:p w14:paraId="6B22512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1E903257" w14:textId="77777777" w:rsidR="00406C72" w:rsidRPr="00773793" w:rsidRDefault="0035656A" w:rsidP="00406C72">
            <w:pPr>
              <w:pStyle w:val="NormalWeb"/>
              <w:spacing w:before="0" w:beforeAutospacing="0" w:after="0" w:afterAutospacing="0"/>
              <w:rPr>
                <w:rFonts w:ascii="Calibri" w:hAnsi="Calibri" w:cs="Calibri"/>
                <w:sz w:val="22"/>
                <w:szCs w:val="22"/>
              </w:rPr>
            </w:pPr>
            <w:hyperlink r:id="rId23" w:history="1">
              <w:r w:rsidR="00406C72" w:rsidRPr="00773793">
                <w:rPr>
                  <w:rStyle w:val="Hyperlink"/>
                  <w:rFonts w:ascii="Calibri" w:hAnsi="Calibri" w:cs="Calibri"/>
                  <w:color w:val="1155CC"/>
                  <w:sz w:val="22"/>
                  <w:szCs w:val="22"/>
                </w:rPr>
                <w:t>https://docs.google.com/document/d/1WBfc0bWkylDY4Ijr2I_-5hRjnYKPDjSYw9DQnlh7WHY/edit?usp=sharing</w:t>
              </w:r>
            </w:hyperlink>
            <w:r w:rsidR="00406C72" w:rsidRPr="00773793">
              <w:rPr>
                <w:rFonts w:ascii="Calibri" w:hAnsi="Calibri" w:cs="Calibri"/>
                <w:color w:val="000000"/>
                <w:sz w:val="22"/>
                <w:szCs w:val="22"/>
              </w:rPr>
              <w:t xml:space="preserve"> </w:t>
            </w:r>
          </w:p>
          <w:p w14:paraId="1CE8001C" w14:textId="77777777" w:rsidR="00406C72" w:rsidRPr="00773793" w:rsidRDefault="00406C72" w:rsidP="00406C72">
            <w:pPr>
              <w:rPr>
                <w:rFonts w:ascii="Calibri" w:hAnsi="Calibri" w:cs="Calibri"/>
                <w:sz w:val="22"/>
                <w:szCs w:val="22"/>
              </w:rPr>
            </w:pPr>
            <w:r w:rsidRPr="00773793">
              <w:rPr>
                <w:rFonts w:ascii="Calibri" w:hAnsi="Calibri" w:cs="Calibri"/>
                <w:sz w:val="22"/>
                <w:szCs w:val="22"/>
              </w:rPr>
              <w:br/>
            </w:r>
            <w:r w:rsidRPr="00773793">
              <w:rPr>
                <w:rFonts w:ascii="Calibri" w:hAnsi="Calibri" w:cs="Calibri"/>
                <w:b/>
                <w:bCs/>
                <w:color w:val="000000"/>
                <w:sz w:val="22"/>
                <w:szCs w:val="22"/>
              </w:rPr>
              <w:t xml:space="preserve">Sub Team Discussion: </w:t>
            </w:r>
            <w:hyperlink r:id="rId24" w:history="1">
              <w:r w:rsidRPr="00773793">
                <w:rPr>
                  <w:rStyle w:val="Hyperlink"/>
                  <w:rFonts w:ascii="Calibri" w:hAnsi="Calibri" w:cs="Calibri"/>
                  <w:color w:val="1155CC"/>
                  <w:sz w:val="22"/>
                  <w:szCs w:val="22"/>
                </w:rPr>
                <w:t>23 January 2019</w:t>
              </w:r>
            </w:hyperlink>
          </w:p>
          <w:p w14:paraId="31B6CC89" w14:textId="77777777" w:rsidR="009A31E9" w:rsidRPr="00773793" w:rsidRDefault="009A31E9">
            <w:pPr>
              <w:rPr>
                <w:rFonts w:ascii="Calibri" w:hAnsi="Calibri" w:cs="Calibri"/>
                <w:sz w:val="22"/>
                <w:szCs w:val="22"/>
              </w:rPr>
            </w:pPr>
          </w:p>
        </w:tc>
        <w:tc>
          <w:tcPr>
            <w:tcW w:w="1873" w:type="dxa"/>
          </w:tcPr>
          <w:p w14:paraId="4CD17597" w14:textId="77777777" w:rsidR="009A31E9" w:rsidRPr="008152B1" w:rsidRDefault="009A31E9">
            <w:pPr>
              <w:rPr>
                <w:sz w:val="22"/>
                <w:szCs w:val="22"/>
              </w:rPr>
            </w:pPr>
          </w:p>
        </w:tc>
        <w:tc>
          <w:tcPr>
            <w:tcW w:w="0" w:type="auto"/>
          </w:tcPr>
          <w:p w14:paraId="3F7F396E" w14:textId="77777777" w:rsidR="009A31E9" w:rsidRPr="008152B1" w:rsidRDefault="009A31E9">
            <w:pPr>
              <w:rPr>
                <w:sz w:val="22"/>
                <w:szCs w:val="22"/>
              </w:rPr>
            </w:pPr>
          </w:p>
        </w:tc>
      </w:tr>
      <w:tr w:rsidR="00773793" w:rsidRPr="008152B1" w14:paraId="739E0FD9" w14:textId="0ECB0B7A" w:rsidTr="005361B7">
        <w:tc>
          <w:tcPr>
            <w:tcW w:w="1974" w:type="dxa"/>
          </w:tcPr>
          <w:p w14:paraId="7C02160E" w14:textId="77777777" w:rsidR="009A31E9" w:rsidRPr="00D6034F" w:rsidRDefault="009A31E9">
            <w:pPr>
              <w:rPr>
                <w:sz w:val="22"/>
                <w:szCs w:val="22"/>
              </w:rPr>
            </w:pPr>
            <w:r w:rsidRPr="00D6034F">
              <w:rPr>
                <w:sz w:val="22"/>
                <w:szCs w:val="22"/>
              </w:rPr>
              <w:lastRenderedPageBreak/>
              <w:t>Q5</w:t>
            </w:r>
          </w:p>
          <w:p w14:paraId="4AA1C1EF" w14:textId="5F130D5D" w:rsidR="009A31E9" w:rsidRPr="00D6034F" w:rsidRDefault="00E342FC" w:rsidP="00E342FC">
            <w:pPr>
              <w:rPr>
                <w:sz w:val="22"/>
                <w:szCs w:val="22"/>
              </w:rPr>
            </w:pPr>
            <w:r w:rsidRPr="00D6034F">
              <w:rPr>
                <w:sz w:val="22"/>
                <w:szCs w:val="22"/>
              </w:rPr>
              <w:t>Should the Trademark Claims period continue to be uniform for all types of gTLDs in subsequent rounds?</w:t>
            </w:r>
          </w:p>
        </w:tc>
        <w:tc>
          <w:tcPr>
            <w:tcW w:w="8551" w:type="dxa"/>
          </w:tcPr>
          <w:p w14:paraId="62455C61"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Summary</w:t>
            </w:r>
          </w:p>
          <w:p w14:paraId="19F5F2E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AG survey results assist in answering this question. Registry Operator responses seem to indicate that Registry Operators would likely be neutral with respect to a uniform Trademark Claims period for all types of gTLDs in subsequent rounds. Registrar responses seem to indicate that they may not desire a uniform Trademark Claims period. Registry Operator and Registrar responses show that: (1) Trademark Claims period is not uniform at present, (2) there is flexibility desire to add non-trademarks in some geoTLDs, (3) there are varying opinions on the ideal length of the Claims period, possibly due to consideration of operating cost/technical </w:t>
            </w:r>
            <w:commentRangeStart w:id="5"/>
            <w:r w:rsidRPr="00773793">
              <w:rPr>
                <w:rFonts w:ascii="Calibri" w:hAnsi="Calibri" w:cs="Calibri"/>
                <w:color w:val="000000"/>
                <w:sz w:val="22"/>
                <w:szCs w:val="22"/>
              </w:rPr>
              <w:t>burden</w:t>
            </w:r>
            <w:commentRangeEnd w:id="5"/>
            <w:r w:rsidR="00811FA7">
              <w:rPr>
                <w:rStyle w:val="CommentReference"/>
                <w:rFonts w:asciiTheme="minorHAnsi" w:eastAsiaTheme="minorEastAsia" w:hAnsiTheme="minorHAnsi"/>
              </w:rPr>
              <w:commentReference w:id="5"/>
            </w:r>
            <w:r w:rsidRPr="00773793">
              <w:rPr>
                <w:rFonts w:ascii="Calibri" w:hAnsi="Calibri" w:cs="Calibri"/>
                <w:color w:val="000000"/>
                <w:sz w:val="22"/>
                <w:szCs w:val="22"/>
              </w:rPr>
              <w:t xml:space="preserve">. </w:t>
            </w:r>
          </w:p>
          <w:p w14:paraId="0B740620" w14:textId="77777777" w:rsidR="00406C72" w:rsidRPr="00773793" w:rsidRDefault="00406C72" w:rsidP="00406C72">
            <w:pPr>
              <w:rPr>
                <w:rFonts w:ascii="Calibri" w:hAnsi="Calibri" w:cs="Calibri"/>
                <w:sz w:val="22"/>
                <w:szCs w:val="22"/>
              </w:rPr>
            </w:pPr>
          </w:p>
          <w:p w14:paraId="7D1B9F4F"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25"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27BBA7E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Registries &amp; Registrars tab: cells F31, F59, F60, G65, F61, G63-64, G78, F79, F81, F84-85</w:t>
            </w:r>
          </w:p>
          <w:p w14:paraId="65258C8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cell F84</w:t>
            </w:r>
          </w:p>
          <w:p w14:paraId="6C8E078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Owner - Q27 Tab: rows 5, 8, 9</w:t>
            </w:r>
          </w:p>
          <w:p w14:paraId="1FC41ED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Owner - Q27a tab: column A</w:t>
            </w:r>
          </w:p>
          <w:p w14:paraId="41DED7C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Registries &amp; Registrars tab: cells D-F30-31, D-F54, C-F59-66</w:t>
            </w:r>
          </w:p>
          <w:p w14:paraId="1D0881F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Q26 tab</w:t>
            </w:r>
          </w:p>
          <w:p w14:paraId="6A6F0C64"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Q28 tab</w:t>
            </w:r>
          </w:p>
          <w:p w14:paraId="413B377D"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Q29 tab</w:t>
            </w:r>
          </w:p>
          <w:p w14:paraId="17CC841D"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-Q29a tab</w:t>
            </w:r>
          </w:p>
          <w:p w14:paraId="1BF50DE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Registrar-Q4i tab</w:t>
            </w:r>
          </w:p>
          <w:p w14:paraId="23220CD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Q10 tab  </w:t>
            </w:r>
          </w:p>
          <w:p w14:paraId="6C534C0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Q11 tab</w:t>
            </w:r>
          </w:p>
          <w:p w14:paraId="5297892B" w14:textId="77777777" w:rsidR="00406C72" w:rsidRPr="00773793" w:rsidRDefault="00406C72" w:rsidP="00406C72">
            <w:pPr>
              <w:rPr>
                <w:rFonts w:ascii="Calibri" w:hAnsi="Calibri" w:cs="Calibri"/>
                <w:sz w:val="22"/>
                <w:szCs w:val="22"/>
              </w:rPr>
            </w:pPr>
          </w:p>
          <w:p w14:paraId="1A76297D"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42226558" w14:textId="77777777" w:rsidR="00406C72" w:rsidRPr="00773793" w:rsidRDefault="0035656A" w:rsidP="00406C72">
            <w:pPr>
              <w:pStyle w:val="NormalWeb"/>
              <w:spacing w:before="0" w:beforeAutospacing="0" w:after="0" w:afterAutospacing="0"/>
              <w:rPr>
                <w:rFonts w:ascii="Calibri" w:hAnsi="Calibri" w:cs="Calibri"/>
                <w:sz w:val="22"/>
                <w:szCs w:val="22"/>
              </w:rPr>
            </w:pPr>
            <w:hyperlink r:id="rId26" w:history="1">
              <w:r w:rsidR="00406C72" w:rsidRPr="00773793">
                <w:rPr>
                  <w:rStyle w:val="Hyperlink"/>
                  <w:rFonts w:ascii="Calibri" w:hAnsi="Calibri" w:cs="Calibri"/>
                  <w:color w:val="1155CC"/>
                  <w:sz w:val="22"/>
                  <w:szCs w:val="22"/>
                </w:rPr>
                <w:t>https://docs.google.com/document/d/1mzlgFxnIeG1zrJGKap0zllmQaKfu4U3UMuSp8FhcYc8/edit?usp=sharing</w:t>
              </w:r>
            </w:hyperlink>
            <w:r w:rsidR="00406C72" w:rsidRPr="00773793">
              <w:rPr>
                <w:rFonts w:ascii="Calibri" w:hAnsi="Calibri" w:cs="Calibri"/>
                <w:color w:val="000000"/>
                <w:sz w:val="22"/>
                <w:szCs w:val="22"/>
              </w:rPr>
              <w:t xml:space="preserve"> </w:t>
            </w:r>
          </w:p>
          <w:p w14:paraId="3C96BF01" w14:textId="77777777" w:rsidR="00406C72" w:rsidRPr="00773793" w:rsidRDefault="00406C72" w:rsidP="00406C72">
            <w:pPr>
              <w:rPr>
                <w:rFonts w:ascii="Calibri" w:hAnsi="Calibri" w:cs="Calibri"/>
                <w:sz w:val="22"/>
                <w:szCs w:val="22"/>
              </w:rPr>
            </w:pPr>
          </w:p>
          <w:p w14:paraId="3A99CA10" w14:textId="082F8A94" w:rsidR="009A31E9" w:rsidRPr="00773793" w:rsidRDefault="00406C72" w:rsidP="00654BA7">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Sub Team Discussion: </w:t>
            </w:r>
            <w:hyperlink r:id="rId27" w:history="1">
              <w:r w:rsidRPr="00773793">
                <w:rPr>
                  <w:rStyle w:val="Hyperlink"/>
                  <w:rFonts w:ascii="Calibri" w:hAnsi="Calibri" w:cs="Calibri"/>
                  <w:color w:val="1155CC"/>
                  <w:sz w:val="22"/>
                  <w:szCs w:val="22"/>
                </w:rPr>
                <w:t>23 January 2019</w:t>
              </w:r>
            </w:hyperlink>
          </w:p>
        </w:tc>
        <w:tc>
          <w:tcPr>
            <w:tcW w:w="1873" w:type="dxa"/>
          </w:tcPr>
          <w:p w14:paraId="38E9924B" w14:textId="77777777" w:rsidR="009A31E9" w:rsidRPr="008152B1" w:rsidRDefault="009A31E9">
            <w:pPr>
              <w:rPr>
                <w:sz w:val="22"/>
                <w:szCs w:val="22"/>
              </w:rPr>
            </w:pPr>
          </w:p>
        </w:tc>
        <w:tc>
          <w:tcPr>
            <w:tcW w:w="0" w:type="auto"/>
          </w:tcPr>
          <w:p w14:paraId="1E840AFC" w14:textId="77777777" w:rsidR="009A31E9" w:rsidRPr="008152B1" w:rsidRDefault="009A31E9">
            <w:pPr>
              <w:rPr>
                <w:sz w:val="22"/>
                <w:szCs w:val="22"/>
              </w:rPr>
            </w:pPr>
          </w:p>
        </w:tc>
      </w:tr>
    </w:tbl>
    <w:p w14:paraId="18E767FA" w14:textId="376BEC60" w:rsidR="00430ECC" w:rsidRDefault="00430ECC">
      <w:pPr>
        <w:rPr>
          <w:sz w:val="22"/>
          <w:szCs w:val="22"/>
        </w:rPr>
      </w:pPr>
    </w:p>
    <w:p w14:paraId="66BBE597" w14:textId="77777777" w:rsidR="00094BB0" w:rsidRDefault="00094BB0" w:rsidP="00094BB0">
      <w:pPr>
        <w:rPr>
          <w:b/>
          <w:sz w:val="22"/>
          <w:szCs w:val="22"/>
        </w:rPr>
      </w:pPr>
    </w:p>
    <w:p w14:paraId="7D8F9A57" w14:textId="77777777" w:rsidR="00094BB0" w:rsidRDefault="00094BB0" w:rsidP="00094BB0">
      <w:pPr>
        <w:rPr>
          <w:b/>
          <w:sz w:val="22"/>
          <w:szCs w:val="22"/>
        </w:rPr>
      </w:pPr>
    </w:p>
    <w:p w14:paraId="5362EF2F" w14:textId="77777777" w:rsidR="00094BB0" w:rsidRDefault="00094BB0" w:rsidP="00094BB0">
      <w:pPr>
        <w:rPr>
          <w:b/>
          <w:sz w:val="22"/>
          <w:szCs w:val="22"/>
        </w:rPr>
      </w:pPr>
    </w:p>
    <w:p w14:paraId="3AE66C39" w14:textId="77777777" w:rsidR="00094BB0" w:rsidRDefault="00094BB0" w:rsidP="00094BB0">
      <w:pPr>
        <w:rPr>
          <w:b/>
          <w:sz w:val="22"/>
          <w:szCs w:val="22"/>
        </w:rPr>
      </w:pPr>
    </w:p>
    <w:p w14:paraId="0C71EE8C" w14:textId="77777777" w:rsidR="00094BB0" w:rsidRDefault="00094BB0" w:rsidP="00094BB0">
      <w:pPr>
        <w:rPr>
          <w:b/>
          <w:sz w:val="22"/>
          <w:szCs w:val="22"/>
        </w:rPr>
      </w:pPr>
    </w:p>
    <w:p w14:paraId="6BB55901" w14:textId="17EA6A54" w:rsidR="00094BB0" w:rsidRDefault="0078197F" w:rsidP="00094BB0">
      <w:pPr>
        <w:rPr>
          <w:b/>
          <w:sz w:val="22"/>
          <w:szCs w:val="22"/>
        </w:rPr>
      </w:pPr>
      <w:r>
        <w:rPr>
          <w:b/>
          <w:sz w:val="22"/>
          <w:szCs w:val="22"/>
        </w:rPr>
        <w:t>APPENDIX</w:t>
      </w:r>
    </w:p>
    <w:p w14:paraId="40DF7954" w14:textId="09D92D8E" w:rsidR="00094BB0" w:rsidRDefault="00094BB0" w:rsidP="00094BB0">
      <w:pPr>
        <w:rPr>
          <w:b/>
          <w:sz w:val="22"/>
          <w:szCs w:val="22"/>
        </w:rPr>
      </w:pPr>
      <w:r>
        <w:rPr>
          <w:b/>
          <w:sz w:val="22"/>
          <w:szCs w:val="22"/>
        </w:rPr>
        <w:t>Data available to date:</w:t>
      </w:r>
    </w:p>
    <w:p w14:paraId="583E6D4C" w14:textId="77777777" w:rsidR="00094BB0" w:rsidRDefault="00094BB0" w:rsidP="00094BB0">
      <w:pPr>
        <w:pStyle w:val="ListParagraph"/>
        <w:numPr>
          <w:ilvl w:val="0"/>
          <w:numId w:val="18"/>
        </w:numPr>
        <w:rPr>
          <w:sz w:val="22"/>
          <w:szCs w:val="22"/>
        </w:rPr>
      </w:pPr>
      <w:r w:rsidRPr="007A7A9C">
        <w:rPr>
          <w:sz w:val="22"/>
          <w:szCs w:val="22"/>
        </w:rPr>
        <w:t>Analysis Group Revised Report on the TMCH</w:t>
      </w:r>
      <w:r>
        <w:rPr>
          <w:sz w:val="22"/>
          <w:szCs w:val="22"/>
        </w:rPr>
        <w:t xml:space="preserve"> (February 2017)</w:t>
      </w:r>
      <w:r w:rsidRPr="007A7A9C">
        <w:rPr>
          <w:sz w:val="22"/>
          <w:szCs w:val="22"/>
        </w:rPr>
        <w:t>:</w:t>
      </w:r>
      <w:r>
        <w:rPr>
          <w:sz w:val="22"/>
          <w:szCs w:val="22"/>
        </w:rPr>
        <w:t xml:space="preserve"> </w:t>
      </w:r>
      <w:hyperlink r:id="rId28" w:history="1">
        <w:r w:rsidRPr="009D17A0">
          <w:rPr>
            <w:rStyle w:val="Hyperlink"/>
            <w:sz w:val="24"/>
            <w:szCs w:val="24"/>
          </w:rPr>
          <w:t>https://community.icann.org/download/attachments/64066042/Analysis%20Group%20Revised%20TMCH%20Report%20-%20March%202017.pdf?version=1&amp;modificationDate=1490349029000&amp;api=v2</w:t>
        </w:r>
      </w:hyperlink>
    </w:p>
    <w:p w14:paraId="6DF3D805" w14:textId="77777777" w:rsidR="00094BB0" w:rsidRDefault="00094BB0" w:rsidP="00094BB0">
      <w:pPr>
        <w:pStyle w:val="ListParagraph"/>
        <w:numPr>
          <w:ilvl w:val="1"/>
          <w:numId w:val="18"/>
        </w:numPr>
        <w:rPr>
          <w:sz w:val="22"/>
          <w:szCs w:val="22"/>
        </w:rPr>
      </w:pPr>
      <w:r>
        <w:rPr>
          <w:sz w:val="22"/>
          <w:szCs w:val="22"/>
        </w:rPr>
        <w:t xml:space="preserve">Analysis Group responses to questions from the Working Group: </w:t>
      </w:r>
    </w:p>
    <w:p w14:paraId="3EB328BC" w14:textId="77777777" w:rsidR="00094BB0" w:rsidRPr="00FB4166" w:rsidRDefault="00094BB0" w:rsidP="00094BB0">
      <w:pPr>
        <w:pStyle w:val="ListParagraph"/>
        <w:numPr>
          <w:ilvl w:val="2"/>
          <w:numId w:val="18"/>
        </w:numPr>
        <w:rPr>
          <w:rStyle w:val="Hyperlink"/>
          <w:color w:val="auto"/>
          <w:sz w:val="22"/>
          <w:szCs w:val="22"/>
          <w:u w:val="none"/>
        </w:rPr>
      </w:pPr>
      <w:r>
        <w:rPr>
          <w:sz w:val="22"/>
          <w:szCs w:val="22"/>
        </w:rPr>
        <w:t xml:space="preserve">June 2017: </w:t>
      </w:r>
      <w:hyperlink r:id="rId29" w:history="1">
        <w:r w:rsidRPr="009D17A0">
          <w:rPr>
            <w:rStyle w:val="Hyperlink"/>
            <w:sz w:val="24"/>
            <w:szCs w:val="24"/>
          </w:rPr>
          <w:t>https://mm.icann.org/pipermail/gnso-rpm-wg/2017-June/002043.html</w:t>
        </w:r>
      </w:hyperlink>
    </w:p>
    <w:p w14:paraId="7A2E83F1" w14:textId="77777777" w:rsidR="00094BB0" w:rsidRPr="00FB4166" w:rsidRDefault="00094BB0" w:rsidP="00094BB0">
      <w:pPr>
        <w:pStyle w:val="ListParagraph"/>
        <w:numPr>
          <w:ilvl w:val="2"/>
          <w:numId w:val="18"/>
        </w:numPr>
        <w:rPr>
          <w:sz w:val="22"/>
          <w:szCs w:val="22"/>
        </w:rPr>
      </w:pPr>
      <w:r w:rsidRPr="00FB4166">
        <w:rPr>
          <w:sz w:val="22"/>
          <w:szCs w:val="22"/>
        </w:rPr>
        <w:t>July</w:t>
      </w:r>
      <w:r>
        <w:rPr>
          <w:sz w:val="22"/>
          <w:szCs w:val="22"/>
        </w:rPr>
        <w:t xml:space="preserve"> 2017: </w:t>
      </w:r>
      <w:hyperlink r:id="rId30" w:history="1">
        <w:r w:rsidRPr="009D17A0">
          <w:rPr>
            <w:rStyle w:val="Hyperlink"/>
            <w:sz w:val="24"/>
            <w:szCs w:val="24"/>
          </w:rPr>
          <w:t>https://mm.icann.org/pipermail/gnso-rpm-wg/2017-July/002257.html</w:t>
        </w:r>
      </w:hyperlink>
    </w:p>
    <w:p w14:paraId="6588B7F9" w14:textId="77777777" w:rsidR="00094BB0" w:rsidRPr="00FB4166" w:rsidRDefault="00094BB0" w:rsidP="00094BB0">
      <w:pPr>
        <w:pStyle w:val="ListParagraph"/>
        <w:numPr>
          <w:ilvl w:val="0"/>
          <w:numId w:val="18"/>
        </w:numPr>
        <w:rPr>
          <w:rStyle w:val="Hyperlink"/>
          <w:color w:val="auto"/>
          <w:sz w:val="22"/>
          <w:szCs w:val="22"/>
          <w:u w:val="none"/>
        </w:rPr>
      </w:pPr>
      <w:r>
        <w:rPr>
          <w:sz w:val="22"/>
          <w:szCs w:val="22"/>
        </w:rPr>
        <w:t xml:space="preserve">Registry Operator responses to initial survey from TMCH Data Gathering Sub Team (December 2016): </w:t>
      </w:r>
      <w:hyperlink r:id="rId31" w:history="1">
        <w:r w:rsidRPr="009D17A0">
          <w:rPr>
            <w:rStyle w:val="Hyperlink"/>
            <w:sz w:val="24"/>
            <w:szCs w:val="24"/>
          </w:rPr>
          <w:t>https://community.icann.org/download/attachments/64066042/Registry%20Responses%20to%20TMCH%20Data%20Sub%20Team%20-%2013%20Dec.pdf?version=1&amp;modificationDate=1485897782000&amp;api=v2</w:t>
        </w:r>
      </w:hyperlink>
      <w:r>
        <w:rPr>
          <w:rStyle w:val="Hyperlink"/>
          <w:sz w:val="24"/>
          <w:szCs w:val="24"/>
        </w:rPr>
        <w:t xml:space="preserve"> </w:t>
      </w:r>
    </w:p>
    <w:p w14:paraId="4906BC60" w14:textId="77777777" w:rsidR="00094BB0" w:rsidRPr="00FB4166" w:rsidRDefault="00094BB0" w:rsidP="00094BB0">
      <w:pPr>
        <w:pStyle w:val="ListParagraph"/>
        <w:numPr>
          <w:ilvl w:val="1"/>
          <w:numId w:val="18"/>
        </w:numPr>
        <w:rPr>
          <w:sz w:val="22"/>
          <w:szCs w:val="22"/>
        </w:rPr>
      </w:pPr>
      <w:r w:rsidRPr="00FB4166">
        <w:rPr>
          <w:sz w:val="22"/>
          <w:szCs w:val="22"/>
        </w:rPr>
        <w:t>RPM</w:t>
      </w:r>
      <w:r>
        <w:rPr>
          <w:sz w:val="22"/>
          <w:szCs w:val="22"/>
        </w:rPr>
        <w:t xml:space="preserve"> Data Sub Team meeting with Jon Nevett, Donuts (March 2018): </w:t>
      </w:r>
      <w:hyperlink r:id="rId32" w:history="1">
        <w:r w:rsidRPr="009D17A0">
          <w:rPr>
            <w:rStyle w:val="Hyperlink"/>
            <w:sz w:val="24"/>
            <w:szCs w:val="24"/>
          </w:rPr>
          <w:t>https://community.icann.org/download/attachments/79438928/Transcription%20ICANN61%20GNSO%20RPM%20Data%20Sub%20Team%20Meeting%2010%20March%202018.pdf?version=1&amp;modificationDate=1521579214000&amp;api=v2</w:t>
        </w:r>
      </w:hyperlink>
    </w:p>
    <w:p w14:paraId="22757E73" w14:textId="77777777" w:rsidR="00094BB0" w:rsidRDefault="00094BB0" w:rsidP="00094BB0">
      <w:pPr>
        <w:pStyle w:val="ListParagraph"/>
        <w:numPr>
          <w:ilvl w:val="0"/>
          <w:numId w:val="18"/>
        </w:numPr>
        <w:rPr>
          <w:sz w:val="22"/>
          <w:szCs w:val="22"/>
        </w:rPr>
      </w:pPr>
      <w:r>
        <w:rPr>
          <w:sz w:val="22"/>
          <w:szCs w:val="22"/>
        </w:rPr>
        <w:t xml:space="preserve">Deloitte responses to initial questions from TMCH Data Gathering Sub Team (January 2017): </w:t>
      </w:r>
      <w:hyperlink r:id="rId33" w:history="1">
        <w:r w:rsidRPr="009D17A0">
          <w:rPr>
            <w:rStyle w:val="Hyperlink"/>
            <w:sz w:val="24"/>
            <w:szCs w:val="24"/>
          </w:rPr>
          <w:t>https://community.icann.org/download/attachments/64066042/Deloitte%20responses%20to%20TMCH%20Data%20Gathering%20Sub%20Team%20questions%20-%20Jan%202017.docx?version=1&amp;modificationDate=1485897782000&amp;api=v2</w:t>
        </w:r>
      </w:hyperlink>
      <w:r>
        <w:rPr>
          <w:rStyle w:val="Hyperlink"/>
          <w:sz w:val="24"/>
          <w:szCs w:val="24"/>
        </w:rPr>
        <w:t xml:space="preserve"> </w:t>
      </w:r>
    </w:p>
    <w:p w14:paraId="1080D7E0" w14:textId="77777777" w:rsidR="00094BB0" w:rsidRPr="00FB4166" w:rsidRDefault="00094BB0" w:rsidP="00094BB0">
      <w:pPr>
        <w:pStyle w:val="ListParagraph"/>
        <w:numPr>
          <w:ilvl w:val="1"/>
          <w:numId w:val="18"/>
        </w:numPr>
        <w:rPr>
          <w:rStyle w:val="Hyperlink"/>
          <w:color w:val="auto"/>
          <w:sz w:val="22"/>
          <w:szCs w:val="22"/>
          <w:u w:val="none"/>
        </w:rPr>
      </w:pPr>
      <w:r>
        <w:rPr>
          <w:sz w:val="22"/>
          <w:szCs w:val="22"/>
        </w:rPr>
        <w:t xml:space="preserve">Follow up questions from Working Group (March 2017):  </w:t>
      </w:r>
      <w:hyperlink r:id="rId34" w:history="1">
        <w:r w:rsidRPr="009D17A0">
          <w:rPr>
            <w:rStyle w:val="Hyperlink"/>
            <w:sz w:val="24"/>
            <w:szCs w:val="24"/>
          </w:rPr>
          <w:t>https://community.icann.org/download/attachments/64066042/Follow%20Up%20Questions%20for%20Deloitte%20-%20updated%205%20March%202017.docx?version=1&amp;modificationDate=1488753827000&amp;api=v2</w:t>
        </w:r>
      </w:hyperlink>
      <w:r>
        <w:rPr>
          <w:rStyle w:val="Hyperlink"/>
          <w:sz w:val="24"/>
          <w:szCs w:val="24"/>
        </w:rPr>
        <w:t xml:space="preserve"> </w:t>
      </w:r>
      <w:r w:rsidRPr="007A7A9C">
        <w:rPr>
          <w:sz w:val="22"/>
          <w:szCs w:val="22"/>
        </w:rPr>
        <w:t>and</w:t>
      </w:r>
      <w:r>
        <w:rPr>
          <w:sz w:val="22"/>
          <w:szCs w:val="22"/>
        </w:rPr>
        <w:t xml:space="preserve"> </w:t>
      </w:r>
      <w:hyperlink r:id="rId35" w:history="1">
        <w:r w:rsidRPr="009D17A0">
          <w:rPr>
            <w:rStyle w:val="Hyperlink"/>
            <w:sz w:val="24"/>
            <w:szCs w:val="24"/>
          </w:rPr>
          <w:t>https://community.icann.org/download/attachments/64066042/Deloitte%20Follow%20Up%20Questions%20Annex%20-%204%20March%202017.docx?version=1&amp;modificationDate=1488752114000&amp;api=v2</w:t>
        </w:r>
      </w:hyperlink>
    </w:p>
    <w:p w14:paraId="39E6548A" w14:textId="77777777" w:rsidR="00094BB0" w:rsidRPr="00FB4166" w:rsidRDefault="00094BB0" w:rsidP="00094BB0">
      <w:pPr>
        <w:pStyle w:val="ListParagraph"/>
        <w:numPr>
          <w:ilvl w:val="1"/>
          <w:numId w:val="18"/>
        </w:numPr>
        <w:rPr>
          <w:rStyle w:val="Hyperlink"/>
          <w:color w:val="auto"/>
          <w:sz w:val="22"/>
          <w:szCs w:val="22"/>
          <w:u w:val="none"/>
        </w:rPr>
      </w:pPr>
      <w:r w:rsidRPr="00FB4166">
        <w:rPr>
          <w:sz w:val="22"/>
          <w:szCs w:val="22"/>
        </w:rPr>
        <w:lastRenderedPageBreak/>
        <w:t>De</w:t>
      </w:r>
      <w:r>
        <w:rPr>
          <w:sz w:val="22"/>
          <w:szCs w:val="22"/>
        </w:rPr>
        <w:t xml:space="preserve">loitte response to follow up questions (April 2017): </w:t>
      </w:r>
      <w:hyperlink r:id="rId36" w:history="1">
        <w:r w:rsidRPr="009D17A0">
          <w:rPr>
            <w:rStyle w:val="Hyperlink"/>
            <w:sz w:val="24"/>
            <w:szCs w:val="24"/>
          </w:rPr>
          <w:t>https://community.icann.org/download/attachments/64066042/Deloitte%20Follow%20Up%20Questions%20Annex%20-%204%20March%202017.docx?version=1&amp;modificationDate=1488752114000&amp;api=v2</w:t>
        </w:r>
      </w:hyperlink>
      <w:r>
        <w:rPr>
          <w:rStyle w:val="Hyperlink"/>
          <w:sz w:val="24"/>
          <w:szCs w:val="24"/>
        </w:rPr>
        <w:t xml:space="preserve"> </w:t>
      </w:r>
    </w:p>
    <w:p w14:paraId="5445F365" w14:textId="77777777" w:rsidR="00094BB0" w:rsidRPr="00FB4166" w:rsidRDefault="00094BB0" w:rsidP="00094BB0">
      <w:pPr>
        <w:pStyle w:val="ListParagraph"/>
        <w:numPr>
          <w:ilvl w:val="1"/>
          <w:numId w:val="18"/>
        </w:numPr>
        <w:rPr>
          <w:sz w:val="22"/>
          <w:szCs w:val="22"/>
        </w:rPr>
      </w:pPr>
      <w:r>
        <w:rPr>
          <w:sz w:val="22"/>
          <w:szCs w:val="22"/>
        </w:rPr>
        <w:t xml:space="preserve">Deloitte numbers report as discussed with the Working Group at ICANN58 (March 2017): </w:t>
      </w:r>
      <w:hyperlink r:id="rId37" w:history="1">
        <w:r w:rsidRPr="009D17A0">
          <w:rPr>
            <w:rStyle w:val="Hyperlink"/>
            <w:sz w:val="24"/>
            <w:szCs w:val="24"/>
          </w:rPr>
          <w:t>https://community.icann.org/download/attachments/64066042/Deloitte%20Follow%20Up%20Questions%20Annex%20-%204%20March%202017.docx?version=1&amp;modificationDate=1488752114000&amp;api=v2</w:t>
        </w:r>
      </w:hyperlink>
      <w:r>
        <w:rPr>
          <w:rStyle w:val="Hyperlink"/>
          <w:sz w:val="24"/>
          <w:szCs w:val="24"/>
        </w:rPr>
        <w:t xml:space="preserve"> </w:t>
      </w:r>
    </w:p>
    <w:p w14:paraId="1A974B8D" w14:textId="77777777" w:rsidR="00094BB0" w:rsidRPr="00FB4166" w:rsidRDefault="00094BB0" w:rsidP="00094BB0">
      <w:pPr>
        <w:pStyle w:val="ListParagraph"/>
        <w:numPr>
          <w:ilvl w:val="0"/>
          <w:numId w:val="18"/>
        </w:numPr>
        <w:rPr>
          <w:sz w:val="22"/>
          <w:szCs w:val="22"/>
        </w:rPr>
      </w:pPr>
      <w:r>
        <w:rPr>
          <w:sz w:val="22"/>
          <w:szCs w:val="22"/>
        </w:rPr>
        <w:t xml:space="preserve">INTA cost impact survey: </w:t>
      </w:r>
      <w:hyperlink r:id="rId38" w:history="1">
        <w:r w:rsidRPr="009D17A0">
          <w:rPr>
            <w:rStyle w:val="Hyperlink"/>
            <w:sz w:val="24"/>
            <w:szCs w:val="24"/>
          </w:rPr>
          <w:t>https://community.icann.org/download/attachments/69277722/INTA%20New%20gTLD%20Cost%20Impact%20Study%20Presentation%20-%2030%20Aug.pdf?version=1&amp;modificationDate=1504147055000&amp;api=v2</w:t>
        </w:r>
      </w:hyperlink>
      <w:r>
        <w:rPr>
          <w:rStyle w:val="Hyperlink"/>
          <w:sz w:val="24"/>
          <w:szCs w:val="24"/>
        </w:rPr>
        <w:t xml:space="preserve"> </w:t>
      </w:r>
      <w:r w:rsidRPr="00FB4166">
        <w:rPr>
          <w:sz w:val="22"/>
          <w:szCs w:val="22"/>
        </w:rPr>
        <w:t>and</w:t>
      </w:r>
      <w:r>
        <w:rPr>
          <w:sz w:val="22"/>
          <w:szCs w:val="22"/>
        </w:rPr>
        <w:t xml:space="preserve"> </w:t>
      </w:r>
      <w:hyperlink r:id="rId39" w:history="1">
        <w:r w:rsidRPr="009D17A0">
          <w:rPr>
            <w:rStyle w:val="Hyperlink"/>
            <w:sz w:val="24"/>
            <w:szCs w:val="24"/>
          </w:rPr>
          <w:t>https://urldefense.proofpoint.com/v2/url?u=https-3A__community.icann.org_download_attachments_61606864_INTA-2520Cost-2520Impact-2520Report-2520revised-25204-2D13-2D17-2520v2.1.pdf-3Fversion-3D1-26modificationDate-3D1500376749000-26api-3Dv2&amp;d=DwMGaQ&amp;c=FmY1u3PJp6wrcrwll3mSVzgfkbPSS6sJms7xcl4I5cM&amp;r=DRa2dXAvSFpCIgmkXhFzL7ar9Qfqa0AIgn-H4xR2EBk&amp;m=MLOyWdAdSdj4cRa39aHRCVYsVa9ub30XpFPLr1fc51I&amp;s=KXW3vtHBAKxxiT4X6sLxZQO2dlKSW8Zc-BhfZ1t7lAA&amp;e</w:t>
        </w:r>
      </w:hyperlink>
      <w:r>
        <w:rPr>
          <w:rStyle w:val="Hyperlink"/>
          <w:sz w:val="24"/>
          <w:szCs w:val="24"/>
        </w:rPr>
        <w:t xml:space="preserve"> </w:t>
      </w:r>
    </w:p>
    <w:p w14:paraId="393A1C3E" w14:textId="77777777" w:rsidR="00094BB0" w:rsidRDefault="00094BB0" w:rsidP="00094BB0">
      <w:pPr>
        <w:pStyle w:val="ListParagraph"/>
        <w:numPr>
          <w:ilvl w:val="0"/>
          <w:numId w:val="18"/>
        </w:numPr>
        <w:rPr>
          <w:sz w:val="22"/>
          <w:szCs w:val="22"/>
        </w:rPr>
      </w:pPr>
      <w:r>
        <w:rPr>
          <w:sz w:val="22"/>
          <w:szCs w:val="22"/>
        </w:rPr>
        <w:t xml:space="preserve">ICANN Org-maintained list of Registry Operators and relevant dates for Sunrise, Trademark Claims and other specific approved program periods (e.g. Limited Registration Periods, Qualified Launch Programs): </w:t>
      </w:r>
      <w:hyperlink r:id="rId40" w:history="1">
        <w:r w:rsidRPr="00BD5C81">
          <w:rPr>
            <w:rStyle w:val="Hyperlink"/>
            <w:sz w:val="22"/>
            <w:szCs w:val="22"/>
          </w:rPr>
          <w:t>https://newgtlds.icann.org/en/program-status/sunrise-claims-periods</w:t>
        </w:r>
      </w:hyperlink>
      <w:r>
        <w:rPr>
          <w:sz w:val="22"/>
          <w:szCs w:val="22"/>
        </w:rPr>
        <w:t xml:space="preserve"> </w:t>
      </w:r>
    </w:p>
    <w:p w14:paraId="055A3CF6" w14:textId="77777777" w:rsidR="00094BB0" w:rsidRDefault="00094BB0" w:rsidP="00094BB0">
      <w:pPr>
        <w:pStyle w:val="ListParagraph"/>
        <w:numPr>
          <w:ilvl w:val="0"/>
          <w:numId w:val="18"/>
        </w:numPr>
        <w:rPr>
          <w:sz w:val="22"/>
          <w:szCs w:val="22"/>
        </w:rPr>
      </w:pPr>
      <w:r>
        <w:rPr>
          <w:sz w:val="22"/>
          <w:szCs w:val="22"/>
        </w:rPr>
        <w:t>Analysis Group Sunrise &amp; Trademark Claims survey results:</w:t>
      </w:r>
    </w:p>
    <w:p w14:paraId="71E152F3" w14:textId="77777777" w:rsidR="00094BB0" w:rsidRDefault="00094BB0" w:rsidP="00094BB0">
      <w:pPr>
        <w:pStyle w:val="ListParagraph"/>
        <w:numPr>
          <w:ilvl w:val="1"/>
          <w:numId w:val="18"/>
        </w:numPr>
        <w:rPr>
          <w:sz w:val="22"/>
          <w:szCs w:val="22"/>
        </w:rPr>
      </w:pPr>
      <w:r>
        <w:rPr>
          <w:sz w:val="22"/>
          <w:szCs w:val="22"/>
        </w:rPr>
        <w:t xml:space="preserve">Inception Report (September 2018): </w:t>
      </w:r>
      <w:hyperlink r:id="rId41" w:history="1">
        <w:r w:rsidRPr="00BD5C81">
          <w:rPr>
            <w:rStyle w:val="Hyperlink"/>
            <w:sz w:val="22"/>
            <w:szCs w:val="22"/>
          </w:rPr>
          <w:t>https://community.icann.org/download/attachments/90771305/9.6.2018%20Inception%20Report.pdf?version=1&amp;modificationDate=1536257221000&amp;api=v2</w:t>
        </w:r>
      </w:hyperlink>
      <w:r>
        <w:rPr>
          <w:sz w:val="22"/>
          <w:szCs w:val="22"/>
        </w:rPr>
        <w:t xml:space="preserve"> </w:t>
      </w:r>
    </w:p>
    <w:p w14:paraId="6C382D36" w14:textId="77777777" w:rsidR="00094BB0" w:rsidRDefault="00094BB0" w:rsidP="00094BB0">
      <w:pPr>
        <w:pStyle w:val="ListParagraph"/>
        <w:numPr>
          <w:ilvl w:val="1"/>
          <w:numId w:val="18"/>
        </w:numPr>
        <w:rPr>
          <w:sz w:val="22"/>
          <w:szCs w:val="22"/>
        </w:rPr>
      </w:pPr>
      <w:r>
        <w:rPr>
          <w:sz w:val="22"/>
          <w:szCs w:val="22"/>
        </w:rPr>
        <w:t xml:space="preserve">Final Report (October 2018): </w:t>
      </w:r>
      <w:hyperlink r:id="rId42" w:history="1">
        <w:r w:rsidRPr="00BD5C81">
          <w:rPr>
            <w:rStyle w:val="Hyperlink"/>
            <w:sz w:val="22"/>
            <w:szCs w:val="22"/>
          </w:rPr>
          <w:t>https://community.icann.org/download/attachments/90773066/Final%20ICANN%20RPM%20Survey%20Report%202018.10.18.pdf?version=1&amp;modificationDate=1540302625000&amp;api=v2</w:t>
        </w:r>
      </w:hyperlink>
      <w:r>
        <w:rPr>
          <w:sz w:val="22"/>
          <w:szCs w:val="22"/>
        </w:rPr>
        <w:t xml:space="preserve"> </w:t>
      </w:r>
    </w:p>
    <w:p w14:paraId="422B510D" w14:textId="77777777" w:rsidR="00094BB0" w:rsidRDefault="00094BB0" w:rsidP="00094BB0">
      <w:pPr>
        <w:pStyle w:val="ListParagraph"/>
        <w:numPr>
          <w:ilvl w:val="1"/>
          <w:numId w:val="18"/>
        </w:numPr>
        <w:rPr>
          <w:sz w:val="22"/>
          <w:szCs w:val="22"/>
        </w:rPr>
      </w:pPr>
      <w:r>
        <w:rPr>
          <w:sz w:val="22"/>
          <w:szCs w:val="22"/>
        </w:rPr>
        <w:t xml:space="preserve">All data files reported: </w:t>
      </w:r>
      <w:hyperlink r:id="rId43" w:history="1">
        <w:r w:rsidRPr="00BD5C81">
          <w:rPr>
            <w:rStyle w:val="Hyperlink"/>
            <w:sz w:val="22"/>
            <w:szCs w:val="22"/>
          </w:rPr>
          <w:t>https://community.icann.org/pages/viewpage.action?pageId=90771305</w:t>
        </w:r>
      </w:hyperlink>
      <w:r>
        <w:rPr>
          <w:sz w:val="22"/>
          <w:szCs w:val="22"/>
        </w:rPr>
        <w:t xml:space="preserve"> </w:t>
      </w:r>
    </w:p>
    <w:p w14:paraId="12D130E0" w14:textId="77777777" w:rsidR="00094BB0" w:rsidRDefault="00094BB0" w:rsidP="00094BB0">
      <w:pPr>
        <w:pStyle w:val="ListParagraph"/>
        <w:numPr>
          <w:ilvl w:val="1"/>
          <w:numId w:val="18"/>
        </w:numPr>
        <w:rPr>
          <w:sz w:val="22"/>
          <w:szCs w:val="22"/>
        </w:rPr>
      </w:pPr>
      <w:r>
        <w:rPr>
          <w:sz w:val="22"/>
          <w:szCs w:val="22"/>
        </w:rPr>
        <w:t xml:space="preserve">Analysis Group response to follow up questions (November 2018): </w:t>
      </w:r>
      <w:hyperlink r:id="rId44" w:history="1">
        <w:r w:rsidRPr="00BD5C81">
          <w:rPr>
            <w:rStyle w:val="Hyperlink"/>
            <w:sz w:val="22"/>
            <w:szCs w:val="22"/>
          </w:rPr>
          <w:t>https://community.icann.org/download/attachments/99483940/Questions%20%26%20Comments%20-%20Final%20Report%20RPM%20Survey%20-%20AG%20comments.pdf?version=1&amp;modificationDate=1543271647000&amp;api=v2</w:t>
        </w:r>
      </w:hyperlink>
      <w:r>
        <w:rPr>
          <w:sz w:val="22"/>
          <w:szCs w:val="22"/>
        </w:rPr>
        <w:t xml:space="preserve"> </w:t>
      </w:r>
    </w:p>
    <w:p w14:paraId="7E4CA9FC" w14:textId="77777777" w:rsidR="00094BB0" w:rsidRDefault="00094BB0" w:rsidP="00094BB0">
      <w:pPr>
        <w:rPr>
          <w:sz w:val="22"/>
          <w:szCs w:val="22"/>
        </w:rPr>
      </w:pPr>
    </w:p>
    <w:p w14:paraId="5E22139E" w14:textId="77777777" w:rsidR="00094BB0" w:rsidRDefault="00094BB0" w:rsidP="00094BB0">
      <w:pPr>
        <w:rPr>
          <w:sz w:val="22"/>
          <w:szCs w:val="22"/>
        </w:rPr>
      </w:pPr>
      <w:r>
        <w:rPr>
          <w:sz w:val="22"/>
          <w:szCs w:val="22"/>
        </w:rPr>
        <w:t>Additional sources suggested previously:</w:t>
      </w:r>
    </w:p>
    <w:p w14:paraId="5C5783F7" w14:textId="77777777" w:rsidR="00094BB0" w:rsidRDefault="00094BB0" w:rsidP="00094BB0">
      <w:pPr>
        <w:pStyle w:val="ListParagraph"/>
        <w:numPr>
          <w:ilvl w:val="0"/>
          <w:numId w:val="19"/>
        </w:numPr>
        <w:rPr>
          <w:sz w:val="22"/>
          <w:szCs w:val="22"/>
        </w:rPr>
      </w:pPr>
      <w:r>
        <w:rPr>
          <w:sz w:val="22"/>
          <w:szCs w:val="22"/>
        </w:rPr>
        <w:t xml:space="preserve">Articles from DNS industry and trademark-related blogs touching on Sunrise and Trademark Claims (list of suggested blogs posted at </w:t>
      </w:r>
      <w:hyperlink r:id="rId45" w:history="1">
        <w:r w:rsidRPr="00BD5C81">
          <w:rPr>
            <w:rStyle w:val="Hyperlink"/>
            <w:sz w:val="22"/>
            <w:szCs w:val="22"/>
          </w:rPr>
          <w:t>https://community.icann.org/display/RARPMRIAGPWG/2017-08-16+Review+of+all+Rights+Protection+Mechanisms+%28RPMs%29+in+all+gTLDs+PDP+WG</w:t>
        </w:r>
      </w:hyperlink>
      <w:r>
        <w:rPr>
          <w:sz w:val="22"/>
          <w:szCs w:val="22"/>
        </w:rPr>
        <w:t xml:space="preserve">) </w:t>
      </w:r>
    </w:p>
    <w:p w14:paraId="246E8654" w14:textId="5919B308" w:rsidR="00094BB0" w:rsidRDefault="00094BB0" w:rsidP="00094BB0">
      <w:pPr>
        <w:pStyle w:val="ListParagraph"/>
        <w:numPr>
          <w:ilvl w:val="0"/>
          <w:numId w:val="19"/>
        </w:numPr>
        <w:rPr>
          <w:sz w:val="22"/>
          <w:szCs w:val="22"/>
        </w:rPr>
      </w:pPr>
      <w:r>
        <w:rPr>
          <w:sz w:val="22"/>
          <w:szCs w:val="22"/>
        </w:rPr>
        <w:t>News articles and research on Sunrise and Trademark Claims from Lexis-Nexis (or similar) databases</w:t>
      </w:r>
    </w:p>
    <w:p w14:paraId="49F62607" w14:textId="59594805" w:rsidR="00DF3F90" w:rsidRDefault="00DF3F90" w:rsidP="00DF3F90">
      <w:pPr>
        <w:rPr>
          <w:sz w:val="22"/>
          <w:szCs w:val="22"/>
        </w:rPr>
      </w:pPr>
    </w:p>
    <w:p w14:paraId="3C4AA47F" w14:textId="77777777" w:rsidR="00DF3F90" w:rsidRDefault="00DF3F90" w:rsidP="00DF3F90">
      <w:pPr>
        <w:rPr>
          <w:sz w:val="22"/>
          <w:szCs w:val="22"/>
        </w:rPr>
      </w:pPr>
      <w:r>
        <w:rPr>
          <w:sz w:val="22"/>
          <w:szCs w:val="22"/>
        </w:rPr>
        <w:t>Other potential sources:</w:t>
      </w:r>
    </w:p>
    <w:p w14:paraId="16958138" w14:textId="77777777" w:rsidR="00DF3F90" w:rsidRPr="00340E12" w:rsidRDefault="00DF3F90" w:rsidP="00DF3F90">
      <w:pPr>
        <w:pStyle w:val="ListParagraph"/>
        <w:numPr>
          <w:ilvl w:val="0"/>
          <w:numId w:val="20"/>
        </w:numPr>
        <w:rPr>
          <w:sz w:val="22"/>
          <w:szCs w:val="22"/>
        </w:rPr>
      </w:pPr>
      <w:r>
        <w:rPr>
          <w:sz w:val="22"/>
          <w:szCs w:val="22"/>
        </w:rPr>
        <w:t xml:space="preserve">Metrics reports from ICANN Org relevant to Competition, Consumer Protection &amp; Consumer Trust Reviews: </w:t>
      </w:r>
      <w:hyperlink r:id="rId46" w:history="1">
        <w:r w:rsidRPr="00BD5C81">
          <w:rPr>
            <w:rStyle w:val="Hyperlink"/>
            <w:sz w:val="22"/>
            <w:szCs w:val="22"/>
          </w:rPr>
          <w:t>https://www.icann.org/resources/reviews/cct/metrics</w:t>
        </w:r>
      </w:hyperlink>
      <w:r>
        <w:rPr>
          <w:sz w:val="22"/>
          <w:szCs w:val="22"/>
        </w:rPr>
        <w:t xml:space="preserve"> (includes updated data on IDN gTLDs, Sunrise and UDRP &amp; URS decisions)</w:t>
      </w:r>
    </w:p>
    <w:p w14:paraId="512CBC8F" w14:textId="77777777" w:rsidR="00DF3F90" w:rsidRPr="00DF3F90" w:rsidRDefault="00DF3F90" w:rsidP="00DF3F90">
      <w:pPr>
        <w:rPr>
          <w:sz w:val="22"/>
          <w:szCs w:val="22"/>
        </w:rPr>
      </w:pPr>
    </w:p>
    <w:p w14:paraId="4257E455" w14:textId="77777777" w:rsidR="00094BB0" w:rsidRPr="008152B1" w:rsidRDefault="00094BB0">
      <w:pPr>
        <w:rPr>
          <w:sz w:val="22"/>
          <w:szCs w:val="22"/>
        </w:rPr>
      </w:pPr>
    </w:p>
    <w:sectPr w:rsidR="00094BB0" w:rsidRPr="008152B1" w:rsidSect="009A31E9">
      <w:pgSz w:w="15840" w:h="12240" w:orient="landscape"/>
      <w:pgMar w:top="720" w:right="720" w:bottom="720" w:left="720" w:header="720" w:footer="720"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ushnet, Rebecca" w:date="2019-02-06T18:42:00Z" w:initials="TR">
    <w:p w14:paraId="530E3AC1" w14:textId="46402B66" w:rsidR="0071109C" w:rsidRDefault="0071109C">
      <w:pPr>
        <w:pStyle w:val="CommentText"/>
      </w:pPr>
      <w:r>
        <w:rPr>
          <w:rStyle w:val="CommentReference"/>
        </w:rPr>
        <w:annotationRef/>
      </w:r>
      <w:r>
        <w:t>Inconsistent with summary for Q3 below, which says that the Notice “fall[s] short” of this goal, which is more accurate given that the evidence is that, while Notices are delivered, they are regularly not understood, thus failing to provide meaningful notice</w:t>
      </w:r>
    </w:p>
  </w:comment>
  <w:comment w:id="1" w:author="Tushnet, Rebecca" w:date="2019-02-06T18:40:00Z" w:initials="TR">
    <w:p w14:paraId="24A8B302" w14:textId="694339D3" w:rsidR="0071109C" w:rsidRDefault="0071109C">
      <w:pPr>
        <w:pStyle w:val="CommentText"/>
      </w:pPr>
      <w:r>
        <w:rPr>
          <w:rStyle w:val="CommentReference"/>
        </w:rPr>
        <w:annotationRef/>
      </w:r>
      <w:r>
        <w:t>Suggest: the data do not permit a conclusion about the proportion of bad faith registrants deterred versus good faith registrants deterred, or the percentage of bad faith intended registrants who receive the Notice and are affected by it.</w:t>
      </w:r>
    </w:p>
  </w:comment>
  <w:comment w:id="3" w:author="Tushnet, Rebecca" w:date="2019-02-06T16:39:00Z" w:initials="TR">
    <w:p w14:paraId="6BDAE18E" w14:textId="77777777" w:rsidR="00B119CA" w:rsidRDefault="00B119CA" w:rsidP="00B119CA">
      <w:pPr>
        <w:pStyle w:val="CommentText"/>
      </w:pPr>
      <w:r>
        <w:rPr>
          <w:rStyle w:val="CommentReference"/>
        </w:rPr>
        <w:annotationRef/>
      </w:r>
      <w:r>
        <w:t>In light of the extensive discussion of the subteam on these issues, I would recommend that a better summary of the discussion of this “umbrella question” would be:</w:t>
      </w:r>
    </w:p>
    <w:p w14:paraId="470BFDBF" w14:textId="77777777" w:rsidR="00B119CA" w:rsidRDefault="00B119CA" w:rsidP="00B119CA">
      <w:pPr>
        <w:pStyle w:val="CommentText"/>
      </w:pPr>
    </w:p>
    <w:p w14:paraId="3212574A" w14:textId="77777777" w:rsidR="00B119CA" w:rsidRDefault="00B119CA" w:rsidP="00B119CA">
      <w:pPr>
        <w:pStyle w:val="CommentText"/>
      </w:pPr>
      <w:r>
        <w:t>"The AG survey results assist in answering the sub questions (a), (b), (c), and (e):</w:t>
      </w:r>
    </w:p>
    <w:p w14:paraId="04AB6FA1" w14:textId="77777777" w:rsidR="00B119CA" w:rsidRDefault="00B119CA" w:rsidP="00B119CA">
      <w:pPr>
        <w:pStyle w:val="CommentText"/>
      </w:pPr>
    </w:p>
    <w:p w14:paraId="3FE61A60" w14:textId="496AE103" w:rsidR="00B119CA" w:rsidRDefault="00B119CA" w:rsidP="00B119CA">
      <w:pPr>
        <w:pStyle w:val="CommentText"/>
      </w:pPr>
      <w:r>
        <w:t xml:space="preserve">(1) Some trademark owners seek an extension of the claims period. Some Registry Operator and Registrar respondents support an extended Claims period, including a “perpetual” length. </w:t>
      </w:r>
    </w:p>
    <w:p w14:paraId="798EB920" w14:textId="77777777" w:rsidR="00B119CA" w:rsidRDefault="00B119CA" w:rsidP="00B119CA">
      <w:pPr>
        <w:pStyle w:val="CommentText"/>
      </w:pPr>
    </w:p>
    <w:p w14:paraId="7361022C" w14:textId="567128D2" w:rsidR="00B119CA" w:rsidRDefault="00B119CA" w:rsidP="00B119CA">
      <w:pPr>
        <w:pStyle w:val="CommentText"/>
      </w:pPr>
      <w:r>
        <w:t>(2) Registrants would experience fewer problems with a shorter TM Claims period, including fewer good faith registrants turning back when they encounter the Notice or are confused by it. Data show substantial confusion and uncertainty about the meaning of the Notice, as well as an inappropriate deterrent effect of the period on legitimate actual and potential registrants, according to detailed summaries of Analysis Group and discussed extensively in the subteam.</w:t>
      </w:r>
    </w:p>
    <w:p w14:paraId="6B9D546F" w14:textId="77777777" w:rsidR="00B119CA" w:rsidRDefault="00B119CA" w:rsidP="00B119CA">
      <w:pPr>
        <w:pStyle w:val="CommentText"/>
      </w:pPr>
    </w:p>
    <w:p w14:paraId="3446F107" w14:textId="4E87435E" w:rsidR="00B119CA" w:rsidRDefault="00B119CA" w:rsidP="00B119CA">
      <w:pPr>
        <w:pStyle w:val="CommentText"/>
      </w:pPr>
      <w:r>
        <w:t>(3) The majority of Registry Operators and Registrars think the TM Claims should not be mandatory."</w:t>
      </w:r>
    </w:p>
  </w:comment>
  <w:comment w:id="2" w:author="Tushnet, Rebecca" w:date="2019-02-06T12:10:00Z" w:initials="TR">
    <w:p w14:paraId="7BE5206D" w14:textId="6044C937" w:rsidR="00DE16AF" w:rsidRDefault="00DE16AF">
      <w:pPr>
        <w:pStyle w:val="CommentText"/>
      </w:pPr>
      <w:r>
        <w:rPr>
          <w:rStyle w:val="CommentReference"/>
        </w:rPr>
        <w:annotationRef/>
      </w:r>
      <w:r>
        <w:t>This is inconsistent with the discussion in the group—there is no consensus on this and it conflicts with the answers to the other questions</w:t>
      </w:r>
      <w:r w:rsidR="00A55490">
        <w:t>, which discussed the results as to registrants and potential registrants in detail</w:t>
      </w:r>
      <w:r>
        <w:t>.</w:t>
      </w:r>
      <w:r w:rsidR="007441D7">
        <w:t xml:space="preserve">  It would be fair to say that</w:t>
      </w:r>
      <w:r w:rsidR="00A55490">
        <w:t xml:space="preserve"> some</w:t>
      </w:r>
      <w:r w:rsidR="007441D7">
        <w:t xml:space="preserve"> number of TM owner</w:t>
      </w:r>
      <w:r w:rsidR="00A55490">
        <w:t>-</w:t>
      </w:r>
      <w:r w:rsidR="007441D7">
        <w:t>respondents would support an extension.</w:t>
      </w:r>
      <w:r w:rsidR="001E532A">
        <w:t xml:space="preserve">  </w:t>
      </w:r>
      <w:r w:rsidR="00574AAC">
        <w:t>That is a preference, but not a reason.</w:t>
      </w:r>
    </w:p>
    <w:p w14:paraId="5154D1D2" w14:textId="77954FB5" w:rsidR="004905A9" w:rsidRDefault="00574AAC" w:rsidP="004905A9">
      <w:pPr>
        <w:pStyle w:val="CommentText"/>
      </w:pPr>
      <w:r>
        <w:t>We do know that the notice is confusing, specifically to people who aren’t already involved in ICANN, and seems to deter some valid registrations. We don’t know how many or what percentage of bad actors are actually deterred. TM owners don’t know this and haven’t submitted evidence on it</w:t>
      </w:r>
      <w:r w:rsidR="00B119CA">
        <w:t>, either in the AG survey or elsewhere</w:t>
      </w:r>
      <w:r>
        <w:t xml:space="preserve">.  We don’t know the relative balance of bad actors deterred versus good actors deterred.  Under those circumstances, it would be irresponsible to extend the Claims period.  </w:t>
      </w:r>
    </w:p>
    <w:p w14:paraId="7F59122E" w14:textId="1873F9E8" w:rsidR="00297FAA" w:rsidRDefault="00B119CA" w:rsidP="004905A9">
      <w:pPr>
        <w:pStyle w:val="CommentText"/>
      </w:pPr>
      <w:r>
        <w:t xml:space="preserve">Staff: </w:t>
      </w:r>
      <w:r w:rsidR="00297FAA">
        <w:t xml:space="preserve">The summary should clearly reflect that there </w:t>
      </w:r>
      <w:r>
        <w:t>are</w:t>
      </w:r>
      <w:r w:rsidR="00297FAA">
        <w:t xml:space="preserve"> no</w:t>
      </w:r>
      <w:r>
        <w:t xml:space="preserve"> </w:t>
      </w:r>
      <w:r w:rsidR="00297FAA">
        <w:t xml:space="preserve">data about the balance between valid/abusive registrations deterred or the number or proportions of abusive registrations deterred by the </w:t>
      </w:r>
      <w:r w:rsidR="00A55490">
        <w:t>notice.</w:t>
      </w:r>
    </w:p>
  </w:comment>
  <w:comment w:id="4" w:author="Tushnet, Rebecca" w:date="2019-02-06T18:44:00Z" w:initials="TR">
    <w:p w14:paraId="10ADC9F3" w14:textId="05562D5E" w:rsidR="0071109C" w:rsidRDefault="0071109C" w:rsidP="0071109C">
      <w:pPr>
        <w:pStyle w:val="CommentText"/>
      </w:pPr>
      <w:r>
        <w:rPr>
          <w:rStyle w:val="CommentReference"/>
        </w:rPr>
        <w:annotationRef/>
      </w:r>
      <w:r>
        <w:t>This too must be moderated by the evidence that Notices are misunderstood even as to exact matches and the lack of any evidence about whether bad faith registrants are</w:t>
      </w:r>
      <w:r w:rsidR="00811FA7">
        <w:t>—disproportionately or proportionately—deterred by the Notice</w:t>
      </w:r>
      <w:r>
        <w:t>.  A change in match criteria—which the survey does not allow us to assess—would require even more of Notice recipients, and the evidence indicates that’s already difficult. [I’m somewhat concerned that this didn’t make it into the summary from the document</w:t>
      </w:r>
      <w:r w:rsidR="00811FA7">
        <w:t>; it’s reflected in Staff’s notes in the underlying file</w:t>
      </w:r>
      <w:r>
        <w:t>.]</w:t>
      </w:r>
    </w:p>
    <w:p w14:paraId="0CD4E86F" w14:textId="048A31C3" w:rsidR="0071109C" w:rsidRDefault="0071109C" w:rsidP="0071109C">
      <w:pPr>
        <w:pStyle w:val="CommentText"/>
      </w:pPr>
    </w:p>
  </w:comment>
  <w:comment w:id="5" w:author="Tushnet, Rebecca" w:date="2019-02-06T18:50:00Z" w:initials="TR">
    <w:p w14:paraId="56171F8D" w14:textId="1497CCB0" w:rsidR="00811FA7" w:rsidRDefault="00811FA7">
      <w:pPr>
        <w:pStyle w:val="CommentText"/>
      </w:pPr>
      <w:r>
        <w:rPr>
          <w:rStyle w:val="CommentReference"/>
        </w:rPr>
        <w:annotationRef/>
      </w:r>
      <w:r>
        <w:t>Implementation difficulties discussed by Kathy probably merit mention in case there are solutions out there</w:t>
      </w:r>
      <w:bookmarkStart w:id="6" w:name="_GoBack"/>
      <w:bookmarkEnd w:id="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0E3AC1" w15:done="0"/>
  <w15:commentEx w15:paraId="24A8B302" w15:done="0"/>
  <w15:commentEx w15:paraId="3446F107" w15:done="0"/>
  <w15:commentEx w15:paraId="7F59122E" w15:done="0"/>
  <w15:commentEx w15:paraId="0CD4E86F" w15:done="0"/>
  <w15:commentEx w15:paraId="56171F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0E3AC1" w16cid:durableId="2005A90C"/>
  <w16cid:commentId w16cid:paraId="24A8B302" w16cid:durableId="2005A88C"/>
  <w16cid:commentId w16cid:paraId="3446F107" w16cid:durableId="20058C2B"/>
  <w16cid:commentId w16cid:paraId="7F59122E" w16cid:durableId="20054D1D"/>
  <w16cid:commentId w16cid:paraId="0CD4E86F" w16cid:durableId="2005A991"/>
  <w16cid:commentId w16cid:paraId="56171F8D" w16cid:durableId="2005AA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08E1D" w14:textId="77777777" w:rsidR="0035656A" w:rsidRDefault="0035656A" w:rsidP="00430ECC">
      <w:r>
        <w:separator/>
      </w:r>
    </w:p>
  </w:endnote>
  <w:endnote w:type="continuationSeparator" w:id="0">
    <w:p w14:paraId="4B3C189C" w14:textId="77777777" w:rsidR="0035656A" w:rsidRDefault="0035656A" w:rsidP="0043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C8747" w14:textId="77777777" w:rsidR="0035656A" w:rsidRDefault="0035656A" w:rsidP="00430ECC">
      <w:r>
        <w:separator/>
      </w:r>
    </w:p>
  </w:footnote>
  <w:footnote w:type="continuationSeparator" w:id="0">
    <w:p w14:paraId="15A68F33" w14:textId="77777777" w:rsidR="0035656A" w:rsidRDefault="0035656A" w:rsidP="00430ECC">
      <w:r>
        <w:continuationSeparator/>
      </w:r>
    </w:p>
  </w:footnote>
  <w:footnote w:id="1">
    <w:p w14:paraId="43B59977" w14:textId="3DC8623D" w:rsidR="0078197F" w:rsidRDefault="0078197F">
      <w:pPr>
        <w:pStyle w:val="FootnoteText"/>
      </w:pPr>
      <w:r>
        <w:rPr>
          <w:rStyle w:val="FootnoteReference"/>
        </w:rPr>
        <w:footnoteRef/>
      </w:r>
      <w:r>
        <w:t xml:space="preserve"> For the actual text of the proposed refined questions submitted by the Trademark Claims Charter Questions Sub Team to the full Working Group, please see the accompanying Status of TMCH &amp; Related RPM Discussions summary document also circulated by ICANN staff (3 December 2018). Between the date of the Sub Team’s report and the submission of a Working Group data request to the GNSO Council in September 2017, the Working Group discussed the Sub Team’s suggestions for refining the original Charter questions as well as for data collection.</w:t>
      </w:r>
    </w:p>
  </w:footnote>
  <w:footnote w:id="2">
    <w:p w14:paraId="3A65ECEE" w14:textId="3162A5A5" w:rsidR="007971C0" w:rsidRDefault="007971C0">
      <w:pPr>
        <w:pStyle w:val="FootnoteText"/>
      </w:pPr>
      <w:r>
        <w:rPr>
          <w:rStyle w:val="FootnoteReference"/>
        </w:rPr>
        <w:footnoteRef/>
      </w:r>
      <w:r>
        <w:t xml:space="preserve"> See attached Appendix for a list of the data collected and reviewed by the Working Group to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463"/>
    <w:multiLevelType w:val="hybridMultilevel"/>
    <w:tmpl w:val="78F6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791B"/>
    <w:multiLevelType w:val="hybridMultilevel"/>
    <w:tmpl w:val="1D5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B1C80"/>
    <w:multiLevelType w:val="hybridMultilevel"/>
    <w:tmpl w:val="384AEE46"/>
    <w:lvl w:ilvl="0" w:tplc="DE9A497A">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7A2D6F"/>
    <w:multiLevelType w:val="hybridMultilevel"/>
    <w:tmpl w:val="CFF6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30949"/>
    <w:multiLevelType w:val="hybridMultilevel"/>
    <w:tmpl w:val="B4D2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A485B"/>
    <w:multiLevelType w:val="hybridMultilevel"/>
    <w:tmpl w:val="35A8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73199"/>
    <w:multiLevelType w:val="hybridMultilevel"/>
    <w:tmpl w:val="FC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17A09"/>
    <w:multiLevelType w:val="hybridMultilevel"/>
    <w:tmpl w:val="1A4C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0768A"/>
    <w:multiLevelType w:val="hybridMultilevel"/>
    <w:tmpl w:val="5FE08FAE"/>
    <w:lvl w:ilvl="0" w:tplc="AB22D826">
      <w:start w:val="1"/>
      <w:numFmt w:val="lowerLetter"/>
      <w:lvlText w:val="(%1)"/>
      <w:lvlJc w:val="left"/>
      <w:pPr>
        <w:ind w:left="720" w:hanging="360"/>
      </w:pPr>
      <w:rPr>
        <w:rFonts w:asciiTheme="minorHAnsi" w:eastAsiaTheme="minorEastAsia" w:hAnsiTheme="minorHAnsi" w:cs="Times New Roman"/>
      </w:rPr>
    </w:lvl>
    <w:lvl w:ilvl="1" w:tplc="83721DAC">
      <w:start w:val="1"/>
      <w:numFmt w:val="lowerRoman"/>
      <w:lvlText w:val="(%2)"/>
      <w:lvlJc w:val="right"/>
      <w:pPr>
        <w:ind w:left="1080" w:hanging="360"/>
      </w:pPr>
      <w:rPr>
        <w:rFonts w:asciiTheme="minorHAnsi" w:eastAsiaTheme="minorEastAsia"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C525D"/>
    <w:multiLevelType w:val="multilevel"/>
    <w:tmpl w:val="070E1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84476"/>
    <w:multiLevelType w:val="hybridMultilevel"/>
    <w:tmpl w:val="DB64393E"/>
    <w:lvl w:ilvl="0" w:tplc="68AE528E">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D1DA1"/>
    <w:multiLevelType w:val="hybridMultilevel"/>
    <w:tmpl w:val="CC50C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978AA"/>
    <w:multiLevelType w:val="hybridMultilevel"/>
    <w:tmpl w:val="0C5A4972"/>
    <w:lvl w:ilvl="0" w:tplc="0908E258">
      <w:start w:val="1"/>
      <w:numFmt w:val="low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22D44"/>
    <w:multiLevelType w:val="hybridMultilevel"/>
    <w:tmpl w:val="D6B20B28"/>
    <w:lvl w:ilvl="0" w:tplc="04090013">
      <w:start w:val="1"/>
      <w:numFmt w:val="upperRoman"/>
      <w:lvlText w:val="%1."/>
      <w:lvlJc w:val="righ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FB061E"/>
    <w:multiLevelType w:val="hybridMultilevel"/>
    <w:tmpl w:val="94C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A5F73"/>
    <w:multiLevelType w:val="hybridMultilevel"/>
    <w:tmpl w:val="865284A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55380119"/>
    <w:multiLevelType w:val="hybridMultilevel"/>
    <w:tmpl w:val="A38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F30A2"/>
    <w:multiLevelType w:val="hybridMultilevel"/>
    <w:tmpl w:val="DAD48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127852"/>
    <w:multiLevelType w:val="hybridMultilevel"/>
    <w:tmpl w:val="401A75BA"/>
    <w:lvl w:ilvl="0" w:tplc="D87A8236">
      <w:start w:val="1"/>
      <w:numFmt w:val="lowerRoman"/>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42CAB"/>
    <w:multiLevelType w:val="hybridMultilevel"/>
    <w:tmpl w:val="AD02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B54A0"/>
    <w:multiLevelType w:val="hybridMultilevel"/>
    <w:tmpl w:val="67D619CA"/>
    <w:lvl w:ilvl="0" w:tplc="0409001B">
      <w:start w:val="1"/>
      <w:numFmt w:val="lowerRoman"/>
      <w:lvlText w:val="%1."/>
      <w:lvlJc w:val="righ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1C3C74"/>
    <w:multiLevelType w:val="hybridMultilevel"/>
    <w:tmpl w:val="5BD8F708"/>
    <w:lvl w:ilvl="0" w:tplc="B4A6CB0A">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C0630"/>
    <w:multiLevelType w:val="hybridMultilevel"/>
    <w:tmpl w:val="E9645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906E84"/>
    <w:multiLevelType w:val="hybridMultilevel"/>
    <w:tmpl w:val="6D224356"/>
    <w:lvl w:ilvl="0" w:tplc="C8F28F00">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18"/>
  </w:num>
  <w:num w:numId="4">
    <w:abstractNumId w:val="4"/>
  </w:num>
  <w:num w:numId="5">
    <w:abstractNumId w:val="14"/>
  </w:num>
  <w:num w:numId="6">
    <w:abstractNumId w:val="0"/>
  </w:num>
  <w:num w:numId="7">
    <w:abstractNumId w:val="6"/>
  </w:num>
  <w:num w:numId="8">
    <w:abstractNumId w:val="16"/>
  </w:num>
  <w:num w:numId="9">
    <w:abstractNumId w:val="1"/>
  </w:num>
  <w:num w:numId="10">
    <w:abstractNumId w:val="3"/>
  </w:num>
  <w:num w:numId="11">
    <w:abstractNumId w:val="21"/>
  </w:num>
  <w:num w:numId="12">
    <w:abstractNumId w:val="11"/>
  </w:num>
  <w:num w:numId="13">
    <w:abstractNumId w:val="17"/>
  </w:num>
  <w:num w:numId="14">
    <w:abstractNumId w:val="20"/>
  </w:num>
  <w:num w:numId="15">
    <w:abstractNumId w:val="22"/>
  </w:num>
  <w:num w:numId="16">
    <w:abstractNumId w:val="8"/>
  </w:num>
  <w:num w:numId="17">
    <w:abstractNumId w:val="13"/>
  </w:num>
  <w:num w:numId="18">
    <w:abstractNumId w:val="15"/>
  </w:num>
  <w:num w:numId="19">
    <w:abstractNumId w:val="7"/>
  </w:num>
  <w:num w:numId="20">
    <w:abstractNumId w:val="19"/>
  </w:num>
  <w:num w:numId="21">
    <w:abstractNumId w:val="2"/>
  </w:num>
  <w:num w:numId="22">
    <w:abstractNumId w:val="23"/>
  </w:num>
  <w:num w:numId="23">
    <w:abstractNumId w:val="9"/>
    <w:lvlOverride w:ilvl="0">
      <w:lvl w:ilvl="0">
        <w:numFmt w:val="lowerLetter"/>
        <w:lvlText w:val="%1."/>
        <w:lvlJc w:val="left"/>
      </w:lvl>
    </w:lvlOverride>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shnet, Rebecca">
    <w15:presenceInfo w15:providerId="None" w15:userId="Tushnet, Rebe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9"/>
  <w:displayBackgroundShape/>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CC"/>
    <w:rsid w:val="00047F8D"/>
    <w:rsid w:val="0006430B"/>
    <w:rsid w:val="000930F3"/>
    <w:rsid w:val="00094BB0"/>
    <w:rsid w:val="000A2AAC"/>
    <w:rsid w:val="000B2162"/>
    <w:rsid w:val="000B6D94"/>
    <w:rsid w:val="000C1DC3"/>
    <w:rsid w:val="000D7936"/>
    <w:rsid w:val="0011341D"/>
    <w:rsid w:val="001460FB"/>
    <w:rsid w:val="001A155B"/>
    <w:rsid w:val="001E532A"/>
    <w:rsid w:val="00273856"/>
    <w:rsid w:val="00285AEA"/>
    <w:rsid w:val="00297FAA"/>
    <w:rsid w:val="002C4F29"/>
    <w:rsid w:val="002F4E78"/>
    <w:rsid w:val="003011B3"/>
    <w:rsid w:val="00322E5D"/>
    <w:rsid w:val="00326516"/>
    <w:rsid w:val="00332C81"/>
    <w:rsid w:val="0035656A"/>
    <w:rsid w:val="0037224E"/>
    <w:rsid w:val="00406C72"/>
    <w:rsid w:val="00430ECC"/>
    <w:rsid w:val="00435BDF"/>
    <w:rsid w:val="004565D8"/>
    <w:rsid w:val="0046446B"/>
    <w:rsid w:val="004905A9"/>
    <w:rsid w:val="004E668F"/>
    <w:rsid w:val="005174C4"/>
    <w:rsid w:val="005361B7"/>
    <w:rsid w:val="005428EB"/>
    <w:rsid w:val="00570730"/>
    <w:rsid w:val="00574AAC"/>
    <w:rsid w:val="005B6D3E"/>
    <w:rsid w:val="005C5805"/>
    <w:rsid w:val="00633135"/>
    <w:rsid w:val="006521F4"/>
    <w:rsid w:val="00654BA7"/>
    <w:rsid w:val="00655F69"/>
    <w:rsid w:val="0071109C"/>
    <w:rsid w:val="007441D7"/>
    <w:rsid w:val="00773793"/>
    <w:rsid w:val="00780D1B"/>
    <w:rsid w:val="0078197F"/>
    <w:rsid w:val="007971C0"/>
    <w:rsid w:val="007A7A9C"/>
    <w:rsid w:val="00811FA7"/>
    <w:rsid w:val="008152B1"/>
    <w:rsid w:val="008438EA"/>
    <w:rsid w:val="008C1F10"/>
    <w:rsid w:val="00911363"/>
    <w:rsid w:val="00914638"/>
    <w:rsid w:val="00992DC4"/>
    <w:rsid w:val="009A31E9"/>
    <w:rsid w:val="009B1BB3"/>
    <w:rsid w:val="009C5524"/>
    <w:rsid w:val="009D5FE3"/>
    <w:rsid w:val="00A239C3"/>
    <w:rsid w:val="00A4019B"/>
    <w:rsid w:val="00A404BF"/>
    <w:rsid w:val="00A55490"/>
    <w:rsid w:val="00A62DC0"/>
    <w:rsid w:val="00AC2CEE"/>
    <w:rsid w:val="00AE0EB3"/>
    <w:rsid w:val="00B02425"/>
    <w:rsid w:val="00B119CA"/>
    <w:rsid w:val="00B202B1"/>
    <w:rsid w:val="00B51625"/>
    <w:rsid w:val="00B6586C"/>
    <w:rsid w:val="00BA1275"/>
    <w:rsid w:val="00C12DD9"/>
    <w:rsid w:val="00C321A4"/>
    <w:rsid w:val="00C84E0E"/>
    <w:rsid w:val="00CA1431"/>
    <w:rsid w:val="00CB2959"/>
    <w:rsid w:val="00CD6533"/>
    <w:rsid w:val="00CE6129"/>
    <w:rsid w:val="00CF2195"/>
    <w:rsid w:val="00CF4001"/>
    <w:rsid w:val="00D6034F"/>
    <w:rsid w:val="00DA5647"/>
    <w:rsid w:val="00DE16AF"/>
    <w:rsid w:val="00DF3F90"/>
    <w:rsid w:val="00E11C72"/>
    <w:rsid w:val="00E342FC"/>
    <w:rsid w:val="00EA5270"/>
    <w:rsid w:val="00EA665A"/>
    <w:rsid w:val="00EC096E"/>
    <w:rsid w:val="00EF47AF"/>
    <w:rsid w:val="00F07ED6"/>
    <w:rsid w:val="00F340D2"/>
    <w:rsid w:val="00F36962"/>
    <w:rsid w:val="00F57B81"/>
    <w:rsid w:val="00FA467C"/>
    <w:rsid w:val="00FB2D09"/>
    <w:rsid w:val="00FB4166"/>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52E7"/>
  <w15:chartTrackingRefBased/>
  <w15:docId w15:val="{55C41B6D-3A83-8B46-B536-B782F5CA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19B"/>
    <w:rPr>
      <w:rFonts w:cs="Times New Roman"/>
      <w:sz w:val="16"/>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3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30ECC"/>
    <w:rPr>
      <w:sz w:val="20"/>
    </w:rPr>
  </w:style>
  <w:style w:type="character" w:customStyle="1" w:styleId="CommentTextChar">
    <w:name w:val="Comment Text Char"/>
    <w:basedOn w:val="DefaultParagraphFont"/>
    <w:link w:val="CommentText"/>
    <w:uiPriority w:val="99"/>
    <w:rsid w:val="00430ECC"/>
    <w:rPr>
      <w:rFonts w:cs="Times New Roman"/>
      <w:sz w:val="20"/>
      <w:szCs w:val="20"/>
    </w:rPr>
  </w:style>
  <w:style w:type="character" w:styleId="CommentReference">
    <w:name w:val="annotation reference"/>
    <w:basedOn w:val="DefaultParagraphFont"/>
    <w:uiPriority w:val="99"/>
    <w:semiHidden/>
    <w:unhideWhenUsed/>
    <w:rsid w:val="00430ECC"/>
    <w:rPr>
      <w:sz w:val="18"/>
      <w:szCs w:val="18"/>
    </w:rPr>
  </w:style>
  <w:style w:type="paragraph" w:styleId="BalloonText">
    <w:name w:val="Balloon Text"/>
    <w:basedOn w:val="Normal"/>
    <w:link w:val="BalloonTextChar"/>
    <w:uiPriority w:val="99"/>
    <w:semiHidden/>
    <w:unhideWhenUsed/>
    <w:rsid w:val="00430ECC"/>
    <w:rPr>
      <w:rFonts w:ascii="Times New Roman" w:hAnsi="Times New Roman"/>
      <w:sz w:val="26"/>
      <w:szCs w:val="26"/>
    </w:rPr>
  </w:style>
  <w:style w:type="character" w:customStyle="1" w:styleId="BalloonTextChar">
    <w:name w:val="Balloon Text Char"/>
    <w:basedOn w:val="DefaultParagraphFont"/>
    <w:link w:val="BalloonText"/>
    <w:uiPriority w:val="99"/>
    <w:semiHidden/>
    <w:rsid w:val="00430ECC"/>
    <w:rPr>
      <w:rFonts w:ascii="Times New Roman" w:hAnsi="Times New Roman" w:cs="Times New Roman"/>
      <w:sz w:val="26"/>
      <w:szCs w:val="26"/>
    </w:rPr>
  </w:style>
  <w:style w:type="paragraph" w:styleId="ListParagraph">
    <w:name w:val="List Paragraph"/>
    <w:basedOn w:val="Normal"/>
    <w:uiPriority w:val="34"/>
    <w:qFormat/>
    <w:rsid w:val="00430ECC"/>
    <w:pPr>
      <w:ind w:left="720"/>
      <w:contextualSpacing/>
    </w:pPr>
  </w:style>
  <w:style w:type="paragraph" w:styleId="FootnoteText">
    <w:name w:val="footnote text"/>
    <w:basedOn w:val="Normal"/>
    <w:link w:val="FootnoteTextChar"/>
    <w:uiPriority w:val="99"/>
    <w:semiHidden/>
    <w:unhideWhenUsed/>
    <w:rsid w:val="00430ECC"/>
    <w:rPr>
      <w:sz w:val="20"/>
    </w:rPr>
  </w:style>
  <w:style w:type="character" w:customStyle="1" w:styleId="FootnoteTextChar">
    <w:name w:val="Footnote Text Char"/>
    <w:basedOn w:val="DefaultParagraphFont"/>
    <w:link w:val="FootnoteText"/>
    <w:uiPriority w:val="99"/>
    <w:semiHidden/>
    <w:rsid w:val="00430ECC"/>
    <w:rPr>
      <w:rFonts w:cs="Times New Roman"/>
      <w:sz w:val="20"/>
      <w:szCs w:val="20"/>
    </w:rPr>
  </w:style>
  <w:style w:type="character" w:styleId="FootnoteReference">
    <w:name w:val="footnote reference"/>
    <w:basedOn w:val="DefaultParagraphFont"/>
    <w:uiPriority w:val="99"/>
    <w:unhideWhenUsed/>
    <w:rsid w:val="00430ECC"/>
    <w:rPr>
      <w:vertAlign w:val="superscript"/>
    </w:rPr>
  </w:style>
  <w:style w:type="character" w:styleId="Hyperlink">
    <w:name w:val="Hyperlink"/>
    <w:basedOn w:val="DefaultParagraphFont"/>
    <w:uiPriority w:val="99"/>
    <w:unhideWhenUsed/>
    <w:rsid w:val="007A7A9C"/>
    <w:rPr>
      <w:color w:val="0563C1" w:themeColor="hyperlink"/>
      <w:u w:val="single"/>
    </w:rPr>
  </w:style>
  <w:style w:type="character" w:styleId="FollowedHyperlink">
    <w:name w:val="FollowedHyperlink"/>
    <w:basedOn w:val="DefaultParagraphFont"/>
    <w:uiPriority w:val="99"/>
    <w:semiHidden/>
    <w:unhideWhenUsed/>
    <w:rsid w:val="007A7A9C"/>
    <w:rPr>
      <w:color w:val="954F72" w:themeColor="followedHyperlink"/>
      <w:u w:val="single"/>
    </w:rPr>
  </w:style>
  <w:style w:type="character" w:styleId="UnresolvedMention">
    <w:name w:val="Unresolved Mention"/>
    <w:basedOn w:val="DefaultParagraphFont"/>
    <w:uiPriority w:val="99"/>
    <w:rsid w:val="004565D8"/>
    <w:rPr>
      <w:color w:val="808080"/>
      <w:shd w:val="clear" w:color="auto" w:fill="E6E6E6"/>
    </w:rPr>
  </w:style>
  <w:style w:type="paragraph" w:styleId="NormalWeb">
    <w:name w:val="Normal (Web)"/>
    <w:basedOn w:val="Normal"/>
    <w:uiPriority w:val="99"/>
    <w:unhideWhenUsed/>
    <w:rsid w:val="000B2162"/>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E16AF"/>
    <w:rPr>
      <w:b/>
      <w:bCs/>
    </w:rPr>
  </w:style>
  <w:style w:type="character" w:customStyle="1" w:styleId="CommentSubjectChar">
    <w:name w:val="Comment Subject Char"/>
    <w:basedOn w:val="CommentTextChar"/>
    <w:link w:val="CommentSubject"/>
    <w:uiPriority w:val="99"/>
    <w:semiHidden/>
    <w:rsid w:val="00DE16A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90029">
      <w:bodyDiv w:val="1"/>
      <w:marLeft w:val="0"/>
      <w:marRight w:val="0"/>
      <w:marTop w:val="0"/>
      <w:marBottom w:val="0"/>
      <w:divBdr>
        <w:top w:val="none" w:sz="0" w:space="0" w:color="auto"/>
        <w:left w:val="none" w:sz="0" w:space="0" w:color="auto"/>
        <w:bottom w:val="none" w:sz="0" w:space="0" w:color="auto"/>
        <w:right w:val="none" w:sz="0" w:space="0" w:color="auto"/>
      </w:divBdr>
    </w:div>
    <w:div w:id="479007984">
      <w:bodyDiv w:val="1"/>
      <w:marLeft w:val="0"/>
      <w:marRight w:val="0"/>
      <w:marTop w:val="0"/>
      <w:marBottom w:val="0"/>
      <w:divBdr>
        <w:top w:val="none" w:sz="0" w:space="0" w:color="auto"/>
        <w:left w:val="none" w:sz="0" w:space="0" w:color="auto"/>
        <w:bottom w:val="none" w:sz="0" w:space="0" w:color="auto"/>
        <w:right w:val="none" w:sz="0" w:space="0" w:color="auto"/>
      </w:divBdr>
    </w:div>
    <w:div w:id="873273692">
      <w:bodyDiv w:val="1"/>
      <w:marLeft w:val="0"/>
      <w:marRight w:val="0"/>
      <w:marTop w:val="0"/>
      <w:marBottom w:val="0"/>
      <w:divBdr>
        <w:top w:val="none" w:sz="0" w:space="0" w:color="auto"/>
        <w:left w:val="none" w:sz="0" w:space="0" w:color="auto"/>
        <w:bottom w:val="none" w:sz="0" w:space="0" w:color="auto"/>
        <w:right w:val="none" w:sz="0" w:space="0" w:color="auto"/>
      </w:divBdr>
    </w:div>
    <w:div w:id="1394348699">
      <w:bodyDiv w:val="1"/>
      <w:marLeft w:val="0"/>
      <w:marRight w:val="0"/>
      <w:marTop w:val="0"/>
      <w:marBottom w:val="0"/>
      <w:divBdr>
        <w:top w:val="none" w:sz="0" w:space="0" w:color="auto"/>
        <w:left w:val="none" w:sz="0" w:space="0" w:color="auto"/>
        <w:bottom w:val="none" w:sz="0" w:space="0" w:color="auto"/>
        <w:right w:val="none" w:sz="0" w:space="0" w:color="auto"/>
      </w:divBdr>
    </w:div>
    <w:div w:id="1593051518">
      <w:bodyDiv w:val="1"/>
      <w:marLeft w:val="0"/>
      <w:marRight w:val="0"/>
      <w:marTop w:val="0"/>
      <w:marBottom w:val="0"/>
      <w:divBdr>
        <w:top w:val="none" w:sz="0" w:space="0" w:color="auto"/>
        <w:left w:val="none" w:sz="0" w:space="0" w:color="auto"/>
        <w:bottom w:val="none" w:sz="0" w:space="0" w:color="auto"/>
        <w:right w:val="none" w:sz="0" w:space="0" w:color="auto"/>
      </w:divBdr>
    </w:div>
    <w:div w:id="17699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x/lwj_BQ" TargetMode="External"/><Relationship Id="rId18" Type="http://schemas.openxmlformats.org/officeDocument/2006/relationships/hyperlink" Target="https://docs.google.com/spreadsheets/d/1aBw-dW2gBzvBfhUgl3u6ShWlPZt0yyNF-Vs1qmUuIjg/edit?usp=sharing" TargetMode="External"/><Relationship Id="rId26" Type="http://schemas.openxmlformats.org/officeDocument/2006/relationships/hyperlink" Target="https://docs.google.com/document/d/1mzlgFxnIeG1zrJGKap0zllmQaKfu4U3UMuSp8FhcYc8/edit?usp=sharing" TargetMode="External"/><Relationship Id="rId39" Type="http://schemas.openxmlformats.org/officeDocument/2006/relationships/hyperlink" Target="https://urldefense.proofpoint.com/v2/url?u=https-3A__community.icann.org_download_attachments_61606864_INTA-2520Cost-2520Impact-2520Report-2520revised-25204-2D13-2D17-2520v2.1.pdf-3Fversion-3D1-26modificationDate-3D1500376749000-26api-3Dv2&amp;d=DwMGaQ&amp;c=FmY1u3PJp6wrcrwll3mSVzgfkbPSS6sJms7xcl4I5cM&amp;r=DRa2dXAvSFpCIgmkXhFzL7ar9Qfqa0AIgn-H4xR2EBk&amp;m=MLOyWdAdSdj4cRa39aHRCVYsVa9ub30XpFPLr1fc51I&amp;s=KXW3vtHBAKxxiT4X6sLxZQO2dlKSW8Zc-BhfZ1t7lAA&amp;e" TargetMode="External"/><Relationship Id="rId3" Type="http://schemas.openxmlformats.org/officeDocument/2006/relationships/settings" Target="settings.xml"/><Relationship Id="rId21" Type="http://schemas.openxmlformats.org/officeDocument/2006/relationships/hyperlink" Target="https://community.icann.org/x/ngj_BQ" TargetMode="External"/><Relationship Id="rId34" Type="http://schemas.openxmlformats.org/officeDocument/2006/relationships/hyperlink" Target="https://community.icann.org/download/attachments/64066042/Follow%20Up%20Questions%20for%20Deloitte%20-%20updated%205%20March%202017.docx?version=1&amp;modificationDate=1488753827000&amp;api=v2" TargetMode="External"/><Relationship Id="rId42" Type="http://schemas.openxmlformats.org/officeDocument/2006/relationships/hyperlink" Target="https://community.icann.org/download/attachments/90773066/Final%20ICANN%20RPM%20Survey%20Report%202018.10.18.pdf?version=1&amp;modificationDate=1540302625000&amp;api=v2" TargetMode="External"/><Relationship Id="rId47"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https://community.icann.org/x/QAj_BQ" TargetMode="External"/><Relationship Id="rId17" Type="http://schemas.openxmlformats.org/officeDocument/2006/relationships/hyperlink" Target="https://community.icann.org/x/ngj_BQ" TargetMode="External"/><Relationship Id="rId25" Type="http://schemas.openxmlformats.org/officeDocument/2006/relationships/hyperlink" Target="https://docs.google.com/spreadsheets/d/1aBw-dW2gBzvBfhUgl3u6ShWlPZt0yyNF-Vs1qmUuIjg/edit?usp=sharing" TargetMode="External"/><Relationship Id="rId33" Type="http://schemas.openxmlformats.org/officeDocument/2006/relationships/hyperlink" Target="https://community.icann.org/download/attachments/64066042/Deloitte%20responses%20to%20TMCH%20Data%20Gathering%20Sub%20Team%20questions%20-%20Jan%202017.docx?version=1&amp;modificationDate=1485897782000&amp;api=v2" TargetMode="External"/><Relationship Id="rId38" Type="http://schemas.openxmlformats.org/officeDocument/2006/relationships/hyperlink" Target="https://community.icann.org/download/attachments/69277722/INTA%20New%20gTLD%20Cost%20Impact%20Study%20Presentation%20-%2030%20Aug.pdf?version=1&amp;modificationDate=1504147055000&amp;api=v2" TargetMode="External"/><Relationship Id="rId46" Type="http://schemas.openxmlformats.org/officeDocument/2006/relationships/hyperlink" Target="https://www.icann.org/resources/reviews/cct/metrics" TargetMode="External"/><Relationship Id="rId2" Type="http://schemas.openxmlformats.org/officeDocument/2006/relationships/styles" Target="styles.xml"/><Relationship Id="rId16" Type="http://schemas.openxmlformats.org/officeDocument/2006/relationships/hyperlink" Target="https://docs.google.com/document/d/1hvt63HvVdNdYIZxKVMXHq3fIEFxfnweT0F3ZXsJU_Q8/edit?usp=sharing" TargetMode="External"/><Relationship Id="rId20" Type="http://schemas.openxmlformats.org/officeDocument/2006/relationships/hyperlink" Target="https://community.icann.org/x/nAj_BQ" TargetMode="External"/><Relationship Id="rId29" Type="http://schemas.openxmlformats.org/officeDocument/2006/relationships/hyperlink" Target="https://mm.icann.org/pipermail/gnso-rpm-wg/2017-June/002043.html" TargetMode="External"/><Relationship Id="rId41" Type="http://schemas.openxmlformats.org/officeDocument/2006/relationships/hyperlink" Target="https://community.icann.org/download/attachments/90771305/9.6.2018%20Inception%20Report.pdf?version=1&amp;modificationDate=1536257221000&amp;api=v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A5PSNNrAFS2bFvNoMFx-5DQUNhXpnocOrEbT1XL480E/edit?usp=sharing" TargetMode="External"/><Relationship Id="rId24" Type="http://schemas.openxmlformats.org/officeDocument/2006/relationships/hyperlink" Target="https://community.icann.org/x/ngj_BQ" TargetMode="External"/><Relationship Id="rId32" Type="http://schemas.openxmlformats.org/officeDocument/2006/relationships/hyperlink" Target="https://community.icann.org/download/attachments/79438928/Transcription%20ICANN61%20GNSO%20RPM%20Data%20Sub%20Team%20Meeting%2010%20March%202018.pdf?version=1&amp;modificationDate=1521579214000&amp;api=v2" TargetMode="External"/><Relationship Id="rId37" Type="http://schemas.openxmlformats.org/officeDocument/2006/relationships/hyperlink" Target="https://community.icann.org/download/attachments/64066042/Deloitte%20Follow%20Up%20Questions%20Annex%20-%204%20March%202017.docx?version=1&amp;modificationDate=1488752114000&amp;api=v2" TargetMode="External"/><Relationship Id="rId40" Type="http://schemas.openxmlformats.org/officeDocument/2006/relationships/hyperlink" Target="https://newgtlds.icann.org/en/program-status/sunrise-claims-periods" TargetMode="External"/><Relationship Id="rId45" Type="http://schemas.openxmlformats.org/officeDocument/2006/relationships/hyperlink" Target="https://community.icann.org/display/RARPMRIAGPWG/2017-08-16+Review+of+all+Rights+Protection+Mechanisms+%28RPMs%29+in+all+gTLDs+PDP+WG" TargetMode="External"/><Relationship Id="rId5" Type="http://schemas.openxmlformats.org/officeDocument/2006/relationships/footnotes" Target="footnotes.xml"/><Relationship Id="rId15" Type="http://schemas.openxmlformats.org/officeDocument/2006/relationships/hyperlink" Target="https://docs.google.com/spreadsheets/d/1aBw-dW2gBzvBfhUgl3u6ShWlPZt0yyNF-Vs1qmUuIjg/edit?usp=sharing" TargetMode="External"/><Relationship Id="rId23" Type="http://schemas.openxmlformats.org/officeDocument/2006/relationships/hyperlink" Target="https://docs.google.com/document/d/1WBfc0bWkylDY4Ijr2I_-5hRjnYKPDjSYw9DQnlh7WHY/edit?usp=sharing" TargetMode="External"/><Relationship Id="rId28" Type="http://schemas.openxmlformats.org/officeDocument/2006/relationships/hyperlink" Target="https://community.icann.org/download/attachments/64066042/Analysis%20Group%20Revised%20TMCH%20Report%20-%20March%202017.pdf?version=1&amp;modificationDate=1490349029000&amp;api=v2" TargetMode="External"/><Relationship Id="rId36" Type="http://schemas.openxmlformats.org/officeDocument/2006/relationships/hyperlink" Target="https://community.icann.org/download/attachments/64066042/Deloitte%20Follow%20Up%20Questions%20Annex%20-%204%20March%202017.docx?version=1&amp;modificationDate=1488752114000&amp;api=v2" TargetMode="External"/><Relationship Id="rId49" Type="http://schemas.openxmlformats.org/officeDocument/2006/relationships/theme" Target="theme/theme1.xml"/><Relationship Id="rId10" Type="http://schemas.openxmlformats.org/officeDocument/2006/relationships/hyperlink" Target="https://docs.google.com/spreadsheets/d/1aBw-dW2gBzvBfhUgl3u6ShWlPZt0yyNF-Vs1qmUuIjg/edit?usp=sharing" TargetMode="External"/><Relationship Id="rId19" Type="http://schemas.openxmlformats.org/officeDocument/2006/relationships/hyperlink" Target="https://docs.google.com/document/d/1WLE91cg73avpWHkzczNCnxw1ALWyhWqGZOnnrmqTsH4/edit?usp=sharing" TargetMode="External"/><Relationship Id="rId31" Type="http://schemas.openxmlformats.org/officeDocument/2006/relationships/hyperlink" Target="https://community.icann.org/download/attachments/64066042/Registry%20Responses%20to%20TMCH%20Data%20Sub%20Team%20-%2013%20Dec.pdf?version=1&amp;modificationDate=1485897782000&amp;api=v2" TargetMode="External"/><Relationship Id="rId44" Type="http://schemas.openxmlformats.org/officeDocument/2006/relationships/hyperlink" Target="https://community.icann.org/download/attachments/99483940/Questions%20%26%20Comments%20-%20Final%20Report%20RPM%20Survey%20-%20AG%20comments.pdf?version=1&amp;modificationDate=1543271647000&amp;api=v2"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community.icann.org/x/mQj_BQ" TargetMode="External"/><Relationship Id="rId22" Type="http://schemas.openxmlformats.org/officeDocument/2006/relationships/hyperlink" Target="https://docs.google.com/spreadsheets/d/1aBw-dW2gBzvBfhUgl3u6ShWlPZt0yyNF-Vs1qmUuIjg/edit?usp=sharing" TargetMode="External"/><Relationship Id="rId27" Type="http://schemas.openxmlformats.org/officeDocument/2006/relationships/hyperlink" Target="https://community.icann.org/x/ngj_BQ" TargetMode="External"/><Relationship Id="rId30" Type="http://schemas.openxmlformats.org/officeDocument/2006/relationships/hyperlink" Target="https://mm.icann.org/pipermail/gnso-rpm-wg/2017-July/002257.html" TargetMode="External"/><Relationship Id="rId35" Type="http://schemas.openxmlformats.org/officeDocument/2006/relationships/hyperlink" Target="https://community.icann.org/download/attachments/64066042/Deloitte%20Follow%20Up%20Questions%20Annex%20-%204%20March%202017.docx?version=1&amp;modificationDate=1488752114000&amp;api=v2" TargetMode="External"/><Relationship Id="rId43" Type="http://schemas.openxmlformats.org/officeDocument/2006/relationships/hyperlink" Target="https://community.icann.org/pages/viewpage.action?pageId=90771305" TargetMode="External"/><Relationship Id="rId48" Type="http://schemas.microsoft.com/office/2011/relationships/people" Target="people.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11</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Tushnet, Rebecca</cp:lastModifiedBy>
  <cp:revision>10</cp:revision>
  <dcterms:created xsi:type="dcterms:W3CDTF">2019-01-31T23:38:00Z</dcterms:created>
  <dcterms:modified xsi:type="dcterms:W3CDTF">2019-02-06T23:51:00Z</dcterms:modified>
</cp:coreProperties>
</file>