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C2279" w14:textId="4D4D3269" w:rsidR="000944E6" w:rsidRPr="00101BF9" w:rsidRDefault="00101BF9" w:rsidP="000944E6">
      <w:pPr>
        <w:jc w:val="center"/>
        <w:rPr>
          <w:b/>
          <w:sz w:val="22"/>
          <w:szCs w:val="22"/>
        </w:rPr>
      </w:pPr>
      <w:r w:rsidRPr="00101BF9">
        <w:rPr>
          <w:b/>
          <w:sz w:val="22"/>
          <w:szCs w:val="22"/>
        </w:rPr>
        <w:t xml:space="preserve">SELECTED </w:t>
      </w:r>
      <w:r w:rsidR="000944E6" w:rsidRPr="00101BF9">
        <w:rPr>
          <w:b/>
          <w:sz w:val="22"/>
          <w:szCs w:val="22"/>
        </w:rPr>
        <w:t xml:space="preserve">TMCH CHARTER QUESTIONS </w:t>
      </w:r>
      <w:r w:rsidRPr="00101BF9">
        <w:rPr>
          <w:b/>
          <w:sz w:val="22"/>
          <w:szCs w:val="22"/>
        </w:rPr>
        <w:t xml:space="preserve">MATCHED WITH DOCUMENTATION FROM THE APPLICANT GUIDEBOOK AND OTHER MATERIALS DEVELOPED FOR THE 2012 NEW </w:t>
      </w:r>
      <w:proofErr w:type="spellStart"/>
      <w:r w:rsidRPr="00101BF9">
        <w:rPr>
          <w:b/>
          <w:sz w:val="22"/>
          <w:szCs w:val="22"/>
        </w:rPr>
        <w:t>gTLD</w:t>
      </w:r>
      <w:proofErr w:type="spellEnd"/>
      <w:r w:rsidRPr="00101BF9">
        <w:rPr>
          <w:b/>
          <w:sz w:val="22"/>
          <w:szCs w:val="22"/>
        </w:rPr>
        <w:t xml:space="preserve"> PROGRAM</w:t>
      </w:r>
    </w:p>
    <w:p w14:paraId="003AB9DE" w14:textId="3EEE48D2" w:rsidR="000944E6" w:rsidRPr="00101BF9" w:rsidRDefault="00101BF9" w:rsidP="000944E6">
      <w:pPr>
        <w:jc w:val="center"/>
        <w:rPr>
          <w:b/>
          <w:sz w:val="22"/>
          <w:szCs w:val="22"/>
        </w:rPr>
      </w:pPr>
      <w:r w:rsidRPr="00101BF9">
        <w:rPr>
          <w:b/>
          <w:sz w:val="22"/>
          <w:szCs w:val="22"/>
        </w:rPr>
        <w:t>28</w:t>
      </w:r>
      <w:r w:rsidR="00B7434D" w:rsidRPr="00101BF9">
        <w:rPr>
          <w:b/>
          <w:sz w:val="22"/>
          <w:szCs w:val="22"/>
        </w:rPr>
        <w:t xml:space="preserve"> </w:t>
      </w:r>
      <w:r w:rsidR="000944E6" w:rsidRPr="00101BF9">
        <w:rPr>
          <w:b/>
          <w:sz w:val="22"/>
          <w:szCs w:val="22"/>
        </w:rPr>
        <w:t>February 2017</w:t>
      </w:r>
    </w:p>
    <w:p w14:paraId="72534994" w14:textId="77777777" w:rsidR="000944E6" w:rsidRPr="00101BF9" w:rsidRDefault="000944E6" w:rsidP="00BA7973">
      <w:pPr>
        <w:rPr>
          <w:b/>
          <w:sz w:val="22"/>
          <w:szCs w:val="22"/>
        </w:rPr>
      </w:pPr>
    </w:p>
    <w:p w14:paraId="0F06E053" w14:textId="77777777" w:rsidR="00BA7973" w:rsidRPr="00101BF9" w:rsidRDefault="00BA7973" w:rsidP="00BA7973">
      <w:pPr>
        <w:rPr>
          <w:b/>
          <w:sz w:val="22"/>
          <w:szCs w:val="22"/>
        </w:rPr>
      </w:pPr>
      <w:r w:rsidRPr="00101BF9">
        <w:rPr>
          <w:b/>
          <w:sz w:val="22"/>
          <w:szCs w:val="22"/>
        </w:rPr>
        <w:t>CATEGORY 3 – BREADTH AND REACH (SCOPE)</w:t>
      </w:r>
    </w:p>
    <w:p w14:paraId="15D88CC6" w14:textId="77777777" w:rsidR="00BA7973" w:rsidRPr="00101BF9" w:rsidRDefault="00BA7973" w:rsidP="00BA7973">
      <w:pPr>
        <w:rPr>
          <w:sz w:val="22"/>
          <w:szCs w:val="22"/>
        </w:rPr>
      </w:pPr>
    </w:p>
    <w:tbl>
      <w:tblPr>
        <w:tblStyle w:val="TableGrid"/>
        <w:tblW w:w="0" w:type="auto"/>
        <w:tblCellMar>
          <w:left w:w="115" w:type="dxa"/>
          <w:right w:w="115" w:type="dxa"/>
        </w:tblCellMar>
        <w:tblLook w:val="04A0" w:firstRow="1" w:lastRow="0" w:firstColumn="1" w:lastColumn="0" w:noHBand="0" w:noVBand="1"/>
      </w:tblPr>
      <w:tblGrid>
        <w:gridCol w:w="2457"/>
        <w:gridCol w:w="2593"/>
        <w:gridCol w:w="2611"/>
        <w:gridCol w:w="2722"/>
        <w:gridCol w:w="2567"/>
      </w:tblGrid>
      <w:tr w:rsidR="00710022" w:rsidRPr="00101BF9" w14:paraId="3886C7E2" w14:textId="77777777" w:rsidTr="00710022">
        <w:trPr>
          <w:trHeight w:val="269"/>
        </w:trPr>
        <w:tc>
          <w:tcPr>
            <w:tcW w:w="2458" w:type="dxa"/>
            <w:shd w:val="clear" w:color="auto" w:fill="D9E2F3" w:themeFill="accent1" w:themeFillTint="33"/>
          </w:tcPr>
          <w:p w14:paraId="2F9D3962" w14:textId="77777777" w:rsidR="00BA7973" w:rsidRPr="00F87D44" w:rsidRDefault="00BA7973" w:rsidP="00F87D44">
            <w:pPr>
              <w:rPr>
                <w:b/>
                <w:sz w:val="22"/>
                <w:szCs w:val="22"/>
              </w:rPr>
            </w:pPr>
            <w:r w:rsidRPr="00F87D44">
              <w:rPr>
                <w:b/>
                <w:sz w:val="22"/>
                <w:szCs w:val="22"/>
              </w:rPr>
              <w:t>Charter Questions</w:t>
            </w:r>
          </w:p>
          <w:p w14:paraId="3DAF39F2" w14:textId="77777777" w:rsidR="00BA7973" w:rsidRPr="00101BF9" w:rsidRDefault="00BA7973" w:rsidP="00F87D44">
            <w:pPr>
              <w:rPr>
                <w:b/>
                <w:sz w:val="22"/>
                <w:szCs w:val="22"/>
              </w:rPr>
            </w:pPr>
          </w:p>
        </w:tc>
        <w:tc>
          <w:tcPr>
            <w:tcW w:w="2609" w:type="dxa"/>
            <w:shd w:val="clear" w:color="auto" w:fill="D9E2F3" w:themeFill="accent1" w:themeFillTint="33"/>
          </w:tcPr>
          <w:p w14:paraId="064ECE7C" w14:textId="3A3FD3AE" w:rsidR="00BA7973" w:rsidRPr="00101BF9" w:rsidRDefault="00101BF9" w:rsidP="00101BF9">
            <w:pPr>
              <w:rPr>
                <w:b/>
                <w:sz w:val="22"/>
                <w:szCs w:val="22"/>
              </w:rPr>
            </w:pPr>
            <w:r w:rsidRPr="00101BF9">
              <w:rPr>
                <w:b/>
                <w:sz w:val="22"/>
                <w:szCs w:val="22"/>
              </w:rPr>
              <w:t>STI Recommendations (approved by GNSO Council &amp; ICANN Board)</w:t>
            </w:r>
          </w:p>
        </w:tc>
        <w:tc>
          <w:tcPr>
            <w:tcW w:w="2656" w:type="dxa"/>
            <w:shd w:val="clear" w:color="auto" w:fill="D9E2F3" w:themeFill="accent1" w:themeFillTint="33"/>
          </w:tcPr>
          <w:p w14:paraId="70A1EFA3" w14:textId="390E3EBD" w:rsidR="00BA7973" w:rsidRPr="00101BF9" w:rsidRDefault="00D7026C" w:rsidP="00896F4A">
            <w:pPr>
              <w:rPr>
                <w:b/>
                <w:sz w:val="22"/>
                <w:szCs w:val="22"/>
              </w:rPr>
            </w:pPr>
            <w:r w:rsidRPr="00101BF9">
              <w:rPr>
                <w:b/>
                <w:sz w:val="22"/>
                <w:szCs w:val="22"/>
              </w:rPr>
              <w:t>Applicant Guidebook</w:t>
            </w:r>
          </w:p>
        </w:tc>
        <w:tc>
          <w:tcPr>
            <w:tcW w:w="2660" w:type="dxa"/>
            <w:shd w:val="clear" w:color="auto" w:fill="D9E2F3" w:themeFill="accent1" w:themeFillTint="33"/>
          </w:tcPr>
          <w:p w14:paraId="0F7345D1" w14:textId="034450A9" w:rsidR="00BA7973" w:rsidRPr="00101BF9" w:rsidRDefault="00D7026C" w:rsidP="00101BF9">
            <w:pPr>
              <w:rPr>
                <w:b/>
                <w:sz w:val="22"/>
                <w:szCs w:val="22"/>
              </w:rPr>
            </w:pPr>
            <w:r w:rsidRPr="00101BF9">
              <w:rPr>
                <w:b/>
                <w:sz w:val="22"/>
                <w:szCs w:val="22"/>
              </w:rPr>
              <w:t xml:space="preserve">Deloitte </w:t>
            </w:r>
            <w:r w:rsidR="00101BF9" w:rsidRPr="00101BF9">
              <w:rPr>
                <w:b/>
                <w:sz w:val="22"/>
                <w:szCs w:val="22"/>
              </w:rPr>
              <w:t>Guidelines/Other Materials Developed for the Program</w:t>
            </w:r>
          </w:p>
        </w:tc>
        <w:tc>
          <w:tcPr>
            <w:tcW w:w="2567" w:type="dxa"/>
            <w:shd w:val="clear" w:color="auto" w:fill="D9E2F3" w:themeFill="accent1" w:themeFillTint="33"/>
          </w:tcPr>
          <w:p w14:paraId="544A114E" w14:textId="11806FD7" w:rsidR="00BA7973" w:rsidRPr="00101BF9" w:rsidRDefault="00BA7973" w:rsidP="00FE7014">
            <w:pPr>
              <w:rPr>
                <w:b/>
                <w:sz w:val="22"/>
                <w:szCs w:val="22"/>
              </w:rPr>
            </w:pPr>
            <w:r w:rsidRPr="00101BF9">
              <w:rPr>
                <w:b/>
                <w:sz w:val="22"/>
                <w:szCs w:val="22"/>
              </w:rPr>
              <w:t>WG Discussion</w:t>
            </w:r>
            <w:r w:rsidR="002D71A8">
              <w:rPr>
                <w:b/>
                <w:sz w:val="22"/>
                <w:szCs w:val="22"/>
              </w:rPr>
              <w:t xml:space="preserve"> (up to </w:t>
            </w:r>
            <w:r w:rsidR="00E5512A">
              <w:rPr>
                <w:b/>
                <w:sz w:val="22"/>
                <w:szCs w:val="22"/>
              </w:rPr>
              <w:t>22 February 2017)</w:t>
            </w:r>
          </w:p>
        </w:tc>
      </w:tr>
      <w:tr w:rsidR="00710022" w:rsidRPr="00101BF9" w14:paraId="37D06C41" w14:textId="77777777" w:rsidTr="00710022">
        <w:trPr>
          <w:trHeight w:val="269"/>
        </w:trPr>
        <w:tc>
          <w:tcPr>
            <w:tcW w:w="2458" w:type="dxa"/>
          </w:tcPr>
          <w:p w14:paraId="25AF0E2F" w14:textId="77777777" w:rsidR="00BA7973" w:rsidRPr="006024EB" w:rsidRDefault="00BA7973" w:rsidP="00F87D44">
            <w:pPr>
              <w:pStyle w:val="ListParagraph"/>
              <w:numPr>
                <w:ilvl w:val="0"/>
                <w:numId w:val="17"/>
              </w:numPr>
              <w:rPr>
                <w:sz w:val="22"/>
                <w:szCs w:val="22"/>
              </w:rPr>
            </w:pPr>
            <w:r w:rsidRPr="006024EB">
              <w:rPr>
                <w:sz w:val="22"/>
                <w:szCs w:val="22"/>
              </w:rPr>
              <w:t xml:space="preserve">How are design marks currently handled by the TMCH provider? </w:t>
            </w:r>
          </w:p>
          <w:p w14:paraId="47BFD5D3" w14:textId="77777777" w:rsidR="00BA7973" w:rsidRPr="00101BF9" w:rsidRDefault="00BA7973" w:rsidP="00F87D44">
            <w:pPr>
              <w:rPr>
                <w:sz w:val="22"/>
                <w:szCs w:val="22"/>
              </w:rPr>
            </w:pPr>
          </w:p>
          <w:p w14:paraId="743E90B8" w14:textId="77777777" w:rsidR="00BA7973" w:rsidRPr="00101BF9" w:rsidRDefault="00BA7973" w:rsidP="00F87D44">
            <w:pPr>
              <w:rPr>
                <w:sz w:val="22"/>
                <w:szCs w:val="22"/>
              </w:rPr>
            </w:pPr>
          </w:p>
        </w:tc>
        <w:tc>
          <w:tcPr>
            <w:tcW w:w="2609" w:type="dxa"/>
          </w:tcPr>
          <w:p w14:paraId="485D6838" w14:textId="42740D27" w:rsidR="009A6DAE" w:rsidRPr="009A6DAE" w:rsidRDefault="009A6DAE" w:rsidP="00FE7014">
            <w:pPr>
              <w:rPr>
                <w:b/>
                <w:sz w:val="22"/>
                <w:szCs w:val="22"/>
              </w:rPr>
            </w:pPr>
            <w:r w:rsidRPr="009A6DAE">
              <w:rPr>
                <w:b/>
                <w:sz w:val="22"/>
                <w:szCs w:val="22"/>
              </w:rPr>
              <w:t>Marks Eligible for Inclusion in the TC:</w:t>
            </w:r>
          </w:p>
          <w:p w14:paraId="1E6A5839" w14:textId="77777777" w:rsidR="009A6DAE" w:rsidRDefault="009A6DAE" w:rsidP="00FE7014">
            <w:pPr>
              <w:rPr>
                <w:sz w:val="22"/>
                <w:szCs w:val="22"/>
                <w:u w:val="single"/>
              </w:rPr>
            </w:pPr>
          </w:p>
          <w:p w14:paraId="3E59DF6F" w14:textId="308E7152" w:rsidR="00DE532A" w:rsidRPr="00DE532A" w:rsidRDefault="00101BF9" w:rsidP="00FE7014">
            <w:pPr>
              <w:rPr>
                <w:sz w:val="22"/>
                <w:szCs w:val="22"/>
                <w:u w:val="single"/>
              </w:rPr>
            </w:pPr>
            <w:r w:rsidRPr="00DE532A">
              <w:rPr>
                <w:sz w:val="22"/>
                <w:szCs w:val="22"/>
                <w:u w:val="single"/>
              </w:rPr>
              <w:t xml:space="preserve">4.1: </w:t>
            </w:r>
            <w:r w:rsidR="00DE532A" w:rsidRPr="00DE532A">
              <w:rPr>
                <w:sz w:val="22"/>
                <w:szCs w:val="22"/>
                <w:u w:val="single"/>
              </w:rPr>
              <w:t>National or Multinational Registered Marks</w:t>
            </w:r>
            <w:r w:rsidR="00BB74C8">
              <w:rPr>
                <w:rStyle w:val="FootnoteReference"/>
                <w:sz w:val="22"/>
                <w:szCs w:val="22"/>
                <w:u w:val="single"/>
              </w:rPr>
              <w:footnoteReference w:id="1"/>
            </w:r>
          </w:p>
          <w:p w14:paraId="3309E298" w14:textId="571798F6" w:rsidR="00BA7973" w:rsidRDefault="00D7026C" w:rsidP="00FE7014">
            <w:pPr>
              <w:rPr>
                <w:sz w:val="22"/>
                <w:szCs w:val="22"/>
              </w:rPr>
            </w:pPr>
            <w:r w:rsidRPr="00101BF9">
              <w:rPr>
                <w:sz w:val="22"/>
                <w:szCs w:val="22"/>
              </w:rPr>
              <w:t xml:space="preserve">The TC Database should be required to include nationally or </w:t>
            </w:r>
            <w:proofErr w:type="spellStart"/>
            <w:r w:rsidRPr="00101BF9">
              <w:rPr>
                <w:sz w:val="22"/>
                <w:szCs w:val="22"/>
              </w:rPr>
              <w:t>multinationally</w:t>
            </w:r>
            <w:proofErr w:type="spellEnd"/>
            <w:r w:rsidRPr="00101BF9">
              <w:rPr>
                <w:sz w:val="22"/>
                <w:szCs w:val="22"/>
              </w:rPr>
              <w:t xml:space="preserve"> registered “text mark” trademarks, from all jurisdictions, (Including countries where there is no substantive review). (The trademarks to be included in the TC are text marks because “design marks” provide protection for letters and words only within the context of their design or logo and the ST </w:t>
            </w:r>
            <w:r w:rsidRPr="00101BF9">
              <w:rPr>
                <w:sz w:val="22"/>
                <w:szCs w:val="22"/>
              </w:rPr>
              <w:lastRenderedPageBreak/>
              <w:t xml:space="preserve">was under a mandate not to expand existing trademark rights.) </w:t>
            </w:r>
          </w:p>
          <w:p w14:paraId="4FFC59DF" w14:textId="77777777" w:rsidR="00DE532A" w:rsidRDefault="00DE532A" w:rsidP="00FE7014">
            <w:pPr>
              <w:rPr>
                <w:sz w:val="22"/>
                <w:szCs w:val="22"/>
              </w:rPr>
            </w:pPr>
          </w:p>
          <w:p w14:paraId="1F10A970" w14:textId="6EF33E9A" w:rsidR="00DE532A" w:rsidRPr="00DE532A" w:rsidRDefault="00DE532A" w:rsidP="00FE7014">
            <w:pPr>
              <w:rPr>
                <w:sz w:val="22"/>
                <w:szCs w:val="22"/>
                <w:u w:val="single"/>
              </w:rPr>
            </w:pPr>
            <w:r w:rsidRPr="00DE532A">
              <w:rPr>
                <w:sz w:val="22"/>
                <w:szCs w:val="22"/>
                <w:u w:val="single"/>
              </w:rPr>
              <w:t>4.2: Common Law Rights</w:t>
            </w:r>
            <w:r w:rsidR="00BB74C8">
              <w:rPr>
                <w:rStyle w:val="FootnoteReference"/>
                <w:sz w:val="22"/>
                <w:szCs w:val="22"/>
                <w:u w:val="single"/>
              </w:rPr>
              <w:footnoteReference w:id="2"/>
            </w:r>
          </w:p>
          <w:p w14:paraId="7848AFD9" w14:textId="06BAABED" w:rsidR="00DE532A" w:rsidRPr="00101BF9" w:rsidRDefault="00DE532A" w:rsidP="00FE7014">
            <w:pPr>
              <w:rPr>
                <w:sz w:val="22"/>
                <w:szCs w:val="22"/>
              </w:rPr>
            </w:pPr>
            <w:r w:rsidRPr="00DE532A">
              <w:rPr>
                <w:sz w:val="22"/>
                <w:szCs w:val="22"/>
              </w:rPr>
              <w:t xml:space="preserve">No </w:t>
            </w:r>
            <w:proofErr w:type="gramStart"/>
            <w:r w:rsidRPr="00DE532A">
              <w:rPr>
                <w:sz w:val="22"/>
                <w:szCs w:val="22"/>
              </w:rPr>
              <w:t>common law</w:t>
            </w:r>
            <w:proofErr w:type="gramEnd"/>
            <w:r w:rsidRPr="00DE532A">
              <w:rPr>
                <w:sz w:val="22"/>
                <w:szCs w:val="22"/>
              </w:rPr>
              <w:t xml:space="preserve"> rights should be included in the TC Database, except for court validated common law marks</w:t>
            </w:r>
            <w:r w:rsidRPr="00DE532A">
              <w:rPr>
                <w:sz w:val="22"/>
                <w:szCs w:val="22"/>
                <w:lang w:val="en-GB"/>
              </w:rPr>
              <w:t xml:space="preserve">; </w:t>
            </w:r>
            <w:r w:rsidRPr="00DE532A">
              <w:rPr>
                <w:iCs/>
                <w:sz w:val="22"/>
                <w:szCs w:val="22"/>
                <w:lang w:val="en-GB"/>
              </w:rPr>
              <w:t xml:space="preserve">provided that a new </w:t>
            </w:r>
            <w:proofErr w:type="spellStart"/>
            <w:r w:rsidRPr="00DE532A">
              <w:rPr>
                <w:iCs/>
                <w:sz w:val="22"/>
                <w:szCs w:val="22"/>
                <w:lang w:val="en-GB"/>
              </w:rPr>
              <w:t>gTLD</w:t>
            </w:r>
            <w:proofErr w:type="spellEnd"/>
            <w:r w:rsidRPr="00DE532A">
              <w:rPr>
                <w:iCs/>
                <w:sz w:val="22"/>
                <w:szCs w:val="22"/>
                <w:lang w:val="en-GB"/>
              </w:rPr>
              <w:t xml:space="preserve"> Registry may elect to have the TC Service Provider collect and verify common law right provided that it conforms to Recommendation 2.3</w:t>
            </w:r>
            <w:r>
              <w:rPr>
                <w:iCs/>
                <w:sz w:val="22"/>
                <w:szCs w:val="22"/>
                <w:lang w:val="en-GB"/>
              </w:rPr>
              <w:t>.</w:t>
            </w:r>
          </w:p>
          <w:p w14:paraId="1D46A9D4" w14:textId="77777777" w:rsidR="00F850C0" w:rsidRDefault="00F850C0" w:rsidP="00FE7014">
            <w:pPr>
              <w:rPr>
                <w:sz w:val="22"/>
                <w:szCs w:val="22"/>
              </w:rPr>
            </w:pPr>
          </w:p>
          <w:p w14:paraId="55BB419B" w14:textId="0BD0B0DA" w:rsidR="009A6DAE" w:rsidRPr="009A6DAE" w:rsidRDefault="009A6DAE" w:rsidP="00FE7014">
            <w:pPr>
              <w:rPr>
                <w:b/>
                <w:sz w:val="22"/>
                <w:szCs w:val="22"/>
              </w:rPr>
            </w:pPr>
            <w:r w:rsidRPr="009A6DAE">
              <w:rPr>
                <w:b/>
                <w:sz w:val="22"/>
                <w:szCs w:val="22"/>
              </w:rPr>
              <w:t>Functionality of TC:</w:t>
            </w:r>
          </w:p>
          <w:p w14:paraId="757701B8" w14:textId="7792177D" w:rsidR="00DE532A" w:rsidRPr="00DE532A" w:rsidRDefault="00F850C0" w:rsidP="00F850C0">
            <w:pPr>
              <w:rPr>
                <w:sz w:val="22"/>
                <w:szCs w:val="22"/>
                <w:u w:val="single"/>
              </w:rPr>
            </w:pPr>
            <w:r w:rsidRPr="00DE532A">
              <w:rPr>
                <w:sz w:val="22"/>
                <w:szCs w:val="22"/>
                <w:u w:val="single"/>
              </w:rPr>
              <w:t>2.3</w:t>
            </w:r>
            <w:r w:rsidR="00101BF9" w:rsidRPr="00DE532A">
              <w:rPr>
                <w:sz w:val="22"/>
                <w:szCs w:val="22"/>
                <w:u w:val="single"/>
              </w:rPr>
              <w:t>:</w:t>
            </w:r>
            <w:r w:rsidRPr="00DE532A">
              <w:rPr>
                <w:sz w:val="22"/>
                <w:szCs w:val="22"/>
                <w:u w:val="single"/>
              </w:rPr>
              <w:t xml:space="preserve"> </w:t>
            </w:r>
            <w:r w:rsidR="00DE532A" w:rsidRPr="00DE532A">
              <w:rPr>
                <w:sz w:val="22"/>
                <w:szCs w:val="22"/>
                <w:u w:val="single"/>
              </w:rPr>
              <w:t>Segregation of TC Database</w:t>
            </w:r>
            <w:r w:rsidR="00BB74C8">
              <w:rPr>
                <w:rStyle w:val="FootnoteReference"/>
                <w:sz w:val="22"/>
                <w:szCs w:val="22"/>
                <w:u w:val="single"/>
              </w:rPr>
              <w:footnoteReference w:id="3"/>
            </w:r>
          </w:p>
          <w:p w14:paraId="751F44C1" w14:textId="77777777" w:rsidR="00F850C0" w:rsidRDefault="00F850C0" w:rsidP="00F850C0">
            <w:pPr>
              <w:rPr>
                <w:sz w:val="22"/>
                <w:szCs w:val="22"/>
              </w:rPr>
            </w:pPr>
            <w:r w:rsidRPr="00101BF9">
              <w:rPr>
                <w:sz w:val="22"/>
                <w:szCs w:val="22"/>
              </w:rPr>
              <w:t xml:space="preserve">The TC Service Provider should be required to maintain a separate TC database, and may not store any data in the TC database related to its provision of ancillary services, if any. </w:t>
            </w:r>
          </w:p>
          <w:p w14:paraId="4B9DA0EA" w14:textId="77777777" w:rsidR="004C0E2C" w:rsidRDefault="004C0E2C" w:rsidP="00F850C0">
            <w:pPr>
              <w:rPr>
                <w:sz w:val="22"/>
                <w:szCs w:val="22"/>
              </w:rPr>
            </w:pPr>
          </w:p>
          <w:p w14:paraId="4E729E8B" w14:textId="15272CE1" w:rsidR="004C0E2C" w:rsidRPr="004C0E2C" w:rsidRDefault="004C0E2C" w:rsidP="00F850C0">
            <w:pPr>
              <w:rPr>
                <w:sz w:val="22"/>
                <w:szCs w:val="22"/>
                <w:u w:val="single"/>
              </w:rPr>
            </w:pPr>
            <w:r w:rsidRPr="004C0E2C">
              <w:rPr>
                <w:sz w:val="22"/>
                <w:szCs w:val="22"/>
                <w:u w:val="single"/>
              </w:rPr>
              <w:lastRenderedPageBreak/>
              <w:t>9: Effect of filing with the TC</w:t>
            </w:r>
          </w:p>
          <w:p w14:paraId="1F42DDCE" w14:textId="4A7D92B9" w:rsidR="004C0E2C" w:rsidRPr="00101BF9" w:rsidRDefault="004C0E2C" w:rsidP="00F850C0">
            <w:pPr>
              <w:rPr>
                <w:sz w:val="22"/>
                <w:szCs w:val="22"/>
              </w:rPr>
            </w:pPr>
            <w:r w:rsidRPr="004C0E2C">
              <w:rPr>
                <w:sz w:val="22"/>
                <w:szCs w:val="22"/>
              </w:rPr>
              <w:t>It should be clearly stated in mandate of the TC that inclusion of a TC validated mark into the Database is not proof of any right, nor does it confer any legal rights on the trademark holder. Also, failure to file should not</w:t>
            </w:r>
            <w:r w:rsidRPr="004C0E2C">
              <w:rPr>
                <w:b/>
                <w:sz w:val="22"/>
                <w:szCs w:val="22"/>
              </w:rPr>
              <w:t xml:space="preserve"> </w:t>
            </w:r>
            <w:r w:rsidRPr="004C0E2C">
              <w:rPr>
                <w:sz w:val="22"/>
                <w:szCs w:val="22"/>
              </w:rPr>
              <w:t>be perceived to be lack of vigilance by Trademark holders</w:t>
            </w:r>
            <w:r>
              <w:rPr>
                <w:sz w:val="22"/>
                <w:szCs w:val="22"/>
              </w:rPr>
              <w:t>.</w:t>
            </w:r>
          </w:p>
        </w:tc>
        <w:tc>
          <w:tcPr>
            <w:tcW w:w="2656" w:type="dxa"/>
          </w:tcPr>
          <w:p w14:paraId="79295EB7" w14:textId="3D5E4121" w:rsidR="009A6DAE" w:rsidRPr="009A6DAE" w:rsidRDefault="009A6DAE" w:rsidP="00FE7014">
            <w:pPr>
              <w:rPr>
                <w:b/>
                <w:sz w:val="22"/>
                <w:szCs w:val="22"/>
              </w:rPr>
            </w:pPr>
            <w:r w:rsidRPr="009A6DAE">
              <w:rPr>
                <w:b/>
                <w:sz w:val="22"/>
                <w:szCs w:val="22"/>
              </w:rPr>
              <w:lastRenderedPageBreak/>
              <w:t>Criteria for TM Inclusion in the Clearinghouse</w:t>
            </w:r>
            <w:r>
              <w:rPr>
                <w:b/>
                <w:sz w:val="22"/>
                <w:szCs w:val="22"/>
              </w:rPr>
              <w:t>:</w:t>
            </w:r>
          </w:p>
          <w:p w14:paraId="63F55498" w14:textId="77777777" w:rsidR="009A6DAE" w:rsidRDefault="009A6DAE" w:rsidP="00FE7014">
            <w:pPr>
              <w:rPr>
                <w:sz w:val="22"/>
                <w:szCs w:val="22"/>
                <w:u w:val="single"/>
              </w:rPr>
            </w:pPr>
          </w:p>
          <w:p w14:paraId="65E4EE45" w14:textId="601D50FE" w:rsidR="00D7026C" w:rsidRPr="009A6DAE" w:rsidRDefault="00D7026C" w:rsidP="00FE7014">
            <w:pPr>
              <w:rPr>
                <w:sz w:val="22"/>
                <w:szCs w:val="22"/>
                <w:u w:val="single"/>
              </w:rPr>
            </w:pPr>
            <w:r w:rsidRPr="001A5E59">
              <w:rPr>
                <w:sz w:val="22"/>
                <w:szCs w:val="22"/>
                <w:u w:val="single"/>
              </w:rPr>
              <w:t>3.2</w:t>
            </w:r>
            <w:r w:rsidR="006F6CFD" w:rsidRPr="001A5E59">
              <w:rPr>
                <w:sz w:val="22"/>
                <w:szCs w:val="22"/>
                <w:u w:val="single"/>
              </w:rPr>
              <w:t>:</w:t>
            </w:r>
            <w:r w:rsidRPr="001A5E59">
              <w:rPr>
                <w:sz w:val="22"/>
                <w:szCs w:val="22"/>
                <w:u w:val="single"/>
              </w:rPr>
              <w:t xml:space="preserve"> </w:t>
            </w:r>
            <w:r w:rsidR="001A5E59" w:rsidRPr="001A5E59">
              <w:rPr>
                <w:sz w:val="22"/>
                <w:szCs w:val="22"/>
                <w:u w:val="single"/>
              </w:rPr>
              <w:t>S</w:t>
            </w:r>
            <w:r w:rsidRPr="001A5E59">
              <w:rPr>
                <w:sz w:val="22"/>
                <w:szCs w:val="22"/>
                <w:u w:val="single"/>
              </w:rPr>
              <w:t>tandards for inc</w:t>
            </w:r>
            <w:r w:rsidR="001A5E59" w:rsidRPr="001A5E59">
              <w:rPr>
                <w:sz w:val="22"/>
                <w:szCs w:val="22"/>
                <w:u w:val="single"/>
              </w:rPr>
              <w:t>lusion in the Clearinghouse</w:t>
            </w:r>
          </w:p>
          <w:p w14:paraId="1A95AB1B" w14:textId="239EC789" w:rsidR="00D7026C" w:rsidRPr="00101BF9" w:rsidRDefault="00D7026C" w:rsidP="00FE7014">
            <w:pPr>
              <w:rPr>
                <w:sz w:val="22"/>
                <w:szCs w:val="22"/>
              </w:rPr>
            </w:pPr>
            <w:r w:rsidRPr="00101BF9">
              <w:rPr>
                <w:sz w:val="22"/>
                <w:szCs w:val="22"/>
              </w:rPr>
              <w:t xml:space="preserve">3.2.1 Nationally or regionally registered word marks from all jurisdictions. </w:t>
            </w:r>
          </w:p>
          <w:p w14:paraId="2816BDAB" w14:textId="1D5993CF" w:rsidR="00D7026C" w:rsidRPr="00101BF9" w:rsidRDefault="00D7026C" w:rsidP="00FE7014">
            <w:pPr>
              <w:rPr>
                <w:sz w:val="22"/>
                <w:szCs w:val="22"/>
              </w:rPr>
            </w:pPr>
            <w:r w:rsidRPr="00101BF9">
              <w:rPr>
                <w:sz w:val="22"/>
                <w:szCs w:val="22"/>
              </w:rPr>
              <w:t xml:space="preserve">3.2.2 Any word mark that has been validated through a court of law or other judicial proceeding. </w:t>
            </w:r>
          </w:p>
          <w:p w14:paraId="0B770930" w14:textId="48AFC788" w:rsidR="00D7026C" w:rsidRPr="00101BF9" w:rsidRDefault="00D7026C" w:rsidP="00FE7014">
            <w:pPr>
              <w:rPr>
                <w:sz w:val="22"/>
                <w:szCs w:val="22"/>
              </w:rPr>
            </w:pPr>
            <w:r w:rsidRPr="00101BF9">
              <w:rPr>
                <w:sz w:val="22"/>
                <w:szCs w:val="22"/>
              </w:rPr>
              <w:t xml:space="preserve">3.2.3 Any word mark protected by a statute or treaty in effect at the time the mark is submitted to the Clearinghouse for inclusion. </w:t>
            </w:r>
          </w:p>
          <w:p w14:paraId="1794136E" w14:textId="5FB90A25" w:rsidR="00101BF9" w:rsidRDefault="00D7026C" w:rsidP="00FE7014">
            <w:pPr>
              <w:rPr>
                <w:sz w:val="22"/>
                <w:szCs w:val="22"/>
              </w:rPr>
            </w:pPr>
            <w:r w:rsidRPr="00101BF9">
              <w:rPr>
                <w:sz w:val="22"/>
                <w:szCs w:val="22"/>
              </w:rPr>
              <w:lastRenderedPageBreak/>
              <w:t>3.2.4 Other marks that constitute intellectual property.</w:t>
            </w:r>
          </w:p>
          <w:p w14:paraId="58C72088" w14:textId="77777777" w:rsidR="009A6DAE" w:rsidRDefault="009A6DAE" w:rsidP="00FE7014">
            <w:pPr>
              <w:rPr>
                <w:sz w:val="22"/>
                <w:szCs w:val="22"/>
              </w:rPr>
            </w:pPr>
          </w:p>
          <w:p w14:paraId="56648B33" w14:textId="1331D2DD" w:rsidR="00D7026C" w:rsidRPr="00101BF9" w:rsidRDefault="00D7026C" w:rsidP="00FE7014">
            <w:pPr>
              <w:rPr>
                <w:sz w:val="22"/>
                <w:szCs w:val="22"/>
              </w:rPr>
            </w:pPr>
            <w:r w:rsidRPr="00101BF9">
              <w:rPr>
                <w:sz w:val="22"/>
                <w:szCs w:val="22"/>
              </w:rPr>
              <w:t>3.2.5</w:t>
            </w:r>
            <w:r w:rsidR="006F6CFD">
              <w:rPr>
                <w:sz w:val="22"/>
                <w:szCs w:val="22"/>
              </w:rPr>
              <w:t>:</w:t>
            </w:r>
            <w:r w:rsidRPr="00101BF9">
              <w:rPr>
                <w:sz w:val="22"/>
                <w:szCs w:val="22"/>
              </w:rPr>
              <w:t xml:space="preserve"> Protections afforded to trademark registrations do not extend to applications for registrations, marks within any opposition period or registered marks that were the subject of successful invalidation, cancellation or rectification proceedings. </w:t>
            </w:r>
          </w:p>
          <w:p w14:paraId="6A3CF892" w14:textId="57CA155A" w:rsidR="00D7026C" w:rsidRPr="00101BF9" w:rsidRDefault="00D7026C" w:rsidP="00FE7014">
            <w:pPr>
              <w:rPr>
                <w:sz w:val="22"/>
                <w:szCs w:val="22"/>
              </w:rPr>
            </w:pPr>
          </w:p>
          <w:p w14:paraId="3FDB119A" w14:textId="79731E15" w:rsidR="00D7026C" w:rsidRDefault="00D7026C" w:rsidP="00FE7014">
            <w:pPr>
              <w:rPr>
                <w:sz w:val="22"/>
                <w:szCs w:val="22"/>
              </w:rPr>
            </w:pPr>
            <w:r w:rsidRPr="00101BF9">
              <w:rPr>
                <w:sz w:val="22"/>
                <w:szCs w:val="22"/>
              </w:rPr>
              <w:t>3.6</w:t>
            </w:r>
            <w:r w:rsidR="006F6CFD">
              <w:rPr>
                <w:sz w:val="22"/>
                <w:szCs w:val="22"/>
              </w:rPr>
              <w:t>:</w:t>
            </w:r>
            <w:r w:rsidRPr="00101BF9">
              <w:rPr>
                <w:sz w:val="22"/>
                <w:szCs w:val="22"/>
              </w:rPr>
              <w:t xml:space="preserve"> Data supporting entry into the Clearinghouse of marks that constitute intellectual property of types other than those set forth in sections 3.2.1-3.2.3 above shall be determined by the registry operator and the Clearinghouse based on the services any given </w:t>
            </w:r>
            <w:r w:rsidR="00F850C0" w:rsidRPr="00101BF9">
              <w:rPr>
                <w:sz w:val="22"/>
                <w:szCs w:val="22"/>
              </w:rPr>
              <w:t xml:space="preserve">registry operator choses to provide. </w:t>
            </w:r>
          </w:p>
          <w:p w14:paraId="57B8795D" w14:textId="77777777" w:rsidR="006F6CFD" w:rsidRDefault="006F6CFD" w:rsidP="00FE7014">
            <w:pPr>
              <w:rPr>
                <w:sz w:val="22"/>
                <w:szCs w:val="22"/>
              </w:rPr>
            </w:pPr>
          </w:p>
          <w:p w14:paraId="5FECACFA" w14:textId="7FBF12EC" w:rsidR="00101BF9" w:rsidRPr="00101BF9" w:rsidRDefault="006F6CFD" w:rsidP="00101BF9">
            <w:pPr>
              <w:rPr>
                <w:sz w:val="22"/>
                <w:szCs w:val="22"/>
              </w:rPr>
            </w:pPr>
            <w:r>
              <w:rPr>
                <w:sz w:val="22"/>
                <w:szCs w:val="22"/>
              </w:rPr>
              <w:lastRenderedPageBreak/>
              <w:t xml:space="preserve">5.2: </w:t>
            </w:r>
            <w:r w:rsidRPr="006F6CFD">
              <w:rPr>
                <w:sz w:val="22"/>
                <w:szCs w:val="22"/>
              </w:rPr>
              <w:t>For validation of marks by the Clearinghouse that were not protected via a court, statute or treaty, the mark holder shall be required to provide evidence o</w:t>
            </w:r>
            <w:r w:rsidR="00711050">
              <w:rPr>
                <w:sz w:val="22"/>
                <w:szCs w:val="22"/>
              </w:rPr>
              <w:t xml:space="preserve">f use of the mark </w:t>
            </w:r>
            <w:proofErr w:type="gramStart"/>
            <w:r w:rsidR="00711050">
              <w:rPr>
                <w:sz w:val="22"/>
                <w:szCs w:val="22"/>
              </w:rPr>
              <w:t xml:space="preserve">in connection </w:t>
            </w:r>
            <w:r w:rsidRPr="006F6CFD">
              <w:rPr>
                <w:sz w:val="22"/>
                <w:szCs w:val="22"/>
              </w:rPr>
              <w:t>with</w:t>
            </w:r>
            <w:proofErr w:type="gramEnd"/>
            <w:r w:rsidRPr="006F6CFD">
              <w:rPr>
                <w:sz w:val="22"/>
                <w:szCs w:val="22"/>
              </w:rPr>
              <w:t xml:space="preserve"> the bona fide offering for sale of goods or services prior to application for inclusion in the Clearinghouse.</w:t>
            </w:r>
          </w:p>
          <w:p w14:paraId="15B4DD5F" w14:textId="77777777" w:rsidR="00101BF9" w:rsidRPr="00101BF9" w:rsidRDefault="00101BF9" w:rsidP="00101BF9">
            <w:pPr>
              <w:rPr>
                <w:sz w:val="22"/>
                <w:szCs w:val="22"/>
              </w:rPr>
            </w:pPr>
          </w:p>
          <w:p w14:paraId="28A1BD6C" w14:textId="399E09E5" w:rsidR="00101BF9" w:rsidRDefault="00101BF9" w:rsidP="00FE7014">
            <w:pPr>
              <w:rPr>
                <w:sz w:val="22"/>
                <w:szCs w:val="22"/>
              </w:rPr>
            </w:pPr>
            <w:r>
              <w:rPr>
                <w:sz w:val="22"/>
                <w:szCs w:val="22"/>
              </w:rPr>
              <w:t xml:space="preserve">1.6: </w:t>
            </w:r>
            <w:r w:rsidRPr="00101BF9">
              <w:rPr>
                <w:sz w:val="22"/>
                <w:szCs w:val="22"/>
              </w:rPr>
              <w:t>Inclusion in the Clearinghouse is not proof of any right, nor does it create any legal rights.  Failure to submit trademarks into the Clearinghouse should not be perceived to be lack of vigilance by trademark holders or a waiver of any rights, nor can any negative influence be drawn from such failure.</w:t>
            </w:r>
          </w:p>
          <w:p w14:paraId="7EEE5D25" w14:textId="77777777" w:rsidR="00101BF9" w:rsidRDefault="00101BF9" w:rsidP="00FE7014">
            <w:pPr>
              <w:rPr>
                <w:sz w:val="22"/>
                <w:szCs w:val="22"/>
              </w:rPr>
            </w:pPr>
          </w:p>
          <w:p w14:paraId="1978552C" w14:textId="69BE5064" w:rsidR="00101BF9" w:rsidRDefault="00101BF9" w:rsidP="00FE7014">
            <w:pPr>
              <w:rPr>
                <w:sz w:val="22"/>
                <w:szCs w:val="22"/>
              </w:rPr>
            </w:pPr>
            <w:r>
              <w:rPr>
                <w:sz w:val="22"/>
                <w:szCs w:val="22"/>
              </w:rPr>
              <w:t xml:space="preserve">1.2 </w:t>
            </w:r>
            <w:r w:rsidRPr="00101BF9">
              <w:rPr>
                <w:sz w:val="22"/>
                <w:szCs w:val="22"/>
              </w:rPr>
              <w:t>The Clearinghouse will be required to separate its two primary functions: (</w:t>
            </w:r>
            <w:proofErr w:type="spellStart"/>
            <w:r w:rsidRPr="00101BF9">
              <w:rPr>
                <w:sz w:val="22"/>
                <w:szCs w:val="22"/>
              </w:rPr>
              <w:t>i</w:t>
            </w:r>
            <w:proofErr w:type="spellEnd"/>
            <w:r w:rsidRPr="00101BF9">
              <w:rPr>
                <w:sz w:val="22"/>
                <w:szCs w:val="22"/>
              </w:rPr>
              <w:t xml:space="preserve">) authentication and validation of the trademarks in the </w:t>
            </w:r>
            <w:r w:rsidRPr="00101BF9">
              <w:rPr>
                <w:sz w:val="22"/>
                <w:szCs w:val="22"/>
              </w:rPr>
              <w:lastRenderedPageBreak/>
              <w:t xml:space="preserve">Clearinghouse; and (ii) serving as a database to provide information to the new </w:t>
            </w:r>
            <w:proofErr w:type="spellStart"/>
            <w:r w:rsidRPr="00101BF9">
              <w:rPr>
                <w:sz w:val="22"/>
                <w:szCs w:val="22"/>
              </w:rPr>
              <w:t>gTLD</w:t>
            </w:r>
            <w:proofErr w:type="spellEnd"/>
            <w:r w:rsidRPr="00101BF9">
              <w:rPr>
                <w:sz w:val="22"/>
                <w:szCs w:val="22"/>
              </w:rPr>
              <w:t xml:space="preserve"> registries to support pre-launch Sunrise or Trademark Claims Services.</w:t>
            </w:r>
          </w:p>
          <w:p w14:paraId="6E298687" w14:textId="0B861CC2" w:rsidR="00101BF9" w:rsidRPr="00101BF9" w:rsidRDefault="00101BF9" w:rsidP="00FE7014">
            <w:pPr>
              <w:rPr>
                <w:sz w:val="22"/>
                <w:szCs w:val="22"/>
              </w:rPr>
            </w:pPr>
          </w:p>
        </w:tc>
        <w:tc>
          <w:tcPr>
            <w:tcW w:w="2660" w:type="dxa"/>
          </w:tcPr>
          <w:p w14:paraId="766BE10B" w14:textId="77777777" w:rsidR="001221AE" w:rsidRPr="009A6DAE" w:rsidRDefault="004E0066" w:rsidP="00C50EB8">
            <w:pPr>
              <w:rPr>
                <w:b/>
                <w:sz w:val="22"/>
                <w:szCs w:val="22"/>
              </w:rPr>
            </w:pPr>
            <w:r w:rsidRPr="009A6DAE">
              <w:rPr>
                <w:b/>
                <w:sz w:val="22"/>
                <w:szCs w:val="22"/>
              </w:rPr>
              <w:lastRenderedPageBreak/>
              <w:t>TMCH Guidelines:</w:t>
            </w:r>
          </w:p>
          <w:p w14:paraId="70C7465D" w14:textId="77777777" w:rsidR="009A6DAE" w:rsidRDefault="009A6DAE" w:rsidP="004E0066">
            <w:pPr>
              <w:rPr>
                <w:sz w:val="22"/>
                <w:szCs w:val="22"/>
              </w:rPr>
            </w:pPr>
          </w:p>
          <w:p w14:paraId="0D9E72F4" w14:textId="36B6D2FA" w:rsidR="004E0066" w:rsidRDefault="004E0066" w:rsidP="004E0066">
            <w:pPr>
              <w:rPr>
                <w:sz w:val="22"/>
                <w:szCs w:val="22"/>
              </w:rPr>
            </w:pPr>
            <w:r>
              <w:rPr>
                <w:sz w:val="22"/>
                <w:szCs w:val="22"/>
              </w:rPr>
              <w:t>2.2.5 “Any registered trademark that does not contain any letters, words, numerals or DNS-valid characters” will not be accepted as a registered TM for submission.</w:t>
            </w:r>
          </w:p>
          <w:p w14:paraId="12ACAFFE" w14:textId="77777777" w:rsidR="004E0066" w:rsidRDefault="004E0066" w:rsidP="004E0066">
            <w:pPr>
              <w:rPr>
                <w:sz w:val="22"/>
                <w:szCs w:val="22"/>
              </w:rPr>
            </w:pPr>
          </w:p>
          <w:p w14:paraId="26B1BB6E" w14:textId="77777777" w:rsidR="004E0066" w:rsidRDefault="004E0066" w:rsidP="004E0066">
            <w:pPr>
              <w:rPr>
                <w:sz w:val="22"/>
                <w:szCs w:val="22"/>
              </w:rPr>
            </w:pPr>
            <w:r>
              <w:rPr>
                <w:sz w:val="22"/>
                <w:szCs w:val="22"/>
              </w:rPr>
              <w:t xml:space="preserve">2.3.4 “Figurative part of the court-validated trademark” and “any court-validated mark </w:t>
            </w:r>
            <w:r w:rsidRPr="004E0066">
              <w:rPr>
                <w:sz w:val="22"/>
                <w:szCs w:val="22"/>
              </w:rPr>
              <w:t>that does not contain any letters, words, numerals or DNS-valid characters</w:t>
            </w:r>
            <w:r>
              <w:rPr>
                <w:sz w:val="22"/>
                <w:szCs w:val="22"/>
              </w:rPr>
              <w:t>”</w:t>
            </w:r>
            <w:r w:rsidRPr="004E0066">
              <w:rPr>
                <w:sz w:val="22"/>
                <w:szCs w:val="22"/>
              </w:rPr>
              <w:t xml:space="preserve"> </w:t>
            </w:r>
            <w:r>
              <w:rPr>
                <w:sz w:val="22"/>
                <w:szCs w:val="22"/>
              </w:rPr>
              <w:t>will not be accepted as a court-validated mark for submission.</w:t>
            </w:r>
          </w:p>
          <w:p w14:paraId="0B70416F" w14:textId="77777777" w:rsidR="00A800BE" w:rsidRDefault="00A800BE" w:rsidP="004E0066">
            <w:pPr>
              <w:rPr>
                <w:sz w:val="22"/>
                <w:szCs w:val="22"/>
              </w:rPr>
            </w:pPr>
          </w:p>
          <w:p w14:paraId="0D8EE7A2" w14:textId="7B0A6DC0" w:rsidR="006F681C" w:rsidRDefault="00300B2C" w:rsidP="00300B2C">
            <w:pPr>
              <w:rPr>
                <w:sz w:val="22"/>
                <w:szCs w:val="22"/>
              </w:rPr>
            </w:pPr>
            <w:r>
              <w:rPr>
                <w:sz w:val="22"/>
                <w:szCs w:val="22"/>
              </w:rPr>
              <w:lastRenderedPageBreak/>
              <w:t xml:space="preserve">5.2.1 </w:t>
            </w:r>
            <w:r w:rsidR="006F681C">
              <w:rPr>
                <w:sz w:val="22"/>
                <w:szCs w:val="22"/>
              </w:rPr>
              <w:t>To determine</w:t>
            </w:r>
            <w:r>
              <w:rPr>
                <w:sz w:val="22"/>
                <w:szCs w:val="22"/>
              </w:rPr>
              <w:t xml:space="preserve"> whether the recorded name of the TM is identical to the reported name f</w:t>
            </w:r>
            <w:r w:rsidRPr="00300B2C">
              <w:rPr>
                <w:sz w:val="22"/>
                <w:szCs w:val="22"/>
              </w:rPr>
              <w:t xml:space="preserve">or marks that </w:t>
            </w:r>
            <w:r>
              <w:rPr>
                <w:sz w:val="22"/>
                <w:szCs w:val="22"/>
              </w:rPr>
              <w:t xml:space="preserve">do not exclusively consist of </w:t>
            </w:r>
            <w:r w:rsidRPr="00300B2C">
              <w:rPr>
                <w:sz w:val="22"/>
                <w:szCs w:val="22"/>
              </w:rPr>
              <w:t>let</w:t>
            </w:r>
            <w:r>
              <w:rPr>
                <w:sz w:val="22"/>
                <w:szCs w:val="22"/>
              </w:rPr>
              <w:t xml:space="preserve">ters, words, numerals, special </w:t>
            </w:r>
            <w:r w:rsidRPr="00300B2C">
              <w:rPr>
                <w:sz w:val="22"/>
                <w:szCs w:val="22"/>
              </w:rPr>
              <w:t>characters</w:t>
            </w:r>
            <w:r w:rsidR="006F681C">
              <w:rPr>
                <w:sz w:val="22"/>
                <w:szCs w:val="22"/>
              </w:rPr>
              <w:t xml:space="preserve"> –</w:t>
            </w:r>
            <w:r>
              <w:rPr>
                <w:sz w:val="22"/>
                <w:szCs w:val="22"/>
              </w:rPr>
              <w:t xml:space="preserve"> </w:t>
            </w:r>
          </w:p>
          <w:p w14:paraId="5EBD4485" w14:textId="3E58F058" w:rsidR="00300B2C" w:rsidRPr="00300B2C" w:rsidRDefault="00300B2C" w:rsidP="00300B2C">
            <w:pPr>
              <w:rPr>
                <w:sz w:val="22"/>
                <w:szCs w:val="22"/>
              </w:rPr>
            </w:pPr>
            <w:r>
              <w:rPr>
                <w:sz w:val="22"/>
                <w:szCs w:val="22"/>
              </w:rPr>
              <w:t>“as</w:t>
            </w:r>
            <w:r w:rsidRPr="00300B2C">
              <w:rPr>
                <w:sz w:val="22"/>
                <w:szCs w:val="22"/>
              </w:rPr>
              <w:t xml:space="preserve"> long as the name of the Trademark includes letters, words, numerals, keyboard </w:t>
            </w:r>
          </w:p>
          <w:p w14:paraId="31007399" w14:textId="3D011AC7" w:rsidR="00300B2C" w:rsidRPr="00300B2C" w:rsidRDefault="00300B2C" w:rsidP="00300B2C">
            <w:pPr>
              <w:rPr>
                <w:sz w:val="22"/>
                <w:szCs w:val="22"/>
              </w:rPr>
            </w:pPr>
            <w:r w:rsidRPr="00300B2C">
              <w:rPr>
                <w:sz w:val="22"/>
                <w:szCs w:val="22"/>
              </w:rPr>
              <w:t>signs, and punctuation</w:t>
            </w:r>
            <w:r>
              <w:rPr>
                <w:sz w:val="22"/>
                <w:szCs w:val="22"/>
              </w:rPr>
              <w:t xml:space="preserve"> marks (“Characters”) that are:</w:t>
            </w:r>
          </w:p>
          <w:p w14:paraId="5DA3480C" w14:textId="2B1467A6" w:rsidR="00300B2C" w:rsidRPr="00300B2C" w:rsidRDefault="00300B2C" w:rsidP="00300B2C">
            <w:pPr>
              <w:pStyle w:val="ListParagraph"/>
              <w:numPr>
                <w:ilvl w:val="0"/>
                <w:numId w:val="19"/>
              </w:numPr>
              <w:rPr>
                <w:sz w:val="22"/>
                <w:szCs w:val="22"/>
              </w:rPr>
            </w:pPr>
            <w:r w:rsidRPr="00300B2C">
              <w:rPr>
                <w:sz w:val="22"/>
                <w:szCs w:val="22"/>
              </w:rPr>
              <w:t>predominant; and</w:t>
            </w:r>
          </w:p>
          <w:p w14:paraId="6A121666" w14:textId="66CEFE5B" w:rsidR="00300B2C" w:rsidRPr="00300B2C" w:rsidRDefault="00300B2C" w:rsidP="00300B2C">
            <w:pPr>
              <w:pStyle w:val="ListParagraph"/>
              <w:numPr>
                <w:ilvl w:val="0"/>
                <w:numId w:val="19"/>
              </w:numPr>
              <w:rPr>
                <w:sz w:val="22"/>
                <w:szCs w:val="22"/>
              </w:rPr>
            </w:pPr>
            <w:r w:rsidRPr="00300B2C">
              <w:rPr>
                <w:sz w:val="22"/>
                <w:szCs w:val="22"/>
              </w:rPr>
              <w:t>clearly separable or distinguishable from the device element; and</w:t>
            </w:r>
          </w:p>
          <w:p w14:paraId="2F9F6EF3" w14:textId="5A21640C" w:rsidR="00300B2C" w:rsidRPr="00300B2C" w:rsidRDefault="00300B2C" w:rsidP="00300B2C">
            <w:pPr>
              <w:pStyle w:val="ListParagraph"/>
              <w:numPr>
                <w:ilvl w:val="0"/>
                <w:numId w:val="19"/>
              </w:numPr>
              <w:rPr>
                <w:sz w:val="22"/>
                <w:szCs w:val="22"/>
              </w:rPr>
            </w:pPr>
            <w:r w:rsidRPr="00300B2C">
              <w:rPr>
                <w:sz w:val="22"/>
                <w:szCs w:val="22"/>
              </w:rPr>
              <w:t>all predominant characters are included in the Trademark Record submitted to the Clearinghouse in the same order they appear in the mark.</w:t>
            </w:r>
          </w:p>
          <w:p w14:paraId="1FE93ADF" w14:textId="77777777" w:rsidR="00226078" w:rsidRDefault="00226078" w:rsidP="006F681C">
            <w:pPr>
              <w:rPr>
                <w:sz w:val="22"/>
                <w:szCs w:val="22"/>
              </w:rPr>
            </w:pPr>
          </w:p>
          <w:p w14:paraId="18C373A0" w14:textId="4A4CEBD6" w:rsidR="006F681C" w:rsidRPr="006F681C" w:rsidRDefault="006F681C" w:rsidP="006F681C">
            <w:pPr>
              <w:rPr>
                <w:sz w:val="22"/>
                <w:szCs w:val="22"/>
              </w:rPr>
            </w:pPr>
            <w:r>
              <w:rPr>
                <w:sz w:val="22"/>
                <w:szCs w:val="22"/>
              </w:rPr>
              <w:t xml:space="preserve">In the event that there is </w:t>
            </w:r>
            <w:r w:rsidRPr="006F681C">
              <w:rPr>
                <w:sz w:val="22"/>
                <w:szCs w:val="22"/>
              </w:rPr>
              <w:t xml:space="preserve">any doubt about the </w:t>
            </w:r>
            <w:r>
              <w:rPr>
                <w:sz w:val="22"/>
                <w:szCs w:val="22"/>
              </w:rPr>
              <w:t xml:space="preserve">order </w:t>
            </w:r>
            <w:r>
              <w:rPr>
                <w:sz w:val="22"/>
                <w:szCs w:val="22"/>
              </w:rPr>
              <w:lastRenderedPageBreak/>
              <w:t xml:space="preserve">in which they appear, the </w:t>
            </w:r>
            <w:r w:rsidRPr="006F681C">
              <w:rPr>
                <w:sz w:val="22"/>
                <w:szCs w:val="22"/>
              </w:rPr>
              <w:t xml:space="preserve">description provided </w:t>
            </w:r>
          </w:p>
          <w:p w14:paraId="4A1AEBDE" w14:textId="22D9834D" w:rsidR="006F681C" w:rsidRPr="00101BF9" w:rsidRDefault="006F681C" w:rsidP="006F681C">
            <w:pPr>
              <w:rPr>
                <w:sz w:val="22"/>
                <w:szCs w:val="22"/>
              </w:rPr>
            </w:pPr>
            <w:r>
              <w:rPr>
                <w:sz w:val="22"/>
                <w:szCs w:val="22"/>
              </w:rPr>
              <w:t xml:space="preserve">by the trademark office will </w:t>
            </w:r>
            <w:r w:rsidRPr="006F681C">
              <w:rPr>
                <w:sz w:val="22"/>
                <w:szCs w:val="22"/>
              </w:rPr>
              <w:t xml:space="preserve">prevail. In the event no description is provided, such Trademarks </w:t>
            </w:r>
            <w:r>
              <w:rPr>
                <w:sz w:val="22"/>
                <w:szCs w:val="22"/>
              </w:rPr>
              <w:t xml:space="preserve">will be allocated to a Deloitte </w:t>
            </w:r>
            <w:r w:rsidRPr="006F681C">
              <w:rPr>
                <w:sz w:val="22"/>
                <w:szCs w:val="22"/>
              </w:rPr>
              <w:t>internal team with thorough knowledge of both national and regional trademark l</w:t>
            </w:r>
            <w:r>
              <w:rPr>
                <w:sz w:val="22"/>
                <w:szCs w:val="22"/>
              </w:rPr>
              <w:t xml:space="preserve">aw who will conduct independent </w:t>
            </w:r>
            <w:r w:rsidRPr="006F681C">
              <w:rPr>
                <w:sz w:val="22"/>
                <w:szCs w:val="22"/>
              </w:rPr>
              <w:t xml:space="preserve">research on how the Trademark is </w:t>
            </w:r>
            <w:r>
              <w:rPr>
                <w:sz w:val="22"/>
                <w:szCs w:val="22"/>
              </w:rPr>
              <w:t xml:space="preserve">used, e.g., </w:t>
            </w:r>
            <w:r w:rsidRPr="006F681C">
              <w:rPr>
                <w:sz w:val="22"/>
                <w:szCs w:val="22"/>
              </w:rPr>
              <w:t>check website</w:t>
            </w:r>
            <w:r>
              <w:rPr>
                <w:sz w:val="22"/>
                <w:szCs w:val="22"/>
              </w:rPr>
              <w:t xml:space="preserve">, or alternatively request that </w:t>
            </w:r>
            <w:r w:rsidRPr="006F681C">
              <w:rPr>
                <w:sz w:val="22"/>
                <w:szCs w:val="22"/>
              </w:rPr>
              <w:t>the Trad</w:t>
            </w:r>
            <w:r>
              <w:rPr>
                <w:sz w:val="22"/>
                <w:szCs w:val="22"/>
              </w:rPr>
              <w:t xml:space="preserve">emark Holder provide additional </w:t>
            </w:r>
            <w:r w:rsidRPr="006F681C">
              <w:rPr>
                <w:sz w:val="22"/>
                <w:szCs w:val="22"/>
              </w:rPr>
              <w:t>documentary evidence on how the Trademark is used.</w:t>
            </w:r>
            <w:r>
              <w:rPr>
                <w:sz w:val="22"/>
                <w:szCs w:val="22"/>
              </w:rPr>
              <w:t>”</w:t>
            </w:r>
          </w:p>
        </w:tc>
        <w:tc>
          <w:tcPr>
            <w:tcW w:w="2567" w:type="dxa"/>
          </w:tcPr>
          <w:p w14:paraId="771A4E16" w14:textId="191005EF" w:rsidR="00BA7973" w:rsidRPr="00101BF9" w:rsidRDefault="00B7434D" w:rsidP="00A248A0">
            <w:pPr>
              <w:rPr>
                <w:sz w:val="22"/>
                <w:szCs w:val="22"/>
              </w:rPr>
            </w:pPr>
            <w:r w:rsidRPr="00101BF9">
              <w:rPr>
                <w:sz w:val="22"/>
                <w:szCs w:val="22"/>
              </w:rPr>
              <w:lastRenderedPageBreak/>
              <w:t xml:space="preserve">Follow up with Deloitte on original Sub Team question </w:t>
            </w:r>
            <w:r w:rsidR="00A248A0" w:rsidRPr="00101BF9">
              <w:rPr>
                <w:sz w:val="22"/>
                <w:szCs w:val="22"/>
              </w:rPr>
              <w:t xml:space="preserve">(especially </w:t>
            </w:r>
            <w:r w:rsidRPr="00101BF9">
              <w:rPr>
                <w:sz w:val="22"/>
                <w:szCs w:val="22"/>
              </w:rPr>
              <w:t>on</w:t>
            </w:r>
            <w:r w:rsidR="00A248A0" w:rsidRPr="00101BF9">
              <w:rPr>
                <w:sz w:val="22"/>
                <w:szCs w:val="22"/>
              </w:rPr>
              <w:t xml:space="preserve"> validation</w:t>
            </w:r>
            <w:r w:rsidRPr="00101BF9">
              <w:rPr>
                <w:sz w:val="22"/>
                <w:szCs w:val="22"/>
              </w:rPr>
              <w:t xml:space="preserve"> criteria</w:t>
            </w:r>
            <w:r w:rsidR="00A248A0" w:rsidRPr="00101BF9">
              <w:rPr>
                <w:sz w:val="22"/>
                <w:szCs w:val="22"/>
              </w:rPr>
              <w:t xml:space="preserve"> used</w:t>
            </w:r>
            <w:r w:rsidRPr="00101BF9">
              <w:rPr>
                <w:sz w:val="22"/>
                <w:szCs w:val="22"/>
              </w:rPr>
              <w:t xml:space="preserve"> and</w:t>
            </w:r>
            <w:r w:rsidR="00A248A0" w:rsidRPr="00101BF9">
              <w:rPr>
                <w:sz w:val="22"/>
                <w:szCs w:val="22"/>
              </w:rPr>
              <w:t xml:space="preserve"> how</w:t>
            </w:r>
            <w:r w:rsidRPr="00101BF9">
              <w:rPr>
                <w:sz w:val="22"/>
                <w:szCs w:val="22"/>
              </w:rPr>
              <w:t xml:space="preserve"> </w:t>
            </w:r>
            <w:r w:rsidR="00A248A0" w:rsidRPr="00101BF9">
              <w:rPr>
                <w:sz w:val="22"/>
                <w:szCs w:val="22"/>
              </w:rPr>
              <w:t xml:space="preserve">they differentiate between design marks); </w:t>
            </w:r>
            <w:r w:rsidRPr="00101BF9">
              <w:rPr>
                <w:sz w:val="22"/>
                <w:szCs w:val="22"/>
              </w:rPr>
              <w:t>add request for</w:t>
            </w:r>
            <w:r w:rsidR="00A248A0" w:rsidRPr="00101BF9">
              <w:rPr>
                <w:sz w:val="22"/>
                <w:szCs w:val="22"/>
              </w:rPr>
              <w:t>:</w:t>
            </w:r>
            <w:r w:rsidRPr="00101BF9">
              <w:rPr>
                <w:sz w:val="22"/>
                <w:szCs w:val="22"/>
              </w:rPr>
              <w:t xml:space="preserve"> (1) examples of marks that were accepted and </w:t>
            </w:r>
            <w:r w:rsidR="00A248A0" w:rsidRPr="00101BF9">
              <w:rPr>
                <w:sz w:val="22"/>
                <w:szCs w:val="22"/>
              </w:rPr>
              <w:t>marks</w:t>
            </w:r>
            <w:r w:rsidRPr="00101BF9">
              <w:rPr>
                <w:sz w:val="22"/>
                <w:szCs w:val="22"/>
              </w:rPr>
              <w:t xml:space="preserve"> that were rejected; and (2) </w:t>
            </w:r>
            <w:r w:rsidR="00A248A0" w:rsidRPr="00101BF9">
              <w:rPr>
                <w:sz w:val="22"/>
                <w:szCs w:val="22"/>
              </w:rPr>
              <w:t>Deloitte’s view as to whether select WG examples would have been accepted or rejected (e.g. “parents”).</w:t>
            </w:r>
          </w:p>
          <w:p w14:paraId="351927EB" w14:textId="77777777" w:rsidR="00A248A0" w:rsidRPr="00101BF9" w:rsidRDefault="00A248A0" w:rsidP="00A248A0">
            <w:pPr>
              <w:rPr>
                <w:sz w:val="22"/>
                <w:szCs w:val="22"/>
              </w:rPr>
            </w:pPr>
          </w:p>
          <w:p w14:paraId="32E5A301" w14:textId="77777777" w:rsidR="00A248A0" w:rsidRPr="00101BF9" w:rsidRDefault="00A248A0" w:rsidP="00A248A0">
            <w:pPr>
              <w:rPr>
                <w:sz w:val="22"/>
                <w:szCs w:val="22"/>
              </w:rPr>
            </w:pPr>
            <w:r w:rsidRPr="00101BF9">
              <w:rPr>
                <w:sz w:val="22"/>
                <w:szCs w:val="22"/>
              </w:rPr>
              <w:t xml:space="preserve">Rebecca </w:t>
            </w:r>
            <w:proofErr w:type="spellStart"/>
            <w:r w:rsidRPr="00101BF9">
              <w:rPr>
                <w:sz w:val="22"/>
                <w:szCs w:val="22"/>
              </w:rPr>
              <w:t>Tushnet</w:t>
            </w:r>
            <w:proofErr w:type="spellEnd"/>
            <w:r w:rsidRPr="00101BF9">
              <w:rPr>
                <w:sz w:val="22"/>
                <w:szCs w:val="22"/>
              </w:rPr>
              <w:t xml:space="preserve"> to take lead in developing examples for (2), above.</w:t>
            </w:r>
          </w:p>
          <w:p w14:paraId="17C7BF11" w14:textId="77777777" w:rsidR="00741E26" w:rsidRPr="00101BF9" w:rsidRDefault="00741E26" w:rsidP="00A248A0">
            <w:pPr>
              <w:rPr>
                <w:sz w:val="22"/>
                <w:szCs w:val="22"/>
              </w:rPr>
            </w:pPr>
          </w:p>
          <w:p w14:paraId="05D78330" w14:textId="64F9B395" w:rsidR="00741E26" w:rsidRPr="00101BF9" w:rsidRDefault="00741E26" w:rsidP="00A248A0">
            <w:pPr>
              <w:rPr>
                <w:sz w:val="22"/>
                <w:szCs w:val="22"/>
              </w:rPr>
            </w:pPr>
            <w:r w:rsidRPr="00CC2700">
              <w:rPr>
                <w:sz w:val="22"/>
                <w:szCs w:val="22"/>
              </w:rPr>
              <w:lastRenderedPageBreak/>
              <w:t>WG to review and discuss if original intent for the TMCH included the acceptance of design marks</w:t>
            </w:r>
            <w:r w:rsidRPr="00CC2700">
              <w:rPr>
                <w:sz w:val="22"/>
                <w:szCs w:val="22"/>
                <w:shd w:val="pct15" w:color="auto" w:fill="FFFFFF"/>
              </w:rPr>
              <w:t>.</w:t>
            </w:r>
          </w:p>
        </w:tc>
      </w:tr>
      <w:tr w:rsidR="00710022" w:rsidRPr="00101BF9" w14:paraId="6B7B60AC" w14:textId="77777777" w:rsidTr="00710022">
        <w:trPr>
          <w:trHeight w:val="269"/>
        </w:trPr>
        <w:tc>
          <w:tcPr>
            <w:tcW w:w="2458" w:type="dxa"/>
          </w:tcPr>
          <w:p w14:paraId="51D5CCB5" w14:textId="28F7CDB6" w:rsidR="00BA7973" w:rsidRPr="006024EB" w:rsidRDefault="00BA7973" w:rsidP="00F87D44">
            <w:pPr>
              <w:pStyle w:val="ListParagraph"/>
              <w:numPr>
                <w:ilvl w:val="0"/>
                <w:numId w:val="17"/>
              </w:numPr>
              <w:rPr>
                <w:sz w:val="22"/>
                <w:szCs w:val="22"/>
              </w:rPr>
            </w:pPr>
            <w:r w:rsidRPr="006024EB">
              <w:rPr>
                <w:sz w:val="22"/>
                <w:szCs w:val="22"/>
              </w:rPr>
              <w:lastRenderedPageBreak/>
              <w:t>How are geographical indications, protected designations of origin, and protected appellations of origin currently handled by the TMCH provider?</w:t>
            </w:r>
          </w:p>
          <w:p w14:paraId="121B2674" w14:textId="77777777" w:rsidR="00BA7973" w:rsidRPr="00101BF9" w:rsidRDefault="00BA7973" w:rsidP="00F87D44">
            <w:pPr>
              <w:rPr>
                <w:sz w:val="22"/>
                <w:szCs w:val="22"/>
              </w:rPr>
            </w:pPr>
          </w:p>
        </w:tc>
        <w:tc>
          <w:tcPr>
            <w:tcW w:w="2609" w:type="dxa"/>
          </w:tcPr>
          <w:p w14:paraId="616EE574" w14:textId="62DB04AB" w:rsidR="00F850C0" w:rsidRPr="00101BF9" w:rsidRDefault="00392437" w:rsidP="002C47AE">
            <w:pPr>
              <w:rPr>
                <w:sz w:val="22"/>
                <w:szCs w:val="22"/>
              </w:rPr>
            </w:pPr>
            <w:r w:rsidRPr="00101BF9">
              <w:rPr>
                <w:sz w:val="22"/>
                <w:szCs w:val="22"/>
              </w:rPr>
              <w:t>No express</w:t>
            </w:r>
            <w:r w:rsidR="00F850C0" w:rsidRPr="00101BF9">
              <w:rPr>
                <w:sz w:val="22"/>
                <w:szCs w:val="22"/>
              </w:rPr>
              <w:t xml:space="preserve"> mention of geographical indicators, but the following sections may be useful for the WG’s analysis:</w:t>
            </w:r>
          </w:p>
          <w:p w14:paraId="2C1E2A57" w14:textId="77777777" w:rsidR="00F850C0" w:rsidRDefault="00F850C0" w:rsidP="002C47AE">
            <w:pPr>
              <w:rPr>
                <w:sz w:val="22"/>
                <w:szCs w:val="22"/>
              </w:rPr>
            </w:pPr>
          </w:p>
          <w:p w14:paraId="6A37DB3E" w14:textId="7BE2D18E" w:rsidR="009A6DAE" w:rsidRPr="009A6DAE" w:rsidRDefault="009A6DAE" w:rsidP="002C47AE">
            <w:pPr>
              <w:rPr>
                <w:sz w:val="22"/>
                <w:szCs w:val="22"/>
                <w:u w:val="single"/>
              </w:rPr>
            </w:pPr>
            <w:r w:rsidRPr="009A6DAE">
              <w:rPr>
                <w:sz w:val="22"/>
                <w:szCs w:val="22"/>
                <w:u w:val="single"/>
              </w:rPr>
              <w:t>Marks Eligible for Inclusion in TC:</w:t>
            </w:r>
          </w:p>
          <w:p w14:paraId="6E88C3B2" w14:textId="0A2CAE9C" w:rsidR="00BA7973" w:rsidRPr="00101BF9" w:rsidRDefault="00F850C0" w:rsidP="002C47AE">
            <w:pPr>
              <w:rPr>
                <w:sz w:val="22"/>
                <w:szCs w:val="22"/>
              </w:rPr>
            </w:pPr>
            <w:r w:rsidRPr="00101BF9">
              <w:rPr>
                <w:sz w:val="22"/>
                <w:szCs w:val="22"/>
              </w:rPr>
              <w:t>4.1</w:t>
            </w:r>
            <w:r w:rsidR="006F6CFD">
              <w:rPr>
                <w:sz w:val="22"/>
                <w:szCs w:val="22"/>
              </w:rPr>
              <w:t>:</w:t>
            </w:r>
            <w:r w:rsidRPr="00101BF9">
              <w:rPr>
                <w:sz w:val="22"/>
                <w:szCs w:val="22"/>
              </w:rPr>
              <w:t xml:space="preserve"> The TC Database should be required to include nationally or </w:t>
            </w:r>
            <w:proofErr w:type="spellStart"/>
            <w:r w:rsidRPr="00101BF9">
              <w:rPr>
                <w:sz w:val="22"/>
                <w:szCs w:val="22"/>
              </w:rPr>
              <w:t>multinationally</w:t>
            </w:r>
            <w:proofErr w:type="spellEnd"/>
            <w:r w:rsidRPr="00101BF9">
              <w:rPr>
                <w:sz w:val="22"/>
                <w:szCs w:val="22"/>
              </w:rPr>
              <w:t xml:space="preserve"> registered “text mark” trademarks, from all jurisdictions, (Including countries where there is no substantive review).</w:t>
            </w:r>
          </w:p>
          <w:p w14:paraId="0FC86590" w14:textId="77777777" w:rsidR="00F850C0" w:rsidRDefault="00F850C0" w:rsidP="002C47AE">
            <w:pPr>
              <w:rPr>
                <w:sz w:val="22"/>
                <w:szCs w:val="22"/>
              </w:rPr>
            </w:pPr>
          </w:p>
          <w:p w14:paraId="478E3457" w14:textId="357ABBE8" w:rsidR="009A6DAE" w:rsidRPr="009A6DAE" w:rsidRDefault="009A6DAE" w:rsidP="002C47AE">
            <w:pPr>
              <w:rPr>
                <w:sz w:val="22"/>
                <w:szCs w:val="22"/>
                <w:u w:val="single"/>
              </w:rPr>
            </w:pPr>
            <w:r w:rsidRPr="009A6DAE">
              <w:rPr>
                <w:sz w:val="22"/>
                <w:szCs w:val="22"/>
                <w:u w:val="single"/>
              </w:rPr>
              <w:t>Functionality of TC:</w:t>
            </w:r>
          </w:p>
          <w:p w14:paraId="369EFCCB" w14:textId="5A45967A" w:rsidR="00F850C0" w:rsidRPr="00101BF9" w:rsidRDefault="00F850C0" w:rsidP="00F850C0">
            <w:pPr>
              <w:rPr>
                <w:sz w:val="22"/>
                <w:szCs w:val="22"/>
              </w:rPr>
            </w:pPr>
            <w:r w:rsidRPr="00101BF9">
              <w:rPr>
                <w:sz w:val="22"/>
                <w:szCs w:val="22"/>
              </w:rPr>
              <w:t>2.3</w:t>
            </w:r>
            <w:r w:rsidR="006F6CFD">
              <w:rPr>
                <w:sz w:val="22"/>
                <w:szCs w:val="22"/>
              </w:rPr>
              <w:t>:</w:t>
            </w:r>
            <w:r w:rsidR="006024EB">
              <w:rPr>
                <w:sz w:val="22"/>
                <w:szCs w:val="22"/>
              </w:rPr>
              <w:t xml:space="preserve"> </w:t>
            </w:r>
            <w:r w:rsidRPr="00101BF9">
              <w:rPr>
                <w:sz w:val="22"/>
                <w:szCs w:val="22"/>
              </w:rPr>
              <w:t xml:space="preserve">The TC Service Provider should be required to maintain a separate TC database, and may not store any data in the TC database </w:t>
            </w:r>
            <w:r w:rsidRPr="00101BF9">
              <w:rPr>
                <w:sz w:val="22"/>
                <w:szCs w:val="22"/>
              </w:rPr>
              <w:lastRenderedPageBreak/>
              <w:t>related to its provision of ancillary services, if any</w:t>
            </w:r>
            <w:r w:rsidR="00DE532A">
              <w:rPr>
                <w:sz w:val="22"/>
                <w:szCs w:val="22"/>
              </w:rPr>
              <w:t>.</w:t>
            </w:r>
          </w:p>
        </w:tc>
        <w:tc>
          <w:tcPr>
            <w:tcW w:w="2656" w:type="dxa"/>
          </w:tcPr>
          <w:p w14:paraId="560544B6" w14:textId="59436954" w:rsidR="00BA7973" w:rsidRDefault="00F850C0" w:rsidP="00FE7014">
            <w:pPr>
              <w:rPr>
                <w:sz w:val="22"/>
                <w:szCs w:val="22"/>
              </w:rPr>
            </w:pPr>
            <w:r w:rsidRPr="00101BF9">
              <w:rPr>
                <w:sz w:val="22"/>
                <w:szCs w:val="22"/>
              </w:rPr>
              <w:lastRenderedPageBreak/>
              <w:t>3.6</w:t>
            </w:r>
            <w:r w:rsidR="006F6CFD">
              <w:rPr>
                <w:sz w:val="22"/>
                <w:szCs w:val="22"/>
              </w:rPr>
              <w:t>:</w:t>
            </w:r>
            <w:r w:rsidRPr="00101BF9">
              <w:rPr>
                <w:sz w:val="22"/>
                <w:szCs w:val="22"/>
              </w:rPr>
              <w:t xml:space="preserve"> Data supporting entry into the Clearinghouse of marks that constitute intellectual property of types other than those set forth in sections 3.2.1-3.2.3 above shall be determined by the registry operator and the Clearinghouse based on the services any given registry operator choses to provide.</w:t>
            </w:r>
          </w:p>
          <w:p w14:paraId="0D72E64A" w14:textId="77777777" w:rsidR="006F6CFD" w:rsidRDefault="006F6CFD" w:rsidP="00FE7014">
            <w:pPr>
              <w:rPr>
                <w:sz w:val="22"/>
                <w:szCs w:val="22"/>
              </w:rPr>
            </w:pPr>
          </w:p>
          <w:p w14:paraId="0BF94B40" w14:textId="0B04FBFA" w:rsidR="006F6CFD" w:rsidRDefault="006F6CFD" w:rsidP="00FE7014">
            <w:pPr>
              <w:rPr>
                <w:sz w:val="22"/>
                <w:szCs w:val="22"/>
              </w:rPr>
            </w:pPr>
            <w:r>
              <w:rPr>
                <w:sz w:val="22"/>
                <w:szCs w:val="22"/>
              </w:rPr>
              <w:t xml:space="preserve">3.5: </w:t>
            </w:r>
            <w:r w:rsidRPr="006F6CFD">
              <w:rPr>
                <w:sz w:val="22"/>
                <w:szCs w:val="22"/>
              </w:rPr>
              <w:t>Data supporting entry into the Clearinghouse of word marks protected by a statute or treaty in effect at the time the mark is submitted to the Clearinghouse for inclusion, must include a copy of the relevant portion of the statute or treaty and evidence of its effective date.</w:t>
            </w:r>
          </w:p>
          <w:p w14:paraId="7AB97CED" w14:textId="77777777" w:rsidR="006F6CFD" w:rsidRDefault="006F6CFD" w:rsidP="00FE7014">
            <w:pPr>
              <w:rPr>
                <w:sz w:val="22"/>
                <w:szCs w:val="22"/>
              </w:rPr>
            </w:pPr>
          </w:p>
          <w:p w14:paraId="38FA9180" w14:textId="7FACA9A6" w:rsidR="006F6CFD" w:rsidRDefault="006F6CFD" w:rsidP="00FE7014">
            <w:pPr>
              <w:rPr>
                <w:sz w:val="22"/>
                <w:szCs w:val="22"/>
              </w:rPr>
            </w:pPr>
            <w:r w:rsidRPr="006F6CFD">
              <w:rPr>
                <w:sz w:val="22"/>
                <w:szCs w:val="22"/>
              </w:rPr>
              <w:t xml:space="preserve">For validation of marks by the Clearinghouse that were not protected via a court, statute or treaty, the mark holder shall be required to provide evidence of use of the mark </w:t>
            </w:r>
            <w:proofErr w:type="gramStart"/>
            <w:r w:rsidRPr="006F6CFD">
              <w:rPr>
                <w:sz w:val="22"/>
                <w:szCs w:val="22"/>
              </w:rPr>
              <w:t>in connection with</w:t>
            </w:r>
            <w:proofErr w:type="gramEnd"/>
            <w:r w:rsidRPr="006F6CFD">
              <w:rPr>
                <w:sz w:val="22"/>
                <w:szCs w:val="22"/>
              </w:rPr>
              <w:t xml:space="preserve"> the bona fide offering for sale of goods or services prior to application for inclusion in the Clearinghouse.</w:t>
            </w:r>
          </w:p>
          <w:p w14:paraId="2329DAA0" w14:textId="77777777" w:rsidR="00101BF9" w:rsidRDefault="00101BF9" w:rsidP="00FE7014">
            <w:pPr>
              <w:rPr>
                <w:sz w:val="22"/>
                <w:szCs w:val="22"/>
              </w:rPr>
            </w:pPr>
          </w:p>
          <w:p w14:paraId="17B5042B" w14:textId="77777777" w:rsidR="00101BF9" w:rsidRPr="00101BF9" w:rsidRDefault="00101BF9" w:rsidP="00101BF9">
            <w:pPr>
              <w:rPr>
                <w:sz w:val="22"/>
                <w:szCs w:val="22"/>
              </w:rPr>
            </w:pPr>
            <w:r w:rsidRPr="00101BF9">
              <w:rPr>
                <w:sz w:val="22"/>
                <w:szCs w:val="22"/>
              </w:rPr>
              <w:t>1.6: Inclusion in the Clearinghouse is not proof of any right, nor does it create any legal rights.  Failure to submit trademarks into the Clearinghouse should not be perceived to be lack of vigilance by trademark holders or a waiver of any rights, nor can any negative influence be drawn from such failure.</w:t>
            </w:r>
          </w:p>
          <w:p w14:paraId="0C54CA9F" w14:textId="664AA616" w:rsidR="00101BF9" w:rsidRPr="00101BF9" w:rsidRDefault="00101BF9" w:rsidP="00FE7014">
            <w:pPr>
              <w:rPr>
                <w:sz w:val="22"/>
                <w:szCs w:val="22"/>
              </w:rPr>
            </w:pPr>
          </w:p>
        </w:tc>
        <w:tc>
          <w:tcPr>
            <w:tcW w:w="2660" w:type="dxa"/>
          </w:tcPr>
          <w:p w14:paraId="10FF0C4A" w14:textId="77777777" w:rsidR="00BA7973" w:rsidRDefault="004E0066" w:rsidP="00FE7014">
            <w:pPr>
              <w:rPr>
                <w:b/>
                <w:sz w:val="22"/>
                <w:szCs w:val="22"/>
              </w:rPr>
            </w:pPr>
            <w:r w:rsidRPr="009A6DAE">
              <w:rPr>
                <w:b/>
                <w:sz w:val="22"/>
                <w:szCs w:val="22"/>
              </w:rPr>
              <w:lastRenderedPageBreak/>
              <w:t>TMCH Guidelines:</w:t>
            </w:r>
          </w:p>
          <w:p w14:paraId="27E35ED0" w14:textId="77777777" w:rsidR="009A6DAE" w:rsidRPr="009A6DAE" w:rsidRDefault="009A6DAE" w:rsidP="00FE7014">
            <w:pPr>
              <w:rPr>
                <w:b/>
                <w:sz w:val="22"/>
                <w:szCs w:val="22"/>
              </w:rPr>
            </w:pPr>
          </w:p>
          <w:p w14:paraId="31F71765" w14:textId="6FE81D3E" w:rsidR="004E0066" w:rsidRDefault="004E0066" w:rsidP="00FE7014">
            <w:pPr>
              <w:rPr>
                <w:sz w:val="22"/>
                <w:szCs w:val="22"/>
              </w:rPr>
            </w:pPr>
            <w:r>
              <w:rPr>
                <w:sz w:val="22"/>
                <w:szCs w:val="22"/>
              </w:rPr>
              <w:t>2.4.1 Marks protected by statute or treaty “may include but are not limited to geographical indications and designations of origin” (provided the relevant statute or treaty is in effect at the time of submission (for Sunrise eligibility, the statute or treaty must have been in effect on 26 June 2008)).</w:t>
            </w:r>
          </w:p>
          <w:p w14:paraId="3CEC6F2C" w14:textId="77777777" w:rsidR="007908A9" w:rsidRDefault="007908A9" w:rsidP="00FE7014">
            <w:pPr>
              <w:rPr>
                <w:sz w:val="22"/>
                <w:szCs w:val="22"/>
              </w:rPr>
            </w:pPr>
          </w:p>
          <w:p w14:paraId="5571BD2E" w14:textId="2BEF034D" w:rsidR="007908A9" w:rsidRDefault="007908A9" w:rsidP="00FE7014">
            <w:pPr>
              <w:rPr>
                <w:sz w:val="22"/>
                <w:szCs w:val="22"/>
              </w:rPr>
            </w:pPr>
            <w:r>
              <w:rPr>
                <w:sz w:val="22"/>
                <w:szCs w:val="22"/>
              </w:rPr>
              <w:t xml:space="preserve">2.4.4 “Any </w:t>
            </w:r>
            <w:r w:rsidRPr="007908A9">
              <w:rPr>
                <w:sz w:val="22"/>
                <w:szCs w:val="22"/>
              </w:rPr>
              <w:t xml:space="preserve">mark </w:t>
            </w:r>
            <w:r>
              <w:rPr>
                <w:sz w:val="22"/>
                <w:szCs w:val="22"/>
              </w:rPr>
              <w:t xml:space="preserve">protected under statute or treaty </w:t>
            </w:r>
            <w:r w:rsidRPr="007908A9">
              <w:rPr>
                <w:sz w:val="22"/>
                <w:szCs w:val="22"/>
              </w:rPr>
              <w:t>that does not contain any letters, words, numerals or DNS-valid characters</w:t>
            </w:r>
            <w:r>
              <w:rPr>
                <w:sz w:val="22"/>
                <w:szCs w:val="22"/>
              </w:rPr>
              <w:t>” or “of which the statute or treaty is only applicable to a certain region, city or state” will not be accepted for submission.</w:t>
            </w:r>
          </w:p>
          <w:p w14:paraId="6F493FB3" w14:textId="77777777" w:rsidR="004E0066" w:rsidRDefault="004E0066" w:rsidP="00FE7014">
            <w:pPr>
              <w:rPr>
                <w:sz w:val="22"/>
                <w:szCs w:val="22"/>
              </w:rPr>
            </w:pPr>
          </w:p>
          <w:p w14:paraId="496432F2" w14:textId="77777777" w:rsidR="00A800BE" w:rsidRDefault="004E0066" w:rsidP="004E0066">
            <w:pPr>
              <w:rPr>
                <w:sz w:val="22"/>
                <w:szCs w:val="22"/>
              </w:rPr>
            </w:pPr>
            <w:r>
              <w:rPr>
                <w:sz w:val="22"/>
                <w:szCs w:val="22"/>
              </w:rPr>
              <w:lastRenderedPageBreak/>
              <w:t xml:space="preserve">NOTE: </w:t>
            </w:r>
          </w:p>
          <w:p w14:paraId="2F402DA1" w14:textId="77777777" w:rsidR="004E0066" w:rsidRDefault="004E0066" w:rsidP="004E0066">
            <w:pPr>
              <w:rPr>
                <w:sz w:val="22"/>
                <w:szCs w:val="22"/>
              </w:rPr>
            </w:pPr>
            <w:r>
              <w:rPr>
                <w:sz w:val="22"/>
                <w:szCs w:val="22"/>
              </w:rPr>
              <w:t>For marks protected by statute or treaty, the TMCH Guidelines state that where there is no online database, a copy of a certificate from an official authority with the right to certify certain marks as qualifying under that statute or treaty must be submitted.</w:t>
            </w:r>
          </w:p>
          <w:p w14:paraId="4C233D73" w14:textId="77777777" w:rsidR="00A800BE" w:rsidRDefault="00A800BE" w:rsidP="004E0066">
            <w:pPr>
              <w:rPr>
                <w:sz w:val="22"/>
                <w:szCs w:val="22"/>
              </w:rPr>
            </w:pPr>
          </w:p>
          <w:p w14:paraId="2BEDE531" w14:textId="0F62DCE0" w:rsidR="00A800BE" w:rsidRPr="00101BF9" w:rsidRDefault="00A800BE" w:rsidP="004E0066">
            <w:pPr>
              <w:rPr>
                <w:sz w:val="22"/>
                <w:szCs w:val="22"/>
              </w:rPr>
            </w:pPr>
            <w:r>
              <w:rPr>
                <w:sz w:val="22"/>
                <w:szCs w:val="22"/>
              </w:rPr>
              <w:t xml:space="preserve">An example in the Guidelines refers to the Protected Geographical Indication of Scottish wild salmon (Section </w:t>
            </w:r>
            <w:r w:rsidR="00F91B13">
              <w:rPr>
                <w:sz w:val="22"/>
                <w:szCs w:val="22"/>
              </w:rPr>
              <w:t>5.5</w:t>
            </w:r>
            <w:r>
              <w:rPr>
                <w:sz w:val="22"/>
                <w:szCs w:val="22"/>
              </w:rPr>
              <w:t>).</w:t>
            </w:r>
          </w:p>
        </w:tc>
        <w:tc>
          <w:tcPr>
            <w:tcW w:w="2567" w:type="dxa"/>
          </w:tcPr>
          <w:p w14:paraId="0B18E365" w14:textId="4102CFB4" w:rsidR="00BA7973" w:rsidRPr="00101BF9" w:rsidRDefault="00A248A0" w:rsidP="00FE7014">
            <w:pPr>
              <w:rPr>
                <w:sz w:val="22"/>
                <w:szCs w:val="22"/>
              </w:rPr>
            </w:pPr>
            <w:r w:rsidRPr="00101BF9">
              <w:rPr>
                <w:sz w:val="22"/>
                <w:szCs w:val="22"/>
              </w:rPr>
              <w:lastRenderedPageBreak/>
              <w:t xml:space="preserve">Deloitte seems to have accepted marks with geographical overtones/elements. </w:t>
            </w:r>
            <w:r w:rsidR="002C47AE" w:rsidRPr="00101BF9">
              <w:rPr>
                <w:sz w:val="22"/>
                <w:szCs w:val="22"/>
              </w:rPr>
              <w:t>T</w:t>
            </w:r>
            <w:r w:rsidRPr="00101BF9">
              <w:rPr>
                <w:sz w:val="22"/>
                <w:szCs w:val="22"/>
              </w:rPr>
              <w:t xml:space="preserve">his Q8 </w:t>
            </w:r>
            <w:r w:rsidR="002C47AE" w:rsidRPr="00101BF9">
              <w:rPr>
                <w:sz w:val="22"/>
                <w:szCs w:val="22"/>
              </w:rPr>
              <w:t xml:space="preserve">to be sent </w:t>
            </w:r>
            <w:r w:rsidRPr="00101BF9">
              <w:rPr>
                <w:sz w:val="22"/>
                <w:szCs w:val="22"/>
              </w:rPr>
              <w:t>to Deloitte, asking specifically how these marks are handled.</w:t>
            </w:r>
          </w:p>
          <w:p w14:paraId="5A6B551C" w14:textId="77777777" w:rsidR="00741E26" w:rsidRPr="00101BF9" w:rsidRDefault="00741E26" w:rsidP="00FE7014">
            <w:pPr>
              <w:rPr>
                <w:sz w:val="22"/>
                <w:szCs w:val="22"/>
              </w:rPr>
            </w:pPr>
          </w:p>
          <w:p w14:paraId="62AD0848" w14:textId="1670EBA2" w:rsidR="00741E26" w:rsidRPr="00796B8F" w:rsidRDefault="00741E26" w:rsidP="00FE7014">
            <w:pPr>
              <w:rPr>
                <w:sz w:val="22"/>
                <w:szCs w:val="22"/>
              </w:rPr>
            </w:pPr>
            <w:r w:rsidRPr="00796B8F">
              <w:rPr>
                <w:sz w:val="22"/>
                <w:szCs w:val="22"/>
              </w:rPr>
              <w:t xml:space="preserve">Following Deloitte’s response, WG to discuss whether G.I.s, P.D.O.s and A.O.C.s should be accepted into </w:t>
            </w:r>
            <w:r w:rsidR="00314F3E" w:rsidRPr="00796B8F">
              <w:rPr>
                <w:sz w:val="22"/>
                <w:szCs w:val="22"/>
              </w:rPr>
              <w:t>the TMCH if they are not also nationally/regionally registered TMs, court-validated or protected by statute/treaty (i.e. the current TMCH criteria).</w:t>
            </w:r>
            <w:r w:rsidRPr="00796B8F">
              <w:rPr>
                <w:sz w:val="22"/>
                <w:szCs w:val="22"/>
              </w:rPr>
              <w:t xml:space="preserve"> </w:t>
            </w:r>
          </w:p>
          <w:p w14:paraId="39BC702C" w14:textId="77777777" w:rsidR="00A248A0" w:rsidRPr="00101BF9" w:rsidRDefault="00A248A0" w:rsidP="00FE7014">
            <w:pPr>
              <w:rPr>
                <w:sz w:val="22"/>
                <w:szCs w:val="22"/>
              </w:rPr>
            </w:pPr>
          </w:p>
          <w:p w14:paraId="1B3AFFD5" w14:textId="77777777" w:rsidR="00A248A0" w:rsidRPr="00101BF9" w:rsidRDefault="00A248A0" w:rsidP="00FE7014">
            <w:pPr>
              <w:rPr>
                <w:sz w:val="22"/>
                <w:szCs w:val="22"/>
              </w:rPr>
            </w:pPr>
            <w:r w:rsidRPr="00101BF9">
              <w:rPr>
                <w:sz w:val="22"/>
                <w:szCs w:val="22"/>
              </w:rPr>
              <w:t xml:space="preserve">Staff to find out from </w:t>
            </w:r>
            <w:proofErr w:type="spellStart"/>
            <w:r w:rsidRPr="00101BF9">
              <w:rPr>
                <w:sz w:val="22"/>
                <w:szCs w:val="22"/>
              </w:rPr>
              <w:t>OriGIn</w:t>
            </w:r>
            <w:proofErr w:type="spellEnd"/>
            <w:r w:rsidRPr="00101BF9">
              <w:rPr>
                <w:sz w:val="22"/>
                <w:szCs w:val="22"/>
              </w:rPr>
              <w:t xml:space="preserve"> who might be able to submit GIs.</w:t>
            </w:r>
          </w:p>
          <w:p w14:paraId="2B4AE4A8" w14:textId="77777777" w:rsidR="00733BDF" w:rsidRDefault="00F743F3" w:rsidP="00F743F3">
            <w:pPr>
              <w:pStyle w:val="ListParagraph"/>
              <w:numPr>
                <w:ilvl w:val="0"/>
                <w:numId w:val="3"/>
              </w:numPr>
              <w:rPr>
                <w:sz w:val="22"/>
                <w:szCs w:val="22"/>
              </w:rPr>
            </w:pPr>
            <w:r w:rsidRPr="00CC2700">
              <w:rPr>
                <w:sz w:val="22"/>
                <w:szCs w:val="22"/>
              </w:rPr>
              <w:t xml:space="preserve">From Massimo </w:t>
            </w:r>
            <w:proofErr w:type="spellStart"/>
            <w:r w:rsidRPr="00CC2700">
              <w:rPr>
                <w:sz w:val="22"/>
                <w:szCs w:val="22"/>
              </w:rPr>
              <w:t>Vittori</w:t>
            </w:r>
            <w:proofErr w:type="spellEnd"/>
            <w:r w:rsidRPr="00CC2700">
              <w:rPr>
                <w:sz w:val="22"/>
                <w:szCs w:val="22"/>
              </w:rPr>
              <w:t xml:space="preserve"> (</w:t>
            </w:r>
            <w:proofErr w:type="spellStart"/>
            <w:r w:rsidRPr="00CC2700">
              <w:rPr>
                <w:sz w:val="22"/>
                <w:szCs w:val="22"/>
              </w:rPr>
              <w:t>OriGIn</w:t>
            </w:r>
            <w:proofErr w:type="spellEnd"/>
            <w:r w:rsidRPr="00CC2700">
              <w:rPr>
                <w:sz w:val="22"/>
                <w:szCs w:val="22"/>
              </w:rPr>
              <w:t xml:space="preserve">): “GIs associations or </w:t>
            </w:r>
            <w:r w:rsidRPr="00CC2700">
              <w:rPr>
                <w:sz w:val="22"/>
                <w:szCs w:val="22"/>
              </w:rPr>
              <w:lastRenderedPageBreak/>
              <w:t xml:space="preserve">groups (called Federations, </w:t>
            </w:r>
            <w:proofErr w:type="spellStart"/>
            <w:r w:rsidRPr="00CC2700">
              <w:rPr>
                <w:sz w:val="22"/>
                <w:szCs w:val="22"/>
              </w:rPr>
              <w:t>Consorzia</w:t>
            </w:r>
            <w:proofErr w:type="spellEnd"/>
            <w:r w:rsidRPr="00CC2700">
              <w:rPr>
                <w:sz w:val="22"/>
                <w:szCs w:val="22"/>
              </w:rPr>
              <w:t xml:space="preserve">, </w:t>
            </w:r>
            <w:proofErr w:type="spellStart"/>
            <w:r w:rsidRPr="00CC2700">
              <w:rPr>
                <w:sz w:val="22"/>
                <w:szCs w:val="22"/>
              </w:rPr>
              <w:t>Consejos</w:t>
            </w:r>
            <w:proofErr w:type="spellEnd"/>
            <w:r w:rsidRPr="00CC2700">
              <w:rPr>
                <w:sz w:val="22"/>
                <w:szCs w:val="22"/>
              </w:rPr>
              <w:t xml:space="preserve"> </w:t>
            </w:r>
            <w:proofErr w:type="spellStart"/>
            <w:r w:rsidRPr="00CC2700">
              <w:rPr>
                <w:sz w:val="22"/>
                <w:szCs w:val="22"/>
              </w:rPr>
              <w:t>Reguladores</w:t>
            </w:r>
            <w:proofErr w:type="spellEnd"/>
            <w:r w:rsidRPr="00CC2700">
              <w:rPr>
                <w:sz w:val="22"/>
                <w:szCs w:val="22"/>
              </w:rPr>
              <w:t xml:space="preserve">, </w:t>
            </w:r>
            <w:proofErr w:type="spellStart"/>
            <w:r w:rsidRPr="00CC2700">
              <w:rPr>
                <w:sz w:val="22"/>
                <w:szCs w:val="22"/>
              </w:rPr>
              <w:t>Comités</w:t>
            </w:r>
            <w:proofErr w:type="spellEnd"/>
            <w:r w:rsidRPr="00CC2700">
              <w:rPr>
                <w:sz w:val="22"/>
                <w:szCs w:val="22"/>
              </w:rPr>
              <w:t xml:space="preserve"> </w:t>
            </w:r>
            <w:proofErr w:type="spellStart"/>
            <w:r w:rsidRPr="00CC2700">
              <w:rPr>
                <w:sz w:val="22"/>
                <w:szCs w:val="22"/>
              </w:rPr>
              <w:t>interprofessionels</w:t>
            </w:r>
            <w:proofErr w:type="spellEnd"/>
            <w:r w:rsidRPr="00CC2700">
              <w:rPr>
                <w:sz w:val="22"/>
                <w:szCs w:val="22"/>
              </w:rPr>
              <w:t>, depending on their country and language) are responsible to protect their respective GIs. In practice, they perform the procedures of GIs registration and enforcement at the national level as well as in in foreign jurisdictions where they seek protection. If we use the expression “GIs governance bodies” (rather than “certification bodies/associations”), I believe we will capture the essence of such GIs associations or groups, notwithstanding their country or language.”</w:t>
            </w:r>
          </w:p>
          <w:p w14:paraId="607E61D0" w14:textId="7C1E2D3A" w:rsidR="00DE532A" w:rsidRPr="00DE532A" w:rsidRDefault="00DE532A" w:rsidP="00DE532A">
            <w:pPr>
              <w:rPr>
                <w:sz w:val="22"/>
                <w:szCs w:val="22"/>
              </w:rPr>
            </w:pPr>
          </w:p>
        </w:tc>
      </w:tr>
      <w:tr w:rsidR="00710022" w:rsidRPr="00101BF9" w14:paraId="5BFE3760" w14:textId="77777777" w:rsidTr="00710022">
        <w:trPr>
          <w:trHeight w:val="269"/>
        </w:trPr>
        <w:tc>
          <w:tcPr>
            <w:tcW w:w="2458" w:type="dxa"/>
          </w:tcPr>
          <w:p w14:paraId="773886D7" w14:textId="23872DA1" w:rsidR="00BA7973" w:rsidRPr="006024EB" w:rsidRDefault="00BA7973" w:rsidP="00F87D44">
            <w:pPr>
              <w:pStyle w:val="ListParagraph"/>
              <w:numPr>
                <w:ilvl w:val="0"/>
                <w:numId w:val="17"/>
              </w:numPr>
              <w:rPr>
                <w:sz w:val="22"/>
                <w:szCs w:val="22"/>
              </w:rPr>
            </w:pPr>
            <w:r w:rsidRPr="006024EB">
              <w:rPr>
                <w:sz w:val="22"/>
                <w:szCs w:val="22"/>
              </w:rPr>
              <w:lastRenderedPageBreak/>
              <w:t>Should the TM+50</w:t>
            </w:r>
            <w:r w:rsidRPr="00101BF9">
              <w:rPr>
                <w:vertAlign w:val="superscript"/>
              </w:rPr>
              <w:footnoteReference w:id="4"/>
            </w:r>
            <w:r w:rsidRPr="006024EB">
              <w:rPr>
                <w:sz w:val="22"/>
                <w:szCs w:val="22"/>
              </w:rPr>
              <w:t xml:space="preserve"> be retained as is, amended or removed?</w:t>
            </w:r>
          </w:p>
          <w:p w14:paraId="4E99D6B9" w14:textId="77777777" w:rsidR="00BA7973" w:rsidRPr="00101BF9" w:rsidRDefault="00BA7973" w:rsidP="00F87D44">
            <w:pPr>
              <w:rPr>
                <w:sz w:val="22"/>
                <w:szCs w:val="22"/>
              </w:rPr>
            </w:pPr>
          </w:p>
        </w:tc>
        <w:tc>
          <w:tcPr>
            <w:tcW w:w="2609" w:type="dxa"/>
          </w:tcPr>
          <w:p w14:paraId="40878601" w14:textId="2A2C9C39" w:rsidR="009A6DAE" w:rsidRDefault="009A6DAE" w:rsidP="00230F63">
            <w:pPr>
              <w:rPr>
                <w:sz w:val="22"/>
                <w:szCs w:val="22"/>
                <w:u w:val="single"/>
              </w:rPr>
            </w:pPr>
            <w:r>
              <w:rPr>
                <w:sz w:val="22"/>
                <w:szCs w:val="22"/>
                <w:u w:val="single"/>
              </w:rPr>
              <w:t>Marks Eligible for Inclusion in TC:</w:t>
            </w:r>
          </w:p>
          <w:p w14:paraId="0C71F19B" w14:textId="77777777" w:rsidR="009A6DAE" w:rsidRDefault="009A6DAE" w:rsidP="00230F63">
            <w:pPr>
              <w:rPr>
                <w:sz w:val="22"/>
                <w:szCs w:val="22"/>
              </w:rPr>
            </w:pPr>
          </w:p>
          <w:p w14:paraId="7E7611F3" w14:textId="51ACE7CB" w:rsidR="009A6DAE" w:rsidRDefault="00F850C0" w:rsidP="00230F63">
            <w:pPr>
              <w:rPr>
                <w:sz w:val="22"/>
                <w:szCs w:val="22"/>
              </w:rPr>
            </w:pPr>
            <w:r w:rsidRPr="009A6DAE">
              <w:rPr>
                <w:sz w:val="22"/>
                <w:szCs w:val="22"/>
              </w:rPr>
              <w:t>4.3</w:t>
            </w:r>
            <w:r w:rsidR="006F6CFD" w:rsidRPr="009A6DAE">
              <w:rPr>
                <w:sz w:val="22"/>
                <w:szCs w:val="22"/>
              </w:rPr>
              <w:t>:</w:t>
            </w:r>
            <w:r w:rsidRPr="009A6DAE">
              <w:rPr>
                <w:sz w:val="22"/>
                <w:szCs w:val="22"/>
              </w:rPr>
              <w:t xml:space="preserve"> </w:t>
            </w:r>
            <w:r w:rsidR="00DE532A" w:rsidRPr="009A6DAE">
              <w:rPr>
                <w:sz w:val="22"/>
                <w:szCs w:val="22"/>
              </w:rPr>
              <w:t>Conversion of Marks into TC Database</w:t>
            </w:r>
            <w:r w:rsidR="00BB74C8">
              <w:rPr>
                <w:rStyle w:val="FootnoteReference"/>
                <w:sz w:val="22"/>
                <w:szCs w:val="22"/>
              </w:rPr>
              <w:footnoteReference w:id="5"/>
            </w:r>
            <w:r w:rsidR="00BB74C8">
              <w:rPr>
                <w:sz w:val="22"/>
                <w:szCs w:val="22"/>
              </w:rPr>
              <w:t>:</w:t>
            </w:r>
          </w:p>
          <w:p w14:paraId="7ECF5158" w14:textId="16F0D02C" w:rsidR="00230F63" w:rsidRPr="00101BF9" w:rsidRDefault="00F850C0" w:rsidP="009A6DAE">
            <w:pPr>
              <w:rPr>
                <w:sz w:val="22"/>
                <w:szCs w:val="22"/>
              </w:rPr>
            </w:pPr>
            <w:r w:rsidRPr="00101BF9">
              <w:rPr>
                <w:sz w:val="22"/>
                <w:szCs w:val="22"/>
              </w:rPr>
              <w:t xml:space="preserve">The TC Database should be structured to report to registries strings that are considered an “Identical Match” with the validated trademarks. “Identical Match’ [sic] means that the domain name consists of the complete and identical textual elements of the Mark. </w:t>
            </w:r>
            <w:r w:rsidR="00230F63" w:rsidRPr="00101BF9">
              <w:rPr>
                <w:sz w:val="22"/>
                <w:szCs w:val="22"/>
              </w:rPr>
              <w:t xml:space="preserve"> * * * [</w:t>
            </w:r>
            <w:r w:rsidR="009A6DAE">
              <w:rPr>
                <w:sz w:val="22"/>
                <w:szCs w:val="22"/>
              </w:rPr>
              <w:t>details</w:t>
            </w:r>
            <w:r w:rsidR="00230F63" w:rsidRPr="00101BF9">
              <w:rPr>
                <w:sz w:val="22"/>
                <w:szCs w:val="22"/>
              </w:rPr>
              <w:t xml:space="preserve"> in section]</w:t>
            </w:r>
          </w:p>
        </w:tc>
        <w:tc>
          <w:tcPr>
            <w:tcW w:w="2656" w:type="dxa"/>
          </w:tcPr>
          <w:p w14:paraId="4FCC0043" w14:textId="77777777" w:rsidR="00DE532A" w:rsidRDefault="001221AE" w:rsidP="00FE7014">
            <w:pPr>
              <w:rPr>
                <w:sz w:val="22"/>
                <w:szCs w:val="22"/>
              </w:rPr>
            </w:pPr>
            <w:r w:rsidRPr="00101BF9">
              <w:rPr>
                <w:sz w:val="22"/>
                <w:szCs w:val="22"/>
              </w:rPr>
              <w:t>6.1.5</w:t>
            </w:r>
            <w:r w:rsidR="006F6CFD">
              <w:rPr>
                <w:sz w:val="22"/>
                <w:szCs w:val="22"/>
              </w:rPr>
              <w:t>:</w:t>
            </w:r>
            <w:r w:rsidRPr="00101BF9">
              <w:rPr>
                <w:sz w:val="22"/>
                <w:szCs w:val="22"/>
              </w:rPr>
              <w:t xml:space="preserve"> The Trademark Clearinghouse Database will be structured to report to registries when registrants are attempting to register a domain name that is considered an “identical Match” with</w:t>
            </w:r>
            <w:r w:rsidR="00DE532A">
              <w:rPr>
                <w:sz w:val="22"/>
                <w:szCs w:val="22"/>
              </w:rPr>
              <w:t xml:space="preserve"> the mark in the Clearinghouse. </w:t>
            </w:r>
            <w:r w:rsidRPr="00101BF9">
              <w:rPr>
                <w:sz w:val="22"/>
                <w:szCs w:val="22"/>
              </w:rPr>
              <w:t xml:space="preserve">“Identical Match” means that the domain name consists of the complete and identical textual elements of the mark. </w:t>
            </w:r>
          </w:p>
          <w:p w14:paraId="1D65537F" w14:textId="77777777" w:rsidR="00DE532A" w:rsidRDefault="00DE532A" w:rsidP="00FE7014">
            <w:pPr>
              <w:rPr>
                <w:sz w:val="22"/>
                <w:szCs w:val="22"/>
              </w:rPr>
            </w:pPr>
          </w:p>
          <w:p w14:paraId="055888C3" w14:textId="6032F171" w:rsidR="00CC2700" w:rsidRDefault="001221AE" w:rsidP="00FE7014">
            <w:pPr>
              <w:rPr>
                <w:sz w:val="22"/>
                <w:szCs w:val="22"/>
              </w:rPr>
            </w:pPr>
            <w:r w:rsidRPr="00101BF9">
              <w:rPr>
                <w:sz w:val="22"/>
                <w:szCs w:val="22"/>
              </w:rPr>
              <w:t xml:space="preserve">In this regard: </w:t>
            </w:r>
          </w:p>
          <w:p w14:paraId="39A274F6" w14:textId="102394DE" w:rsidR="00CC2700" w:rsidRDefault="001221AE" w:rsidP="00DE532A">
            <w:pPr>
              <w:ind w:firstLine="360"/>
              <w:rPr>
                <w:sz w:val="22"/>
                <w:szCs w:val="22"/>
              </w:rPr>
            </w:pPr>
            <w:r w:rsidRPr="00101BF9">
              <w:rPr>
                <w:sz w:val="22"/>
                <w:szCs w:val="22"/>
              </w:rPr>
              <w:t xml:space="preserve">(a) spaces contained within a mark that are either replaced by hyphens (and vice versa) or omitted; </w:t>
            </w:r>
          </w:p>
          <w:p w14:paraId="16EA2FAC" w14:textId="268DBF18" w:rsidR="00CC2700" w:rsidRDefault="001221AE" w:rsidP="00DE532A">
            <w:pPr>
              <w:ind w:firstLine="360"/>
              <w:rPr>
                <w:sz w:val="22"/>
                <w:szCs w:val="22"/>
              </w:rPr>
            </w:pPr>
            <w:r w:rsidRPr="00101BF9">
              <w:rPr>
                <w:sz w:val="22"/>
                <w:szCs w:val="22"/>
              </w:rPr>
              <w:t xml:space="preserve">(b) only certain special characters contained within a trademark are spelled out with appropriate words describing it (@ and &amp;); </w:t>
            </w:r>
          </w:p>
          <w:p w14:paraId="25B2DD00" w14:textId="64ECA2FD" w:rsidR="00CC2700" w:rsidRDefault="001221AE" w:rsidP="00DE532A">
            <w:pPr>
              <w:ind w:firstLine="360"/>
              <w:rPr>
                <w:sz w:val="22"/>
                <w:szCs w:val="22"/>
              </w:rPr>
            </w:pPr>
            <w:r w:rsidRPr="00101BF9">
              <w:rPr>
                <w:sz w:val="22"/>
                <w:szCs w:val="22"/>
              </w:rPr>
              <w:t xml:space="preserve">(c) punctuation or special characters </w:t>
            </w:r>
            <w:r w:rsidRPr="00101BF9">
              <w:rPr>
                <w:sz w:val="22"/>
                <w:szCs w:val="22"/>
              </w:rPr>
              <w:lastRenderedPageBreak/>
              <w:t>contained within a mark that are unable to be used in a second-level domain name may either be (</w:t>
            </w:r>
            <w:proofErr w:type="spellStart"/>
            <w:r w:rsidRPr="00101BF9">
              <w:rPr>
                <w:sz w:val="22"/>
                <w:szCs w:val="22"/>
              </w:rPr>
              <w:t>i</w:t>
            </w:r>
            <w:proofErr w:type="spellEnd"/>
            <w:r w:rsidRPr="00101BF9">
              <w:rPr>
                <w:sz w:val="22"/>
                <w:szCs w:val="22"/>
              </w:rPr>
              <w:t xml:space="preserve">) omitted or (ii) replaced by spaces, hyphens or underscores and still be considered for identical matches; and </w:t>
            </w:r>
          </w:p>
          <w:p w14:paraId="15797F94" w14:textId="59302F89" w:rsidR="00742DF5" w:rsidRPr="00101BF9" w:rsidRDefault="001221AE" w:rsidP="00DE532A">
            <w:pPr>
              <w:ind w:firstLine="360"/>
              <w:rPr>
                <w:sz w:val="22"/>
                <w:szCs w:val="22"/>
              </w:rPr>
            </w:pPr>
            <w:r w:rsidRPr="00101BF9">
              <w:rPr>
                <w:sz w:val="22"/>
                <w:szCs w:val="22"/>
              </w:rPr>
              <w:t xml:space="preserve">(d) no plural and no “marks contained” would qualify for inclusion. </w:t>
            </w:r>
          </w:p>
          <w:p w14:paraId="627EB302" w14:textId="77777777" w:rsidR="00BA7973" w:rsidRPr="00101BF9" w:rsidRDefault="00BA7973" w:rsidP="001221AE">
            <w:pPr>
              <w:ind w:firstLine="720"/>
              <w:rPr>
                <w:sz w:val="22"/>
                <w:szCs w:val="22"/>
              </w:rPr>
            </w:pPr>
          </w:p>
        </w:tc>
        <w:tc>
          <w:tcPr>
            <w:tcW w:w="2660" w:type="dxa"/>
          </w:tcPr>
          <w:p w14:paraId="57465A2F" w14:textId="37A4BCAA" w:rsidR="00C50EB8" w:rsidRPr="00420831" w:rsidRDefault="00C50EB8" w:rsidP="00C50EB8">
            <w:pPr>
              <w:rPr>
                <w:b/>
                <w:sz w:val="22"/>
                <w:szCs w:val="22"/>
              </w:rPr>
            </w:pPr>
            <w:r w:rsidRPr="00420831">
              <w:rPr>
                <w:b/>
                <w:sz w:val="22"/>
                <w:szCs w:val="22"/>
              </w:rPr>
              <w:lastRenderedPageBreak/>
              <w:t>20 March 2013 Memorandum</w:t>
            </w:r>
            <w:r w:rsidR="00420831" w:rsidRPr="00420831">
              <w:rPr>
                <w:b/>
                <w:sz w:val="22"/>
                <w:szCs w:val="22"/>
              </w:rPr>
              <w:t xml:space="preserve"> on the “Strawman Proposal” for TM+50</w:t>
            </w:r>
            <w:r w:rsidRPr="00420831">
              <w:rPr>
                <w:b/>
                <w:sz w:val="22"/>
                <w:szCs w:val="22"/>
              </w:rPr>
              <w:t>:</w:t>
            </w:r>
          </w:p>
          <w:p w14:paraId="40FE9B42" w14:textId="7B60F0E7" w:rsidR="00C50EB8" w:rsidRPr="00101BF9" w:rsidRDefault="00420831" w:rsidP="00C50EB8">
            <w:pPr>
              <w:rPr>
                <w:sz w:val="22"/>
                <w:szCs w:val="22"/>
              </w:rPr>
            </w:pPr>
            <w:r>
              <w:rPr>
                <w:sz w:val="22"/>
                <w:szCs w:val="22"/>
              </w:rPr>
              <w:t>…</w:t>
            </w:r>
            <w:r w:rsidR="00C50EB8" w:rsidRPr="00101BF9">
              <w:rPr>
                <w:sz w:val="22"/>
                <w:szCs w:val="22"/>
              </w:rPr>
              <w:t xml:space="preserve"> proposal that where there are domain labels that have been found to be the subject of abusive registrations (for example, </w:t>
            </w:r>
            <w:proofErr w:type="gramStart"/>
            <w:r w:rsidR="00C50EB8" w:rsidRPr="00101BF9">
              <w:rPr>
                <w:sz w:val="22"/>
                <w:szCs w:val="22"/>
              </w:rPr>
              <w:t>as a result of</w:t>
            </w:r>
            <w:proofErr w:type="gramEnd"/>
            <w:r w:rsidR="00C50EB8" w:rsidRPr="00101BF9">
              <w:rPr>
                <w:sz w:val="22"/>
                <w:szCs w:val="22"/>
              </w:rPr>
              <w:t xml:space="preserve"> a UDRP or court proceeding), a limited number (up to 50) of these could be added to a Clearinghouse record. These names would be mapped to an existing record where the trademark has already been verified by the Clearinghouse. </w:t>
            </w:r>
          </w:p>
          <w:p w14:paraId="0297192F" w14:textId="77777777" w:rsidR="00BA7973" w:rsidRPr="00101BF9" w:rsidRDefault="00BA7973" w:rsidP="00230F63">
            <w:pPr>
              <w:rPr>
                <w:sz w:val="22"/>
                <w:szCs w:val="22"/>
              </w:rPr>
            </w:pPr>
          </w:p>
          <w:p w14:paraId="27C27098" w14:textId="77777777" w:rsidR="00C50EB8" w:rsidRPr="00420831" w:rsidRDefault="00C50EB8" w:rsidP="00230F63">
            <w:pPr>
              <w:rPr>
                <w:b/>
                <w:sz w:val="22"/>
                <w:szCs w:val="22"/>
              </w:rPr>
            </w:pPr>
            <w:r w:rsidRPr="00420831">
              <w:rPr>
                <w:b/>
                <w:sz w:val="22"/>
                <w:szCs w:val="22"/>
              </w:rPr>
              <w:t xml:space="preserve">Implementation Notes 16 July 2013: </w:t>
            </w:r>
          </w:p>
          <w:p w14:paraId="7526E5CC" w14:textId="77777777" w:rsidR="00C50EB8" w:rsidRPr="00101BF9" w:rsidRDefault="00C50EB8" w:rsidP="00C50EB8">
            <w:pPr>
              <w:rPr>
                <w:b/>
                <w:sz w:val="22"/>
                <w:szCs w:val="22"/>
              </w:rPr>
            </w:pPr>
            <w:r w:rsidRPr="00CC2700">
              <w:rPr>
                <w:sz w:val="22"/>
                <w:szCs w:val="22"/>
                <w:u w:val="single"/>
              </w:rPr>
              <w:t>1.Submission of Additional Labels</w:t>
            </w:r>
          </w:p>
          <w:p w14:paraId="64ADD2C1" w14:textId="6F9FA9E1" w:rsidR="00C50EB8" w:rsidRPr="00101BF9" w:rsidRDefault="00C50EB8" w:rsidP="00C50EB8">
            <w:pPr>
              <w:rPr>
                <w:sz w:val="22"/>
                <w:szCs w:val="22"/>
              </w:rPr>
            </w:pPr>
            <w:r w:rsidRPr="00101BF9">
              <w:rPr>
                <w:sz w:val="22"/>
                <w:szCs w:val="22"/>
              </w:rPr>
              <w:t>Users will be able to a</w:t>
            </w:r>
            <w:r w:rsidR="00F051DA" w:rsidRPr="00101BF9">
              <w:rPr>
                <w:sz w:val="22"/>
                <w:szCs w:val="22"/>
              </w:rPr>
              <w:t>dd the appropriate domain labels</w:t>
            </w:r>
            <w:r w:rsidRPr="00101BF9">
              <w:rPr>
                <w:sz w:val="22"/>
                <w:szCs w:val="22"/>
              </w:rPr>
              <w:t xml:space="preserve"> and the relevant decision information to a verified trademark record </w:t>
            </w:r>
            <w:r w:rsidRPr="00101BF9">
              <w:rPr>
                <w:sz w:val="22"/>
                <w:szCs w:val="22"/>
              </w:rPr>
              <w:lastRenderedPageBreak/>
              <w:t xml:space="preserve">via the existing Trademark Clearinghouse user interface. The decision must have been rendered by either an approved UDRP service provider or a court of law at the national level. </w:t>
            </w:r>
          </w:p>
          <w:p w14:paraId="3C30E907" w14:textId="77777777" w:rsidR="00C50EB8" w:rsidRPr="00101BF9" w:rsidRDefault="00C50EB8" w:rsidP="00C50EB8">
            <w:pPr>
              <w:rPr>
                <w:sz w:val="22"/>
                <w:szCs w:val="22"/>
              </w:rPr>
            </w:pPr>
          </w:p>
          <w:p w14:paraId="3B688324" w14:textId="77777777" w:rsidR="00C50EB8" w:rsidRPr="00101BF9" w:rsidRDefault="00C50EB8" w:rsidP="00C50EB8">
            <w:pPr>
              <w:rPr>
                <w:sz w:val="22"/>
                <w:szCs w:val="22"/>
              </w:rPr>
            </w:pPr>
            <w:r w:rsidRPr="00101BF9">
              <w:rPr>
                <w:sz w:val="22"/>
                <w:szCs w:val="22"/>
              </w:rPr>
              <w:t xml:space="preserve">For UDRP decisions, the user will need to provide the following information: </w:t>
            </w:r>
          </w:p>
          <w:p w14:paraId="1ECA8CE8" w14:textId="77777777" w:rsidR="00C50EB8" w:rsidRPr="00101BF9" w:rsidRDefault="00C50EB8" w:rsidP="00C50EB8">
            <w:pPr>
              <w:rPr>
                <w:sz w:val="22"/>
                <w:szCs w:val="22"/>
              </w:rPr>
            </w:pPr>
            <w:r w:rsidRPr="00101BF9">
              <w:rPr>
                <w:sz w:val="22"/>
                <w:szCs w:val="22"/>
              </w:rPr>
              <w:t>[list of 4 criteria and right of TC to request UDRP decision]</w:t>
            </w:r>
          </w:p>
          <w:p w14:paraId="6EF23D5B" w14:textId="7339F16D" w:rsidR="00C50EB8" w:rsidRPr="00101BF9" w:rsidRDefault="00C50EB8" w:rsidP="00C50EB8">
            <w:pPr>
              <w:rPr>
                <w:sz w:val="22"/>
                <w:szCs w:val="22"/>
              </w:rPr>
            </w:pPr>
            <w:r w:rsidRPr="00101BF9">
              <w:rPr>
                <w:sz w:val="22"/>
                <w:szCs w:val="22"/>
              </w:rPr>
              <w:t xml:space="preserve">* * * </w:t>
            </w:r>
          </w:p>
          <w:p w14:paraId="7FA6B6FD" w14:textId="77777777" w:rsidR="00711050" w:rsidRPr="00CC2700" w:rsidRDefault="00711050" w:rsidP="00711050">
            <w:pPr>
              <w:rPr>
                <w:sz w:val="22"/>
                <w:szCs w:val="22"/>
                <w:u w:val="single"/>
              </w:rPr>
            </w:pPr>
            <w:r w:rsidRPr="00CC2700">
              <w:rPr>
                <w:sz w:val="22"/>
                <w:szCs w:val="22"/>
                <w:u w:val="single"/>
              </w:rPr>
              <w:t xml:space="preserve">2. Verification of Additional Labels </w:t>
            </w:r>
          </w:p>
          <w:p w14:paraId="6045F32D" w14:textId="77777777" w:rsidR="00CC2700" w:rsidRDefault="00711050" w:rsidP="00711050">
            <w:pPr>
              <w:rPr>
                <w:sz w:val="22"/>
                <w:szCs w:val="22"/>
              </w:rPr>
            </w:pPr>
            <w:r w:rsidRPr="00711050">
              <w:rPr>
                <w:sz w:val="22"/>
                <w:szCs w:val="22"/>
              </w:rPr>
              <w:t xml:space="preserve">Upon submission of this information, the Trademark Clearinghouse will verify: </w:t>
            </w:r>
          </w:p>
          <w:p w14:paraId="6248C3C8" w14:textId="3542BB30" w:rsidR="00CC2700" w:rsidRDefault="00CC2700" w:rsidP="00711050">
            <w:pPr>
              <w:rPr>
                <w:sz w:val="22"/>
                <w:szCs w:val="22"/>
              </w:rPr>
            </w:pPr>
            <w:r>
              <w:rPr>
                <w:sz w:val="22"/>
                <w:szCs w:val="22"/>
              </w:rPr>
              <w:t xml:space="preserve">- </w:t>
            </w:r>
            <w:r w:rsidR="00711050">
              <w:rPr>
                <w:sz w:val="22"/>
                <w:szCs w:val="22"/>
              </w:rPr>
              <w:t>(</w:t>
            </w:r>
            <w:r w:rsidR="00711050" w:rsidRPr="00711050">
              <w:rPr>
                <w:sz w:val="22"/>
                <w:szCs w:val="22"/>
              </w:rPr>
              <w:t>a</w:t>
            </w:r>
            <w:r w:rsidR="00711050">
              <w:rPr>
                <w:sz w:val="22"/>
                <w:szCs w:val="22"/>
              </w:rPr>
              <w:t>)</w:t>
            </w:r>
            <w:r w:rsidR="00711050" w:rsidRPr="00711050">
              <w:rPr>
                <w:sz w:val="22"/>
                <w:szCs w:val="22"/>
              </w:rPr>
              <w:t xml:space="preserve"> the trademark information included in the decision; and </w:t>
            </w:r>
          </w:p>
          <w:p w14:paraId="60D16C2A" w14:textId="5C13F987" w:rsidR="00711050" w:rsidRPr="00711050" w:rsidRDefault="00CC2700" w:rsidP="00711050">
            <w:pPr>
              <w:rPr>
                <w:sz w:val="22"/>
                <w:szCs w:val="22"/>
              </w:rPr>
            </w:pPr>
            <w:r>
              <w:rPr>
                <w:sz w:val="22"/>
                <w:szCs w:val="22"/>
              </w:rPr>
              <w:t xml:space="preserve">- </w:t>
            </w:r>
            <w:r w:rsidR="00711050">
              <w:rPr>
                <w:sz w:val="22"/>
                <w:szCs w:val="22"/>
              </w:rPr>
              <w:t>(</w:t>
            </w:r>
            <w:r w:rsidR="00711050" w:rsidRPr="00711050">
              <w:rPr>
                <w:sz w:val="22"/>
                <w:szCs w:val="22"/>
              </w:rPr>
              <w:t>b</w:t>
            </w:r>
            <w:r w:rsidR="00711050">
              <w:rPr>
                <w:sz w:val="22"/>
                <w:szCs w:val="22"/>
              </w:rPr>
              <w:t>)</w:t>
            </w:r>
            <w:r w:rsidR="00711050" w:rsidRPr="00711050">
              <w:rPr>
                <w:sz w:val="22"/>
                <w:szCs w:val="22"/>
              </w:rPr>
              <w:t xml:space="preserve"> the domain names included in the decision. To be successfully verified, the trademark cited in a decision must match the trademark in the existing Clearinghouse record (number and jurisdiction), and the domain labels submitted for addition to </w:t>
            </w:r>
            <w:r w:rsidR="00711050" w:rsidRPr="00711050">
              <w:rPr>
                <w:sz w:val="22"/>
                <w:szCs w:val="22"/>
              </w:rPr>
              <w:lastRenderedPageBreak/>
              <w:t xml:space="preserve">the record must be included in the decision. </w:t>
            </w:r>
          </w:p>
          <w:p w14:paraId="1483D3FB" w14:textId="77777777" w:rsidR="00711050" w:rsidRDefault="00711050" w:rsidP="00C50EB8">
            <w:pPr>
              <w:rPr>
                <w:b/>
                <w:sz w:val="22"/>
                <w:szCs w:val="22"/>
              </w:rPr>
            </w:pPr>
          </w:p>
          <w:p w14:paraId="59994D0E" w14:textId="236741C3" w:rsidR="00C50EB8" w:rsidRPr="00CC2700" w:rsidRDefault="00C50EB8" w:rsidP="00C50EB8">
            <w:pPr>
              <w:rPr>
                <w:sz w:val="22"/>
                <w:szCs w:val="22"/>
                <w:u w:val="single"/>
              </w:rPr>
            </w:pPr>
            <w:r w:rsidRPr="00CC2700">
              <w:rPr>
                <w:sz w:val="22"/>
                <w:szCs w:val="22"/>
                <w:u w:val="single"/>
              </w:rPr>
              <w:t>4. Protections for Additional Labels</w:t>
            </w:r>
          </w:p>
          <w:p w14:paraId="2C05D66A" w14:textId="195A9DEB" w:rsidR="00C50EB8" w:rsidRPr="00101BF9" w:rsidRDefault="00C50EB8" w:rsidP="00C50EB8">
            <w:pPr>
              <w:rPr>
                <w:sz w:val="22"/>
                <w:szCs w:val="22"/>
              </w:rPr>
            </w:pPr>
            <w:r w:rsidRPr="00101BF9">
              <w:rPr>
                <w:sz w:val="22"/>
                <w:szCs w:val="22"/>
              </w:rPr>
              <w:t xml:space="preserve">Labels that are successfully verified and associated with a Clearinghouse record will be included in the </w:t>
            </w:r>
            <w:r w:rsidR="00F051DA" w:rsidRPr="00101BF9">
              <w:rPr>
                <w:sz w:val="22"/>
                <w:szCs w:val="22"/>
              </w:rPr>
              <w:t xml:space="preserve">Trademark Claims service, with the relevant decision information included as data elements in the Claims notice provided to registrants… </w:t>
            </w:r>
          </w:p>
          <w:p w14:paraId="10EFD6AA" w14:textId="0B1B8B2A" w:rsidR="00C50EB8" w:rsidRPr="00101BF9" w:rsidRDefault="00F051DA" w:rsidP="00C50EB8">
            <w:pPr>
              <w:rPr>
                <w:sz w:val="22"/>
                <w:szCs w:val="22"/>
              </w:rPr>
            </w:pPr>
            <w:r w:rsidRPr="00101BF9">
              <w:rPr>
                <w:sz w:val="22"/>
                <w:szCs w:val="22"/>
              </w:rPr>
              <w:t xml:space="preserve">These labels will not be eligible for sunrise service (i.e., the holder does not receive an SMD demonstrating eligibility to register these labels as domain names). </w:t>
            </w:r>
          </w:p>
          <w:p w14:paraId="2808B1FA" w14:textId="0947B3D4" w:rsidR="00C50EB8" w:rsidRPr="00101BF9" w:rsidRDefault="00C50EB8" w:rsidP="00C50EB8">
            <w:pPr>
              <w:rPr>
                <w:sz w:val="22"/>
                <w:szCs w:val="22"/>
              </w:rPr>
            </w:pPr>
          </w:p>
        </w:tc>
        <w:tc>
          <w:tcPr>
            <w:tcW w:w="2567" w:type="dxa"/>
          </w:tcPr>
          <w:p w14:paraId="483FFB8C" w14:textId="77777777" w:rsidR="00BA7973" w:rsidRPr="00101BF9" w:rsidRDefault="00A248A0" w:rsidP="00FE7014">
            <w:pPr>
              <w:rPr>
                <w:sz w:val="22"/>
                <w:szCs w:val="22"/>
              </w:rPr>
            </w:pPr>
            <w:r w:rsidRPr="00101BF9">
              <w:rPr>
                <w:sz w:val="22"/>
                <w:szCs w:val="22"/>
              </w:rPr>
              <w:lastRenderedPageBreak/>
              <w:t>WG to review questions suggested by Registries SG, to see if any/some/all should be followed up with Deloitte on.</w:t>
            </w:r>
          </w:p>
          <w:p w14:paraId="317489E9" w14:textId="77777777" w:rsidR="00273632" w:rsidRPr="00101BF9" w:rsidRDefault="00273632" w:rsidP="00FE7014">
            <w:pPr>
              <w:rPr>
                <w:sz w:val="22"/>
                <w:szCs w:val="22"/>
              </w:rPr>
            </w:pPr>
          </w:p>
          <w:p w14:paraId="0C4C3064" w14:textId="77777777" w:rsidR="00273632" w:rsidRPr="00420831" w:rsidRDefault="00273632" w:rsidP="00FE7014">
            <w:pPr>
              <w:rPr>
                <w:sz w:val="22"/>
                <w:szCs w:val="22"/>
              </w:rPr>
            </w:pPr>
            <w:r w:rsidRPr="00420831">
              <w:rPr>
                <w:sz w:val="22"/>
                <w:szCs w:val="22"/>
              </w:rPr>
              <w:t>WG to ask Deloitte if a separate SMD file is created for every additional Previously Abused Label submitted.</w:t>
            </w:r>
          </w:p>
          <w:p w14:paraId="70A09843" w14:textId="5ED9E9AB" w:rsidR="00F743F3" w:rsidRPr="00101BF9" w:rsidRDefault="00F743F3" w:rsidP="00F743F3">
            <w:pPr>
              <w:pStyle w:val="ListParagraph"/>
              <w:numPr>
                <w:ilvl w:val="0"/>
                <w:numId w:val="10"/>
              </w:numPr>
              <w:rPr>
                <w:sz w:val="22"/>
                <w:szCs w:val="22"/>
              </w:rPr>
            </w:pPr>
            <w:r w:rsidRPr="00420831">
              <w:rPr>
                <w:sz w:val="22"/>
                <w:szCs w:val="22"/>
              </w:rPr>
              <w:t>Note from AC chat: As the TM+50 labels are used only for Claims and not Sunrise, SMD files for these additional labels are not needed.</w:t>
            </w:r>
          </w:p>
        </w:tc>
      </w:tr>
      <w:tr w:rsidR="00710022" w:rsidRPr="00101BF9" w14:paraId="2E2AB2C7" w14:textId="77777777" w:rsidTr="00710022">
        <w:trPr>
          <w:trHeight w:val="269"/>
        </w:trPr>
        <w:tc>
          <w:tcPr>
            <w:tcW w:w="2458" w:type="dxa"/>
          </w:tcPr>
          <w:p w14:paraId="429F5396" w14:textId="09CCD898" w:rsidR="00BA7973" w:rsidRPr="006024EB" w:rsidRDefault="00BA7973" w:rsidP="00F87D44">
            <w:pPr>
              <w:pStyle w:val="ListParagraph"/>
              <w:numPr>
                <w:ilvl w:val="0"/>
                <w:numId w:val="17"/>
              </w:numPr>
              <w:rPr>
                <w:sz w:val="22"/>
                <w:szCs w:val="22"/>
              </w:rPr>
            </w:pPr>
            <w:r w:rsidRPr="006024EB">
              <w:rPr>
                <w:sz w:val="22"/>
                <w:szCs w:val="22"/>
              </w:rPr>
              <w:lastRenderedPageBreak/>
              <w:t>Should the TMCH matching rules be retained, modified, or expanded, e.g. to include plurals, ‘marks contained’ or ‘</w:t>
            </w:r>
            <w:proofErr w:type="spellStart"/>
            <w:r w:rsidRPr="006024EB">
              <w:rPr>
                <w:sz w:val="22"/>
                <w:szCs w:val="22"/>
              </w:rPr>
              <w:t>mark+keyword</w:t>
            </w:r>
            <w:proofErr w:type="spellEnd"/>
            <w:r w:rsidRPr="006024EB">
              <w:rPr>
                <w:sz w:val="22"/>
                <w:szCs w:val="22"/>
              </w:rPr>
              <w:t xml:space="preserve">’, </w:t>
            </w:r>
            <w:r w:rsidRPr="006024EB">
              <w:rPr>
                <w:sz w:val="22"/>
                <w:szCs w:val="22"/>
              </w:rPr>
              <w:lastRenderedPageBreak/>
              <w:t>and/or common typos of a mark?</w:t>
            </w:r>
          </w:p>
          <w:p w14:paraId="7556890A" w14:textId="77777777" w:rsidR="00BA7973" w:rsidRPr="00101BF9" w:rsidRDefault="00BA7973" w:rsidP="00F87D44">
            <w:pPr>
              <w:rPr>
                <w:sz w:val="22"/>
                <w:szCs w:val="22"/>
              </w:rPr>
            </w:pPr>
          </w:p>
        </w:tc>
        <w:tc>
          <w:tcPr>
            <w:tcW w:w="2609" w:type="dxa"/>
          </w:tcPr>
          <w:p w14:paraId="2F6ED398" w14:textId="3C0D8C01" w:rsidR="009A6DAE" w:rsidRPr="009A6DAE" w:rsidRDefault="009A6DAE" w:rsidP="00230F63">
            <w:pPr>
              <w:rPr>
                <w:sz w:val="22"/>
                <w:szCs w:val="22"/>
                <w:u w:val="single"/>
              </w:rPr>
            </w:pPr>
            <w:r w:rsidRPr="009A6DAE">
              <w:rPr>
                <w:sz w:val="22"/>
                <w:szCs w:val="22"/>
                <w:u w:val="single"/>
              </w:rPr>
              <w:lastRenderedPageBreak/>
              <w:t>Marks Eligible for Inclusion in TC:</w:t>
            </w:r>
          </w:p>
          <w:p w14:paraId="6EC0CF9D" w14:textId="77777777" w:rsidR="009A6DAE" w:rsidRDefault="009A6DAE" w:rsidP="00230F63">
            <w:pPr>
              <w:rPr>
                <w:sz w:val="22"/>
                <w:szCs w:val="22"/>
              </w:rPr>
            </w:pPr>
          </w:p>
          <w:p w14:paraId="3AB6920A" w14:textId="77777777" w:rsidR="00CC2700" w:rsidRDefault="006F6CFD" w:rsidP="00230F63">
            <w:pPr>
              <w:rPr>
                <w:sz w:val="22"/>
                <w:szCs w:val="22"/>
              </w:rPr>
            </w:pPr>
            <w:r>
              <w:rPr>
                <w:sz w:val="22"/>
                <w:szCs w:val="22"/>
              </w:rPr>
              <w:t xml:space="preserve">4.3: </w:t>
            </w:r>
            <w:r w:rsidR="00230F63" w:rsidRPr="00101BF9">
              <w:rPr>
                <w:sz w:val="22"/>
                <w:szCs w:val="22"/>
              </w:rPr>
              <w:t xml:space="preserve">The TC Database should be structured to report to registries strings that are considered an “Identical Match” with the validated trademarks. “Identical Match’ [sic] means that the domain </w:t>
            </w:r>
            <w:r w:rsidR="00230F63" w:rsidRPr="00101BF9">
              <w:rPr>
                <w:sz w:val="22"/>
                <w:szCs w:val="22"/>
              </w:rPr>
              <w:lastRenderedPageBreak/>
              <w:t xml:space="preserve">name consists of the complete and identical textual elements of the Mark. In this regard: </w:t>
            </w:r>
          </w:p>
          <w:p w14:paraId="35AB962E" w14:textId="7B1D1463" w:rsidR="00CC2700" w:rsidRDefault="00230F63" w:rsidP="00DE532A">
            <w:pPr>
              <w:ind w:firstLine="360"/>
              <w:rPr>
                <w:sz w:val="22"/>
                <w:szCs w:val="22"/>
              </w:rPr>
            </w:pPr>
            <w:r w:rsidRPr="00101BF9">
              <w:rPr>
                <w:sz w:val="22"/>
                <w:szCs w:val="22"/>
              </w:rPr>
              <w:t xml:space="preserve">(a) spaces contained within a mark that are either replaced by hyphens (and vice versa) or omitted, and </w:t>
            </w:r>
          </w:p>
          <w:p w14:paraId="20325B47" w14:textId="20033E08" w:rsidR="00CC2700" w:rsidRDefault="00230F63" w:rsidP="00DE532A">
            <w:pPr>
              <w:ind w:firstLine="360"/>
              <w:rPr>
                <w:sz w:val="22"/>
                <w:szCs w:val="22"/>
              </w:rPr>
            </w:pPr>
            <w:r w:rsidRPr="00101BF9">
              <w:rPr>
                <w:sz w:val="22"/>
                <w:szCs w:val="22"/>
              </w:rPr>
              <w:t xml:space="preserve">(b) only certain special characters contained within a trademark are spelt out with appropriate words describing it </w:t>
            </w:r>
            <w:proofErr w:type="gramStart"/>
            <w:r w:rsidRPr="00101BF9">
              <w:rPr>
                <w:sz w:val="22"/>
                <w:szCs w:val="22"/>
              </w:rPr>
              <w:t>( @</w:t>
            </w:r>
            <w:proofErr w:type="gramEnd"/>
            <w:r w:rsidRPr="00101BF9">
              <w:rPr>
                <w:sz w:val="22"/>
                <w:szCs w:val="22"/>
              </w:rPr>
              <w:t xml:space="preserve"> and &amp;.), </w:t>
            </w:r>
          </w:p>
          <w:p w14:paraId="1A076097" w14:textId="30AFD128" w:rsidR="00CC2700" w:rsidRDefault="00230F63" w:rsidP="00DE532A">
            <w:pPr>
              <w:ind w:firstLine="360"/>
              <w:rPr>
                <w:sz w:val="22"/>
                <w:szCs w:val="22"/>
              </w:rPr>
            </w:pPr>
            <w:r w:rsidRPr="00101BF9">
              <w:rPr>
                <w:sz w:val="22"/>
                <w:szCs w:val="22"/>
              </w:rPr>
              <w:t>(c) punctuation or special characters contained within a mark that are unable to be used in a second-level domain name may either be (</w:t>
            </w:r>
            <w:proofErr w:type="spellStart"/>
            <w:r w:rsidRPr="00101BF9">
              <w:rPr>
                <w:sz w:val="22"/>
                <w:szCs w:val="22"/>
              </w:rPr>
              <w:t>i</w:t>
            </w:r>
            <w:proofErr w:type="spellEnd"/>
            <w:r w:rsidRPr="00101BF9">
              <w:rPr>
                <w:sz w:val="22"/>
                <w:szCs w:val="22"/>
              </w:rPr>
              <w:t xml:space="preserve">) omitted or (ii) replaced by spaces, hyphens or underscores and still be considered identical matches, and </w:t>
            </w:r>
          </w:p>
          <w:p w14:paraId="13D445E3" w14:textId="28115035" w:rsidR="00BA7973" w:rsidRPr="00101BF9" w:rsidRDefault="00230F63" w:rsidP="00DE532A">
            <w:pPr>
              <w:ind w:firstLine="360"/>
              <w:rPr>
                <w:sz w:val="22"/>
                <w:szCs w:val="22"/>
              </w:rPr>
            </w:pPr>
            <w:r w:rsidRPr="00101BF9">
              <w:rPr>
                <w:sz w:val="22"/>
                <w:szCs w:val="22"/>
              </w:rPr>
              <w:t xml:space="preserve">(d) no plural and no “marks contained” would qualify for inclusion. </w:t>
            </w:r>
          </w:p>
        </w:tc>
        <w:tc>
          <w:tcPr>
            <w:tcW w:w="2656" w:type="dxa"/>
          </w:tcPr>
          <w:p w14:paraId="25B1CAE2" w14:textId="77777777" w:rsidR="00CC2700" w:rsidRDefault="00420831" w:rsidP="00FE7014">
            <w:pPr>
              <w:rPr>
                <w:sz w:val="22"/>
                <w:szCs w:val="22"/>
              </w:rPr>
            </w:pPr>
            <w:r w:rsidRPr="00420831">
              <w:rPr>
                <w:sz w:val="22"/>
                <w:szCs w:val="22"/>
              </w:rPr>
              <w:lastRenderedPageBreak/>
              <w:t xml:space="preserve">6.1.5: The Trademark Clearinghouse Database will be structured to report to registries when registrants are attempting to register a domain name that is considered an “identical Match” with the mark in the Clearinghouse. </w:t>
            </w:r>
          </w:p>
          <w:p w14:paraId="758C8397" w14:textId="77777777" w:rsidR="00CC2700" w:rsidRDefault="00CC2700" w:rsidP="00FE7014">
            <w:pPr>
              <w:rPr>
                <w:sz w:val="22"/>
                <w:szCs w:val="22"/>
              </w:rPr>
            </w:pPr>
          </w:p>
          <w:p w14:paraId="2AA129AC" w14:textId="77777777" w:rsidR="00CC2700" w:rsidRDefault="00420831" w:rsidP="00FE7014">
            <w:pPr>
              <w:rPr>
                <w:sz w:val="22"/>
                <w:szCs w:val="22"/>
              </w:rPr>
            </w:pPr>
            <w:r w:rsidRPr="00420831">
              <w:rPr>
                <w:sz w:val="22"/>
                <w:szCs w:val="22"/>
              </w:rPr>
              <w:lastRenderedPageBreak/>
              <w:t xml:space="preserve">“Identical Match” means that the domain name consists of the complete and identical textual elements of the mark. In this regard: </w:t>
            </w:r>
          </w:p>
          <w:p w14:paraId="3E311884" w14:textId="326D09EB" w:rsidR="00CC2700" w:rsidRDefault="00420831" w:rsidP="00DE532A">
            <w:pPr>
              <w:ind w:firstLine="360"/>
              <w:rPr>
                <w:sz w:val="22"/>
                <w:szCs w:val="22"/>
              </w:rPr>
            </w:pPr>
            <w:r w:rsidRPr="00420831">
              <w:rPr>
                <w:sz w:val="22"/>
                <w:szCs w:val="22"/>
              </w:rPr>
              <w:t xml:space="preserve">(a) spaces contained within a mark that are either replaced by hyphens (and vice versa) or omitted; </w:t>
            </w:r>
          </w:p>
          <w:p w14:paraId="478BE54D" w14:textId="53D259BF" w:rsidR="00CC2700" w:rsidRDefault="00420831" w:rsidP="00DE532A">
            <w:pPr>
              <w:ind w:firstLine="360"/>
              <w:rPr>
                <w:sz w:val="22"/>
                <w:szCs w:val="22"/>
              </w:rPr>
            </w:pPr>
            <w:r w:rsidRPr="00420831">
              <w:rPr>
                <w:sz w:val="22"/>
                <w:szCs w:val="22"/>
              </w:rPr>
              <w:t xml:space="preserve">(b) only certain special characters contained within a trademark are spelled out with appropriate words describing it (@ and &amp;); </w:t>
            </w:r>
          </w:p>
          <w:p w14:paraId="5FBED6F6" w14:textId="144E8BF4" w:rsidR="00CC2700" w:rsidRDefault="00420831" w:rsidP="00DE532A">
            <w:pPr>
              <w:ind w:firstLine="360"/>
              <w:rPr>
                <w:sz w:val="22"/>
                <w:szCs w:val="22"/>
              </w:rPr>
            </w:pPr>
            <w:r w:rsidRPr="00420831">
              <w:rPr>
                <w:sz w:val="22"/>
                <w:szCs w:val="22"/>
              </w:rPr>
              <w:t>(c) punctuation or special characters contained within a mark that are unable to be used in a second-level domain name may either be (</w:t>
            </w:r>
            <w:proofErr w:type="spellStart"/>
            <w:r w:rsidRPr="00420831">
              <w:rPr>
                <w:sz w:val="22"/>
                <w:szCs w:val="22"/>
              </w:rPr>
              <w:t>i</w:t>
            </w:r>
            <w:proofErr w:type="spellEnd"/>
            <w:r w:rsidRPr="00420831">
              <w:rPr>
                <w:sz w:val="22"/>
                <w:szCs w:val="22"/>
              </w:rPr>
              <w:t xml:space="preserve">) omitted or (ii) replaced by spaces, hyphens or underscores and still be considered for identical matches; and </w:t>
            </w:r>
          </w:p>
          <w:p w14:paraId="222CE224" w14:textId="7C2B14D3" w:rsidR="00BA7973" w:rsidRDefault="00420831" w:rsidP="00DE532A">
            <w:pPr>
              <w:ind w:firstLine="360"/>
              <w:rPr>
                <w:sz w:val="22"/>
                <w:szCs w:val="22"/>
              </w:rPr>
            </w:pPr>
            <w:r w:rsidRPr="00420831">
              <w:rPr>
                <w:sz w:val="22"/>
                <w:szCs w:val="22"/>
              </w:rPr>
              <w:t>(d) no plural and no “marks contained” would qualify for inclusion.</w:t>
            </w:r>
          </w:p>
          <w:p w14:paraId="5189D5AD" w14:textId="58A67CEA" w:rsidR="00420831" w:rsidRPr="00101BF9" w:rsidRDefault="00420831" w:rsidP="00FE7014">
            <w:pPr>
              <w:rPr>
                <w:sz w:val="22"/>
                <w:szCs w:val="22"/>
              </w:rPr>
            </w:pPr>
          </w:p>
        </w:tc>
        <w:tc>
          <w:tcPr>
            <w:tcW w:w="2660" w:type="dxa"/>
          </w:tcPr>
          <w:p w14:paraId="741EC30B" w14:textId="77777777" w:rsidR="000944E6" w:rsidRDefault="00CE64A0" w:rsidP="00FE7014">
            <w:pPr>
              <w:rPr>
                <w:b/>
                <w:sz w:val="22"/>
                <w:szCs w:val="22"/>
              </w:rPr>
            </w:pPr>
            <w:r w:rsidRPr="00CE64A0">
              <w:rPr>
                <w:b/>
                <w:sz w:val="22"/>
                <w:szCs w:val="22"/>
              </w:rPr>
              <w:lastRenderedPageBreak/>
              <w:t>20 Sept 2012 Explanatory Memorandum on Matching Rules:</w:t>
            </w:r>
          </w:p>
          <w:p w14:paraId="64CAB9FF" w14:textId="77777777" w:rsidR="00BC266C" w:rsidRDefault="00BC266C" w:rsidP="00BC266C">
            <w:pPr>
              <w:rPr>
                <w:sz w:val="22"/>
                <w:szCs w:val="22"/>
              </w:rPr>
            </w:pPr>
          </w:p>
          <w:p w14:paraId="5693D614" w14:textId="77777777" w:rsidR="00CC2700" w:rsidRDefault="00CC2700" w:rsidP="00CC2700">
            <w:pPr>
              <w:rPr>
                <w:sz w:val="22"/>
                <w:szCs w:val="22"/>
              </w:rPr>
            </w:pPr>
            <w:r w:rsidRPr="00CC2700">
              <w:rPr>
                <w:sz w:val="22"/>
                <w:szCs w:val="22"/>
              </w:rPr>
              <w:t xml:space="preserve">“Identical Match” means that a domain name consists of the complete and identical textual elements of the mark. In this regard: </w:t>
            </w:r>
          </w:p>
          <w:p w14:paraId="12114462" w14:textId="5153DE8B" w:rsidR="00CC2700" w:rsidRDefault="00CC2700" w:rsidP="00DE532A">
            <w:pPr>
              <w:ind w:firstLine="360"/>
              <w:rPr>
                <w:sz w:val="22"/>
                <w:szCs w:val="22"/>
              </w:rPr>
            </w:pPr>
            <w:r w:rsidRPr="00CC2700">
              <w:rPr>
                <w:sz w:val="22"/>
                <w:szCs w:val="22"/>
              </w:rPr>
              <w:lastRenderedPageBreak/>
              <w:t xml:space="preserve">(B) Special characters @ and &amp; contained within a trademark may be spelled out with appropriate words; and </w:t>
            </w:r>
          </w:p>
          <w:p w14:paraId="7571B175" w14:textId="4B89BCED" w:rsidR="00CC2700" w:rsidRDefault="00CC2700" w:rsidP="00DE532A">
            <w:pPr>
              <w:ind w:firstLine="360"/>
              <w:rPr>
                <w:sz w:val="22"/>
                <w:szCs w:val="22"/>
              </w:rPr>
            </w:pPr>
            <w:r w:rsidRPr="00CC2700">
              <w:rPr>
                <w:sz w:val="22"/>
                <w:szCs w:val="22"/>
              </w:rPr>
              <w:t>(C) Other special characters contained within a mark that are unable to be used in a second-level domain name may either be: (</w:t>
            </w:r>
            <w:proofErr w:type="spellStart"/>
            <w:r w:rsidRPr="00CC2700">
              <w:rPr>
                <w:sz w:val="22"/>
                <w:szCs w:val="22"/>
              </w:rPr>
              <w:t>i</w:t>
            </w:r>
            <w:proofErr w:type="spellEnd"/>
            <w:r w:rsidRPr="00CC2700">
              <w:rPr>
                <w:sz w:val="22"/>
                <w:szCs w:val="22"/>
              </w:rPr>
              <w:t xml:space="preserve">) omitted; or (ii) replaced by hyphens. </w:t>
            </w:r>
          </w:p>
          <w:p w14:paraId="7E21AF8E" w14:textId="77777777" w:rsidR="00DE532A" w:rsidRDefault="00DE532A" w:rsidP="00DE532A">
            <w:pPr>
              <w:rPr>
                <w:sz w:val="22"/>
                <w:szCs w:val="22"/>
              </w:rPr>
            </w:pPr>
          </w:p>
          <w:p w14:paraId="0DAD59AE" w14:textId="2A6EBDBC" w:rsidR="00CC2700" w:rsidRPr="00CC2700" w:rsidRDefault="00CC2700" w:rsidP="00DE532A">
            <w:pPr>
              <w:rPr>
                <w:sz w:val="22"/>
                <w:szCs w:val="22"/>
              </w:rPr>
            </w:pPr>
            <w:r w:rsidRPr="00CC2700">
              <w:rPr>
                <w:sz w:val="22"/>
                <w:szCs w:val="22"/>
              </w:rPr>
              <w:t>Plural versions of a mark or domain names containing the mark are not considered an Identical Match for purposes of these baseline services</w:t>
            </w:r>
          </w:p>
          <w:p w14:paraId="09840A9D" w14:textId="77777777" w:rsidR="00CC2700" w:rsidRDefault="00CC2700" w:rsidP="00BC266C">
            <w:pPr>
              <w:rPr>
                <w:sz w:val="22"/>
                <w:szCs w:val="22"/>
              </w:rPr>
            </w:pPr>
          </w:p>
          <w:p w14:paraId="504E5390" w14:textId="604FEF1B" w:rsidR="00BC266C" w:rsidRPr="00BC266C" w:rsidRDefault="00BC266C" w:rsidP="00BC266C">
            <w:pPr>
              <w:rPr>
                <w:sz w:val="22"/>
                <w:szCs w:val="22"/>
                <w:u w:val="single"/>
              </w:rPr>
            </w:pPr>
            <w:r w:rsidRPr="00BC266C">
              <w:rPr>
                <w:sz w:val="22"/>
                <w:szCs w:val="22"/>
                <w:u w:val="single"/>
              </w:rPr>
              <w:t>2.1 Defining an Identical Match:</w:t>
            </w:r>
          </w:p>
          <w:p w14:paraId="2EB55626" w14:textId="77777777" w:rsidR="00BC266C" w:rsidRDefault="00BC266C" w:rsidP="00BC266C">
            <w:pPr>
              <w:rPr>
                <w:sz w:val="22"/>
                <w:szCs w:val="22"/>
              </w:rPr>
            </w:pPr>
            <w:r w:rsidRPr="00BC266C">
              <w:rPr>
                <w:sz w:val="22"/>
                <w:szCs w:val="22"/>
              </w:rPr>
              <w:t xml:space="preserve">All Clearinghouse trademark comparisons occur by comparing the textual elements of a mark with the second level label of the domain name being registered. When all and only the complete and identical textual elements exist in both the trademark and the label, it is </w:t>
            </w:r>
            <w:r w:rsidRPr="00BC266C">
              <w:rPr>
                <w:sz w:val="22"/>
                <w:szCs w:val="22"/>
              </w:rPr>
              <w:lastRenderedPageBreak/>
              <w:t xml:space="preserve">considered an identical match. </w:t>
            </w:r>
          </w:p>
          <w:p w14:paraId="7594CD1A" w14:textId="77777777" w:rsidR="00BC266C" w:rsidRDefault="00BC266C" w:rsidP="00BC266C">
            <w:pPr>
              <w:rPr>
                <w:sz w:val="22"/>
                <w:szCs w:val="22"/>
              </w:rPr>
            </w:pPr>
          </w:p>
          <w:p w14:paraId="749E1CEF" w14:textId="77777777" w:rsidR="00CC2700" w:rsidRDefault="00BC266C" w:rsidP="00BC266C">
            <w:pPr>
              <w:rPr>
                <w:sz w:val="22"/>
                <w:szCs w:val="22"/>
              </w:rPr>
            </w:pPr>
            <w:r w:rsidRPr="00BC266C">
              <w:rPr>
                <w:sz w:val="22"/>
                <w:szCs w:val="22"/>
              </w:rPr>
              <w:t>Four additional criteria, any of which could result in additional matches to a trademark record, are also applicable according to the co</w:t>
            </w:r>
            <w:r w:rsidR="00CC2700">
              <w:rPr>
                <w:sz w:val="22"/>
                <w:szCs w:val="22"/>
              </w:rPr>
              <w:t>mmunity-developed requirements:</w:t>
            </w:r>
          </w:p>
          <w:p w14:paraId="213C37F0" w14:textId="016A3031" w:rsidR="00BC266C" w:rsidRPr="00BC266C" w:rsidRDefault="00BC266C" w:rsidP="00DE532A">
            <w:pPr>
              <w:ind w:firstLine="360"/>
              <w:rPr>
                <w:sz w:val="22"/>
                <w:szCs w:val="22"/>
              </w:rPr>
            </w:pPr>
            <w:r w:rsidRPr="00BC266C">
              <w:rPr>
                <w:sz w:val="22"/>
                <w:szCs w:val="22"/>
              </w:rPr>
              <w:t>(a) Spaces contained within a mark that are either replaced by hyphens (or vice versa) or omitted</w:t>
            </w:r>
          </w:p>
          <w:p w14:paraId="0C3B741F" w14:textId="45EAC2F2" w:rsidR="00BC266C" w:rsidRPr="00BC266C" w:rsidRDefault="00BC266C" w:rsidP="00DE532A">
            <w:pPr>
              <w:ind w:firstLine="360"/>
              <w:rPr>
                <w:sz w:val="22"/>
                <w:szCs w:val="22"/>
              </w:rPr>
            </w:pPr>
            <w:r w:rsidRPr="00BC266C">
              <w:rPr>
                <w:sz w:val="22"/>
                <w:szCs w:val="22"/>
              </w:rPr>
              <w:t>(b) Only certain special characters contained within a trademark are spelled out with appropriate words describing it (@ and &amp;)</w:t>
            </w:r>
          </w:p>
          <w:p w14:paraId="3E1CC086" w14:textId="19692B3D" w:rsidR="00BC266C" w:rsidRPr="00BC266C" w:rsidRDefault="00BC266C" w:rsidP="00DE532A">
            <w:pPr>
              <w:ind w:firstLine="360"/>
              <w:rPr>
                <w:sz w:val="22"/>
                <w:szCs w:val="22"/>
              </w:rPr>
            </w:pPr>
            <w:r w:rsidRPr="00BC266C">
              <w:rPr>
                <w:sz w:val="22"/>
                <w:szCs w:val="22"/>
              </w:rPr>
              <w:t>(c) Punctuation or special characters contained within a mark that are unable to be used in a second-level domain may either be (</w:t>
            </w:r>
            <w:proofErr w:type="spellStart"/>
            <w:r w:rsidRPr="00BC266C">
              <w:rPr>
                <w:sz w:val="22"/>
                <w:szCs w:val="22"/>
              </w:rPr>
              <w:t>i</w:t>
            </w:r>
            <w:proofErr w:type="spellEnd"/>
            <w:r w:rsidRPr="00BC266C">
              <w:rPr>
                <w:sz w:val="22"/>
                <w:szCs w:val="22"/>
              </w:rPr>
              <w:t>) omitted or (ii) replaced by spaces, hyphens or underscores and still be considered identical matches</w:t>
            </w:r>
          </w:p>
          <w:p w14:paraId="71CA871F" w14:textId="1EB824D1" w:rsidR="00BC266C" w:rsidRPr="00BC266C" w:rsidRDefault="00DE532A" w:rsidP="00DE532A">
            <w:pPr>
              <w:ind w:firstLine="360"/>
              <w:rPr>
                <w:sz w:val="22"/>
                <w:szCs w:val="22"/>
              </w:rPr>
            </w:pPr>
            <w:r>
              <w:rPr>
                <w:sz w:val="22"/>
                <w:szCs w:val="22"/>
              </w:rPr>
              <w:t>(</w:t>
            </w:r>
            <w:r w:rsidR="00BC266C" w:rsidRPr="00BC266C">
              <w:rPr>
                <w:sz w:val="22"/>
                <w:szCs w:val="22"/>
              </w:rPr>
              <w:t>d) No plural and no “marks contained” would qualify for inclusion.</w:t>
            </w:r>
          </w:p>
          <w:p w14:paraId="688D46AB" w14:textId="77777777" w:rsidR="00BC266C" w:rsidRDefault="00BC266C" w:rsidP="00BC266C">
            <w:pPr>
              <w:rPr>
                <w:sz w:val="22"/>
                <w:szCs w:val="22"/>
              </w:rPr>
            </w:pPr>
          </w:p>
          <w:p w14:paraId="223C5F04" w14:textId="77777777" w:rsidR="00BC266C" w:rsidRDefault="00BC266C" w:rsidP="00BC266C">
            <w:pPr>
              <w:rPr>
                <w:sz w:val="22"/>
                <w:szCs w:val="22"/>
              </w:rPr>
            </w:pPr>
            <w:r w:rsidRPr="00BC266C">
              <w:rPr>
                <w:sz w:val="22"/>
                <w:szCs w:val="22"/>
                <w:u w:val="single"/>
              </w:rPr>
              <w:lastRenderedPageBreak/>
              <w:t>2.2 Critical Principles</w:t>
            </w:r>
            <w:r>
              <w:rPr>
                <w:sz w:val="22"/>
                <w:szCs w:val="22"/>
              </w:rPr>
              <w:t>:</w:t>
            </w:r>
          </w:p>
          <w:p w14:paraId="1EFD4A5A" w14:textId="77777777" w:rsidR="00BC266C" w:rsidRDefault="00BC266C" w:rsidP="00BC266C">
            <w:pPr>
              <w:rPr>
                <w:sz w:val="22"/>
                <w:szCs w:val="22"/>
              </w:rPr>
            </w:pPr>
            <w:r w:rsidRPr="00BC266C">
              <w:rPr>
                <w:sz w:val="22"/>
                <w:szCs w:val="22"/>
              </w:rPr>
              <w:t xml:space="preserve">2.2.1 The Clearinghouse must be able to apply the matching rules consistently. </w:t>
            </w:r>
          </w:p>
          <w:p w14:paraId="769824AE" w14:textId="77777777" w:rsidR="00F96DED" w:rsidRDefault="00F96DED" w:rsidP="00BC266C">
            <w:pPr>
              <w:rPr>
                <w:sz w:val="22"/>
                <w:szCs w:val="22"/>
              </w:rPr>
            </w:pPr>
          </w:p>
          <w:p w14:paraId="50DB2A8E" w14:textId="279BDCFA" w:rsidR="00F96DED" w:rsidRPr="00F96DED" w:rsidRDefault="00F96DED" w:rsidP="00F96DED">
            <w:pPr>
              <w:rPr>
                <w:sz w:val="22"/>
                <w:szCs w:val="22"/>
              </w:rPr>
            </w:pPr>
            <w:r w:rsidRPr="00F96DED">
              <w:rPr>
                <w:sz w:val="22"/>
                <w:szCs w:val="22"/>
              </w:rPr>
              <w:t>2.2.2 Application of the matching rules must be done in a technically feasible and commercially viable manner</w:t>
            </w:r>
            <w:r>
              <w:rPr>
                <w:sz w:val="22"/>
                <w:szCs w:val="22"/>
              </w:rPr>
              <w:t>.</w:t>
            </w:r>
          </w:p>
          <w:p w14:paraId="45C41AD3" w14:textId="77777777" w:rsidR="00F96DED" w:rsidRDefault="00F96DED" w:rsidP="00BC266C">
            <w:pPr>
              <w:rPr>
                <w:sz w:val="22"/>
                <w:szCs w:val="22"/>
              </w:rPr>
            </w:pPr>
          </w:p>
          <w:p w14:paraId="4CD17A3B" w14:textId="77777777" w:rsidR="00F96DED" w:rsidRPr="00F96DED" w:rsidRDefault="00F96DED" w:rsidP="00F96DED">
            <w:pPr>
              <w:rPr>
                <w:sz w:val="22"/>
                <w:szCs w:val="22"/>
              </w:rPr>
            </w:pPr>
            <w:r w:rsidRPr="00F96DED">
              <w:rPr>
                <w:sz w:val="22"/>
                <w:szCs w:val="22"/>
              </w:rPr>
              <w:t xml:space="preserve">2.2.3 The approach adopted should provide value for the cost. </w:t>
            </w:r>
          </w:p>
          <w:p w14:paraId="2179395E" w14:textId="77777777" w:rsidR="00F96DED" w:rsidRDefault="00F96DED" w:rsidP="00BC266C">
            <w:pPr>
              <w:rPr>
                <w:sz w:val="22"/>
                <w:szCs w:val="22"/>
              </w:rPr>
            </w:pPr>
          </w:p>
          <w:p w14:paraId="280E6300" w14:textId="1885757B" w:rsidR="00F96DED" w:rsidRDefault="00F96DED" w:rsidP="00BC266C">
            <w:pPr>
              <w:rPr>
                <w:sz w:val="22"/>
                <w:szCs w:val="22"/>
              </w:rPr>
            </w:pPr>
            <w:r w:rsidRPr="00F96DED">
              <w:rPr>
                <w:sz w:val="22"/>
                <w:szCs w:val="22"/>
              </w:rPr>
              <w:t xml:space="preserve">2.2.4 Application of the matching rules must protect trademark rights as agreed during the community development of the Clearinghouse processes, without either unduly expanding or limiting the scope of verified rights. </w:t>
            </w:r>
          </w:p>
          <w:p w14:paraId="7DC3D664" w14:textId="77777777" w:rsidR="005304AD" w:rsidRDefault="005304AD" w:rsidP="00BC266C">
            <w:pPr>
              <w:rPr>
                <w:sz w:val="22"/>
                <w:szCs w:val="22"/>
              </w:rPr>
            </w:pPr>
          </w:p>
          <w:p w14:paraId="5D04BE20" w14:textId="77777777" w:rsidR="005304AD" w:rsidRPr="009A6DAE" w:rsidRDefault="005304AD" w:rsidP="00BC266C">
            <w:pPr>
              <w:rPr>
                <w:b/>
                <w:sz w:val="22"/>
                <w:szCs w:val="22"/>
              </w:rPr>
            </w:pPr>
            <w:r w:rsidRPr="009A6DAE">
              <w:rPr>
                <w:b/>
                <w:sz w:val="22"/>
                <w:szCs w:val="22"/>
              </w:rPr>
              <w:t>TMCH Guidelines:</w:t>
            </w:r>
          </w:p>
          <w:p w14:paraId="76DF6163" w14:textId="329DB773" w:rsidR="005304AD" w:rsidRPr="005304AD" w:rsidRDefault="005304AD" w:rsidP="005304AD">
            <w:pPr>
              <w:rPr>
                <w:sz w:val="22"/>
                <w:szCs w:val="22"/>
              </w:rPr>
            </w:pPr>
            <w:r>
              <w:rPr>
                <w:sz w:val="22"/>
                <w:szCs w:val="22"/>
              </w:rPr>
              <w:t xml:space="preserve">4.2 </w:t>
            </w:r>
            <w:r w:rsidRPr="005304AD">
              <w:rPr>
                <w:sz w:val="22"/>
                <w:szCs w:val="22"/>
              </w:rPr>
              <w:t>For purposes of the trademark claims and sunrise services, “Identi</w:t>
            </w:r>
            <w:r>
              <w:rPr>
                <w:sz w:val="22"/>
                <w:szCs w:val="22"/>
              </w:rPr>
              <w:t xml:space="preserve">cal Match” means that a domain </w:t>
            </w:r>
            <w:r w:rsidRPr="005304AD">
              <w:rPr>
                <w:sz w:val="22"/>
                <w:szCs w:val="22"/>
              </w:rPr>
              <w:t xml:space="preserve">name label is an identical match to the </w:t>
            </w:r>
            <w:r w:rsidRPr="005304AD">
              <w:rPr>
                <w:sz w:val="22"/>
                <w:szCs w:val="22"/>
              </w:rPr>
              <w:lastRenderedPageBreak/>
              <w:t xml:space="preserve">trademark, meaning that the label must consist </w:t>
            </w:r>
          </w:p>
          <w:p w14:paraId="19FEBEF3" w14:textId="7E8EAA71" w:rsidR="005304AD" w:rsidRDefault="005304AD" w:rsidP="005304AD">
            <w:pPr>
              <w:rPr>
                <w:sz w:val="22"/>
                <w:szCs w:val="22"/>
              </w:rPr>
            </w:pPr>
            <w:r w:rsidRPr="005304AD">
              <w:rPr>
                <w:sz w:val="22"/>
                <w:szCs w:val="22"/>
              </w:rPr>
              <w:t>of the complete and identical textual elements of the trademark</w:t>
            </w:r>
            <w:r>
              <w:rPr>
                <w:sz w:val="22"/>
                <w:szCs w:val="22"/>
              </w:rPr>
              <w:t xml:space="preserve"> …</w:t>
            </w:r>
          </w:p>
          <w:p w14:paraId="422DBD18" w14:textId="77777777" w:rsidR="005304AD" w:rsidRDefault="005304AD" w:rsidP="005304AD">
            <w:pPr>
              <w:rPr>
                <w:sz w:val="22"/>
                <w:szCs w:val="22"/>
              </w:rPr>
            </w:pPr>
          </w:p>
          <w:p w14:paraId="0491E966" w14:textId="75E99E49" w:rsidR="00C9790C" w:rsidRPr="00C9790C" w:rsidRDefault="00C9790C" w:rsidP="00C9790C">
            <w:pPr>
              <w:rPr>
                <w:sz w:val="22"/>
                <w:szCs w:val="22"/>
              </w:rPr>
            </w:pPr>
            <w:r>
              <w:rPr>
                <w:sz w:val="22"/>
                <w:szCs w:val="22"/>
              </w:rPr>
              <w:t xml:space="preserve">4.3 </w:t>
            </w:r>
            <w:r w:rsidRPr="00C9790C">
              <w:rPr>
                <w:sz w:val="22"/>
                <w:szCs w:val="22"/>
              </w:rPr>
              <w:t xml:space="preserve">When a Trademark contains a special character that cannot be </w:t>
            </w:r>
            <w:r>
              <w:rPr>
                <w:sz w:val="22"/>
                <w:szCs w:val="22"/>
              </w:rPr>
              <w:t xml:space="preserve">represented in a domain name </w:t>
            </w:r>
            <w:r w:rsidRPr="00C9790C">
              <w:rPr>
                <w:sz w:val="22"/>
                <w:szCs w:val="22"/>
              </w:rPr>
              <w:t xml:space="preserve">label, the following rules will apply: </w:t>
            </w:r>
          </w:p>
          <w:p w14:paraId="77B0E4BD" w14:textId="3EF98FD0" w:rsidR="00C9790C" w:rsidRPr="00C9790C" w:rsidRDefault="00C9790C" w:rsidP="00C9790C">
            <w:pPr>
              <w:pStyle w:val="ListParagraph"/>
              <w:numPr>
                <w:ilvl w:val="0"/>
                <w:numId w:val="18"/>
              </w:numPr>
              <w:rPr>
                <w:sz w:val="22"/>
                <w:szCs w:val="22"/>
              </w:rPr>
            </w:pPr>
            <w:r w:rsidRPr="00C9790C">
              <w:rPr>
                <w:sz w:val="22"/>
                <w:szCs w:val="22"/>
              </w:rPr>
              <w:t>Special characters contained within a Trademark that are unable to be used in a domain name label may be either: (</w:t>
            </w:r>
            <w:proofErr w:type="spellStart"/>
            <w:r w:rsidRPr="00C9790C">
              <w:rPr>
                <w:sz w:val="22"/>
                <w:szCs w:val="22"/>
              </w:rPr>
              <w:t>i</w:t>
            </w:r>
            <w:proofErr w:type="spellEnd"/>
            <w:r w:rsidRPr="00C9790C">
              <w:rPr>
                <w:sz w:val="22"/>
                <w:szCs w:val="22"/>
              </w:rPr>
              <w:t xml:space="preserve">) omitted; or (ii) replaced by hyphens. </w:t>
            </w:r>
          </w:p>
          <w:p w14:paraId="48B63A8C" w14:textId="14F769D7" w:rsidR="00C9790C" w:rsidRPr="00C9790C" w:rsidRDefault="00C9790C" w:rsidP="00C9790C">
            <w:pPr>
              <w:pStyle w:val="ListParagraph"/>
              <w:numPr>
                <w:ilvl w:val="0"/>
                <w:numId w:val="18"/>
              </w:numPr>
              <w:rPr>
                <w:sz w:val="22"/>
                <w:szCs w:val="22"/>
              </w:rPr>
            </w:pPr>
            <w:r w:rsidRPr="00C9790C">
              <w:rPr>
                <w:sz w:val="22"/>
                <w:szCs w:val="22"/>
              </w:rPr>
              <w:t xml:space="preserve">In addition, special characters “@” and “&amp;” contained within a Trademark may be spelled out with appropriate words of the official language(s) of the country/jurisdiction in which the mark is protected. However, in accordance with </w:t>
            </w:r>
            <w:r w:rsidRPr="00C9790C">
              <w:rPr>
                <w:sz w:val="22"/>
                <w:szCs w:val="22"/>
              </w:rPr>
              <w:lastRenderedPageBreak/>
              <w:t>the ICANN IDN Guidelines, labels with mixed scripts will not be generated.</w:t>
            </w:r>
          </w:p>
          <w:p w14:paraId="6FBC07ED" w14:textId="21BF91A1" w:rsidR="005304AD" w:rsidRDefault="005304AD" w:rsidP="005304AD">
            <w:pPr>
              <w:rPr>
                <w:sz w:val="22"/>
                <w:szCs w:val="22"/>
              </w:rPr>
            </w:pPr>
          </w:p>
          <w:p w14:paraId="08446323" w14:textId="429BFB79" w:rsidR="003E706B" w:rsidRPr="00BC266C" w:rsidRDefault="003E706B" w:rsidP="005304AD">
            <w:pPr>
              <w:rPr>
                <w:sz w:val="22"/>
                <w:szCs w:val="22"/>
              </w:rPr>
            </w:pPr>
            <w:r>
              <w:rPr>
                <w:sz w:val="22"/>
                <w:szCs w:val="22"/>
              </w:rPr>
              <w:t xml:space="preserve">NOTE: Labels </w:t>
            </w:r>
            <w:proofErr w:type="gramStart"/>
            <w:r>
              <w:rPr>
                <w:sz w:val="22"/>
                <w:szCs w:val="22"/>
              </w:rPr>
              <w:t>have to</w:t>
            </w:r>
            <w:proofErr w:type="gramEnd"/>
            <w:r>
              <w:rPr>
                <w:sz w:val="22"/>
                <w:szCs w:val="22"/>
              </w:rPr>
              <w:t xml:space="preserve"> be added manually to the relevant TMCH record.</w:t>
            </w:r>
          </w:p>
          <w:p w14:paraId="2FD7413D" w14:textId="108FB4FB" w:rsidR="00CE64A0" w:rsidRPr="00CE64A0" w:rsidRDefault="00CE64A0" w:rsidP="00FE7014">
            <w:pPr>
              <w:rPr>
                <w:sz w:val="22"/>
                <w:szCs w:val="22"/>
              </w:rPr>
            </w:pPr>
          </w:p>
        </w:tc>
        <w:tc>
          <w:tcPr>
            <w:tcW w:w="2567" w:type="dxa"/>
          </w:tcPr>
          <w:p w14:paraId="66B93005" w14:textId="77777777" w:rsidR="00BA7973" w:rsidRPr="00101BF9" w:rsidRDefault="00A248A0" w:rsidP="00FE7014">
            <w:pPr>
              <w:rPr>
                <w:sz w:val="22"/>
                <w:szCs w:val="22"/>
              </w:rPr>
            </w:pPr>
            <w:r w:rsidRPr="00101BF9">
              <w:rPr>
                <w:sz w:val="22"/>
                <w:szCs w:val="22"/>
              </w:rPr>
              <w:lastRenderedPageBreak/>
              <w:t>No follow up needed with Deloitte; WG to discuss further</w:t>
            </w:r>
            <w:r w:rsidR="002C47AE" w:rsidRPr="00101BF9">
              <w:rPr>
                <w:sz w:val="22"/>
                <w:szCs w:val="22"/>
              </w:rPr>
              <w:t>.</w:t>
            </w:r>
          </w:p>
          <w:p w14:paraId="0C2462C6" w14:textId="77777777" w:rsidR="00712C1C" w:rsidRPr="00101BF9" w:rsidRDefault="00712C1C" w:rsidP="00FE7014">
            <w:pPr>
              <w:rPr>
                <w:sz w:val="22"/>
                <w:szCs w:val="22"/>
              </w:rPr>
            </w:pPr>
          </w:p>
          <w:p w14:paraId="6FEE9082" w14:textId="21045175" w:rsidR="00712C1C" w:rsidRPr="00101BF9" w:rsidRDefault="00712C1C" w:rsidP="00712C1C">
            <w:pPr>
              <w:rPr>
                <w:sz w:val="22"/>
                <w:szCs w:val="22"/>
              </w:rPr>
            </w:pPr>
          </w:p>
        </w:tc>
      </w:tr>
      <w:tr w:rsidR="00710022" w:rsidRPr="00101BF9" w14:paraId="52D9F4DB" w14:textId="77777777" w:rsidTr="00710022">
        <w:trPr>
          <w:trHeight w:val="269"/>
        </w:trPr>
        <w:tc>
          <w:tcPr>
            <w:tcW w:w="2458" w:type="dxa"/>
          </w:tcPr>
          <w:p w14:paraId="37195755" w14:textId="5CF02447" w:rsidR="00BA7973" w:rsidRPr="006024EB" w:rsidRDefault="00BA7973" w:rsidP="00F87D44">
            <w:pPr>
              <w:pStyle w:val="ListParagraph"/>
              <w:numPr>
                <w:ilvl w:val="0"/>
                <w:numId w:val="17"/>
              </w:numPr>
              <w:rPr>
                <w:sz w:val="22"/>
                <w:szCs w:val="22"/>
              </w:rPr>
            </w:pPr>
            <w:r w:rsidRPr="006024EB">
              <w:rPr>
                <w:sz w:val="22"/>
                <w:szCs w:val="22"/>
              </w:rPr>
              <w:lastRenderedPageBreak/>
              <w:t xml:space="preserve">Should the scope of the </w:t>
            </w:r>
            <w:r w:rsidRPr="006024EB">
              <w:rPr>
                <w:b/>
                <w:bCs/>
                <w:sz w:val="22"/>
                <w:szCs w:val="22"/>
              </w:rPr>
              <w:t>RPMs associated with the</w:t>
            </w:r>
            <w:r w:rsidRPr="006024EB">
              <w:rPr>
                <w:sz w:val="22"/>
                <w:szCs w:val="22"/>
              </w:rPr>
              <w:t xml:space="preserve"> TMCH be limited to apply only to </w:t>
            </w:r>
            <w:r w:rsidRPr="006024EB">
              <w:rPr>
                <w:b/>
                <w:bCs/>
                <w:sz w:val="22"/>
                <w:szCs w:val="22"/>
              </w:rPr>
              <w:t>TLDs that are related to</w:t>
            </w:r>
            <w:r w:rsidRPr="006024EB">
              <w:rPr>
                <w:sz w:val="22"/>
                <w:szCs w:val="22"/>
              </w:rPr>
              <w:t xml:space="preserve"> the categories of goods and services in which the dictionary term(s) within a trademark are protected?</w:t>
            </w:r>
          </w:p>
          <w:p w14:paraId="623825F4" w14:textId="77777777" w:rsidR="00BA7973" w:rsidRPr="00101BF9" w:rsidRDefault="00BA7973" w:rsidP="00F87D44">
            <w:pPr>
              <w:rPr>
                <w:sz w:val="22"/>
                <w:szCs w:val="22"/>
              </w:rPr>
            </w:pPr>
          </w:p>
        </w:tc>
        <w:tc>
          <w:tcPr>
            <w:tcW w:w="2609" w:type="dxa"/>
          </w:tcPr>
          <w:p w14:paraId="537E3DE3" w14:textId="2C11FB1E" w:rsidR="00BA7973" w:rsidRDefault="00BB74C8" w:rsidP="00FE7014">
            <w:pPr>
              <w:rPr>
                <w:sz w:val="22"/>
                <w:szCs w:val="22"/>
              </w:rPr>
            </w:pPr>
            <w:r w:rsidRPr="00BB74C8">
              <w:rPr>
                <w:sz w:val="22"/>
                <w:szCs w:val="22"/>
                <w:u w:val="single"/>
              </w:rPr>
              <w:t>5.1 TM Claims or Sunrise</w:t>
            </w:r>
            <w:r>
              <w:rPr>
                <w:rStyle w:val="FootnoteReference"/>
                <w:sz w:val="22"/>
                <w:szCs w:val="22"/>
                <w:u w:val="single"/>
              </w:rPr>
              <w:footnoteReference w:id="6"/>
            </w:r>
            <w:r>
              <w:rPr>
                <w:sz w:val="22"/>
                <w:szCs w:val="22"/>
              </w:rPr>
              <w:t>:</w:t>
            </w:r>
          </w:p>
          <w:p w14:paraId="34B88752" w14:textId="7E6B9C24" w:rsidR="00BB74C8" w:rsidRDefault="00BB74C8" w:rsidP="00BB74C8">
            <w:pPr>
              <w:rPr>
                <w:sz w:val="22"/>
                <w:szCs w:val="22"/>
              </w:rPr>
            </w:pPr>
            <w:r w:rsidRPr="00BB74C8">
              <w:rPr>
                <w:sz w:val="22"/>
                <w:szCs w:val="22"/>
              </w:rPr>
              <w:t xml:space="preserve">All new </w:t>
            </w:r>
            <w:proofErr w:type="spellStart"/>
            <w:r w:rsidRPr="00BB74C8">
              <w:rPr>
                <w:sz w:val="22"/>
                <w:szCs w:val="22"/>
              </w:rPr>
              <w:t>gTLD</w:t>
            </w:r>
            <w:proofErr w:type="spellEnd"/>
            <w:r w:rsidRPr="00BB74C8">
              <w:rPr>
                <w:sz w:val="22"/>
                <w:szCs w:val="22"/>
              </w:rPr>
              <w:t xml:space="preserve"> registries should be required to use the TC to support its pre-launch rights protection mechanisms (RPMs) that should, at a minimum, consist of a TM Claims process or </w:t>
            </w:r>
            <w:r w:rsidRPr="00BB74C8">
              <w:rPr>
                <w:sz w:val="22"/>
                <w:szCs w:val="22"/>
                <w:lang w:val="en-GB"/>
              </w:rPr>
              <w:t xml:space="preserve">a sunrise process that meets the minimum standards and sunrise challenge grounds as specified in the IRT Report, except </w:t>
            </w:r>
            <w:r w:rsidRPr="00BB74C8">
              <w:rPr>
                <w:sz w:val="22"/>
                <w:szCs w:val="22"/>
              </w:rPr>
              <w:t>to the extent that a registry elects not to extend sunrise protection for certain trade</w:t>
            </w:r>
            <w:r w:rsidR="0089452E">
              <w:rPr>
                <w:sz w:val="22"/>
                <w:szCs w:val="22"/>
              </w:rPr>
              <w:t>marks as described in 5.2 below</w:t>
            </w:r>
            <w:r w:rsidRPr="00BB74C8">
              <w:rPr>
                <w:sz w:val="22"/>
                <w:szCs w:val="22"/>
              </w:rPr>
              <w:t xml:space="preserve">.  There is no requirement that a registry adopt </w:t>
            </w:r>
            <w:proofErr w:type="gramStart"/>
            <w:r w:rsidRPr="00BB74C8">
              <w:rPr>
                <w:sz w:val="22"/>
                <w:szCs w:val="22"/>
              </w:rPr>
              <w:t>both of these</w:t>
            </w:r>
            <w:proofErr w:type="gramEnd"/>
            <w:r w:rsidRPr="00BB74C8">
              <w:rPr>
                <w:sz w:val="22"/>
                <w:szCs w:val="22"/>
              </w:rPr>
              <w:t xml:space="preserve"> RPMs. </w:t>
            </w:r>
          </w:p>
          <w:p w14:paraId="67B79F2A" w14:textId="77777777" w:rsidR="00BB74C8" w:rsidRDefault="00BB74C8" w:rsidP="00BB74C8">
            <w:pPr>
              <w:rPr>
                <w:sz w:val="22"/>
                <w:szCs w:val="22"/>
              </w:rPr>
            </w:pPr>
          </w:p>
          <w:p w14:paraId="2F6EAE50" w14:textId="1FBA75CD" w:rsidR="00BB74C8" w:rsidRPr="00BB74C8" w:rsidRDefault="00BB74C8" w:rsidP="00BB74C8">
            <w:pPr>
              <w:rPr>
                <w:sz w:val="22"/>
                <w:szCs w:val="22"/>
                <w:u w:val="single"/>
              </w:rPr>
            </w:pPr>
            <w:r w:rsidRPr="00BB74C8">
              <w:rPr>
                <w:sz w:val="22"/>
                <w:szCs w:val="22"/>
                <w:u w:val="single"/>
              </w:rPr>
              <w:t>5.2: Protection for all TMs in the TC</w:t>
            </w:r>
            <w:r>
              <w:rPr>
                <w:rStyle w:val="FootnoteReference"/>
                <w:sz w:val="22"/>
                <w:szCs w:val="22"/>
                <w:u w:val="single"/>
              </w:rPr>
              <w:footnoteReference w:id="7"/>
            </w:r>
          </w:p>
          <w:p w14:paraId="4ACB9E07" w14:textId="41E981CE" w:rsidR="00BB74C8" w:rsidRPr="00BB74C8" w:rsidRDefault="00BB74C8" w:rsidP="00BB74C8">
            <w:pPr>
              <w:rPr>
                <w:sz w:val="22"/>
                <w:szCs w:val="22"/>
              </w:rPr>
            </w:pPr>
            <w:r w:rsidRPr="00BB74C8">
              <w:rPr>
                <w:sz w:val="22"/>
                <w:szCs w:val="22"/>
              </w:rPr>
              <w:t xml:space="preserve">New </w:t>
            </w:r>
            <w:proofErr w:type="spellStart"/>
            <w:r w:rsidRPr="00BB74C8">
              <w:rPr>
                <w:sz w:val="22"/>
                <w:szCs w:val="22"/>
              </w:rPr>
              <w:t>gTLD</w:t>
            </w:r>
            <w:proofErr w:type="spellEnd"/>
            <w:r w:rsidRPr="00BB74C8">
              <w:rPr>
                <w:sz w:val="22"/>
                <w:szCs w:val="22"/>
              </w:rPr>
              <w:t xml:space="preserve"> registries should provide equal protection to all tradem</w:t>
            </w:r>
            <w:r w:rsidR="0089452E">
              <w:rPr>
                <w:sz w:val="22"/>
                <w:szCs w:val="22"/>
              </w:rPr>
              <w:t xml:space="preserve">arks in the TC for their RPMs, </w:t>
            </w:r>
            <w:r w:rsidRPr="00BB74C8">
              <w:rPr>
                <w:sz w:val="22"/>
                <w:szCs w:val="22"/>
              </w:rPr>
              <w:t>except as follows:</w:t>
            </w:r>
          </w:p>
          <w:p w14:paraId="4137D1B2" w14:textId="77777777" w:rsidR="00BB74C8" w:rsidRDefault="00BB74C8" w:rsidP="00BB74C8">
            <w:pPr>
              <w:numPr>
                <w:ilvl w:val="0"/>
                <w:numId w:val="20"/>
              </w:numPr>
              <w:rPr>
                <w:sz w:val="22"/>
                <w:szCs w:val="22"/>
                <w:lang w:val="en-GB"/>
              </w:rPr>
            </w:pPr>
            <w:r w:rsidRPr="00BB74C8">
              <w:rPr>
                <w:sz w:val="22"/>
                <w:szCs w:val="22"/>
                <w:lang w:val="en-GB"/>
              </w:rPr>
              <w:t xml:space="preserve">Inclusion of a trademark in the Trademark Clearinghouse from a country where there is no substantive review does not necessarily mean that a new </w:t>
            </w:r>
            <w:proofErr w:type="spellStart"/>
            <w:r w:rsidRPr="00BB74C8">
              <w:rPr>
                <w:sz w:val="22"/>
                <w:szCs w:val="22"/>
                <w:lang w:val="en-GB"/>
              </w:rPr>
              <w:t>gTLD</w:t>
            </w:r>
            <w:proofErr w:type="spellEnd"/>
            <w:r w:rsidRPr="00BB74C8">
              <w:rPr>
                <w:sz w:val="22"/>
                <w:szCs w:val="22"/>
                <w:lang w:val="en-GB"/>
              </w:rPr>
              <w:t xml:space="preserve"> Registry must include those trademarks in a Sunrise or IP Claims Process; or</w:t>
            </w:r>
          </w:p>
          <w:p w14:paraId="6A21AE96" w14:textId="1574730E" w:rsidR="00BB74C8" w:rsidRPr="00BB74C8" w:rsidRDefault="00BB74C8" w:rsidP="00BB74C8">
            <w:pPr>
              <w:numPr>
                <w:ilvl w:val="0"/>
                <w:numId w:val="20"/>
              </w:numPr>
              <w:rPr>
                <w:sz w:val="22"/>
                <w:szCs w:val="22"/>
                <w:lang w:val="en-GB"/>
              </w:rPr>
            </w:pPr>
            <w:r w:rsidRPr="00BB74C8">
              <w:rPr>
                <w:sz w:val="22"/>
                <w:szCs w:val="22"/>
              </w:rPr>
              <w:t xml:space="preserve">Registries shall have discretion to decide whether to grant protections to trademarks in the TC. ICANN could allow specialized </w:t>
            </w:r>
            <w:proofErr w:type="spellStart"/>
            <w:r w:rsidRPr="00BB74C8">
              <w:rPr>
                <w:sz w:val="22"/>
                <w:szCs w:val="22"/>
              </w:rPr>
              <w:t>gTLDs</w:t>
            </w:r>
            <w:proofErr w:type="spellEnd"/>
            <w:r w:rsidRPr="00BB74C8">
              <w:rPr>
                <w:sz w:val="22"/>
                <w:szCs w:val="22"/>
              </w:rPr>
              <w:t xml:space="preserve"> </w:t>
            </w:r>
            <w:r w:rsidRPr="00BB74C8">
              <w:rPr>
                <w:sz w:val="22"/>
                <w:szCs w:val="22"/>
              </w:rPr>
              <w:lastRenderedPageBreak/>
              <w:t>to restrict eligibility for sunrise registrations to fit the purpose of the registry as described in the charter.</w:t>
            </w:r>
          </w:p>
          <w:p w14:paraId="1F14E5D2" w14:textId="7133C536" w:rsidR="00BB74C8" w:rsidRPr="00101BF9" w:rsidRDefault="00BB74C8" w:rsidP="00BB74C8">
            <w:pPr>
              <w:rPr>
                <w:sz w:val="22"/>
                <w:szCs w:val="22"/>
              </w:rPr>
            </w:pPr>
          </w:p>
        </w:tc>
        <w:tc>
          <w:tcPr>
            <w:tcW w:w="2656" w:type="dxa"/>
          </w:tcPr>
          <w:p w14:paraId="1C5ED835" w14:textId="77777777" w:rsidR="004C0E2C" w:rsidRPr="004C0E2C" w:rsidRDefault="004C0E2C" w:rsidP="004C0E2C">
            <w:pPr>
              <w:rPr>
                <w:sz w:val="22"/>
                <w:szCs w:val="22"/>
              </w:rPr>
            </w:pPr>
            <w:r w:rsidRPr="004C0E2C">
              <w:rPr>
                <w:sz w:val="22"/>
                <w:szCs w:val="22"/>
              </w:rPr>
              <w:lastRenderedPageBreak/>
              <w:t xml:space="preserve">All new </w:t>
            </w:r>
            <w:proofErr w:type="spellStart"/>
            <w:r w:rsidRPr="004C0E2C">
              <w:rPr>
                <w:sz w:val="22"/>
                <w:szCs w:val="22"/>
              </w:rPr>
              <w:t>gTLD</w:t>
            </w:r>
            <w:proofErr w:type="spellEnd"/>
            <w:r w:rsidRPr="004C0E2C">
              <w:rPr>
                <w:sz w:val="22"/>
                <w:szCs w:val="22"/>
              </w:rPr>
              <w:t xml:space="preserve"> registries will be required to use the Trademark Clearinghouse to support its pre- launch or initial launch period rights protection mechanisms (RPMs). These RPMs, at a minimum, must consist of a Trademark Claims service and a Sunrise process.</w:t>
            </w:r>
          </w:p>
          <w:p w14:paraId="3CF8C45C" w14:textId="77777777" w:rsidR="00BA7973" w:rsidRPr="00101BF9" w:rsidRDefault="00BA7973" w:rsidP="00230F63">
            <w:pPr>
              <w:rPr>
                <w:sz w:val="22"/>
                <w:szCs w:val="22"/>
              </w:rPr>
            </w:pPr>
          </w:p>
        </w:tc>
        <w:tc>
          <w:tcPr>
            <w:tcW w:w="2660" w:type="dxa"/>
          </w:tcPr>
          <w:p w14:paraId="2E91D910" w14:textId="193741F8" w:rsidR="008005A9" w:rsidRPr="00101BF9" w:rsidRDefault="008005A9" w:rsidP="00230F63">
            <w:pPr>
              <w:pStyle w:val="ListParagraph"/>
              <w:ind w:left="360"/>
              <w:rPr>
                <w:sz w:val="22"/>
                <w:szCs w:val="22"/>
              </w:rPr>
            </w:pPr>
          </w:p>
        </w:tc>
        <w:tc>
          <w:tcPr>
            <w:tcW w:w="2567" w:type="dxa"/>
          </w:tcPr>
          <w:p w14:paraId="2C40F3E9" w14:textId="15D8D685" w:rsidR="00BA7973" w:rsidRPr="00101BF9" w:rsidRDefault="00A248A0" w:rsidP="00FE7014">
            <w:pPr>
              <w:rPr>
                <w:sz w:val="22"/>
                <w:szCs w:val="22"/>
              </w:rPr>
            </w:pPr>
            <w:r w:rsidRPr="00101BF9">
              <w:rPr>
                <w:sz w:val="22"/>
                <w:szCs w:val="22"/>
              </w:rPr>
              <w:t>No follow up needed with Deloitte; WG to discuss further</w:t>
            </w:r>
            <w:r w:rsidR="002C47AE" w:rsidRPr="00101BF9">
              <w:rPr>
                <w:sz w:val="22"/>
                <w:szCs w:val="22"/>
              </w:rPr>
              <w:t>.</w:t>
            </w:r>
          </w:p>
        </w:tc>
      </w:tr>
    </w:tbl>
    <w:p w14:paraId="3F42D188" w14:textId="2933A801" w:rsidR="00050A41" w:rsidRPr="00101BF9" w:rsidRDefault="00050A41">
      <w:pPr>
        <w:rPr>
          <w:sz w:val="22"/>
          <w:szCs w:val="22"/>
        </w:rPr>
      </w:pPr>
    </w:p>
    <w:p w14:paraId="40A8F24D" w14:textId="77777777" w:rsidR="00050A41" w:rsidRDefault="00050A41">
      <w:pPr>
        <w:rPr>
          <w:b/>
          <w:sz w:val="22"/>
          <w:szCs w:val="22"/>
        </w:rPr>
      </w:pPr>
    </w:p>
    <w:p w14:paraId="38FBFB8E" w14:textId="77777777" w:rsidR="00CC2700" w:rsidRDefault="00CC2700">
      <w:pPr>
        <w:rPr>
          <w:b/>
          <w:sz w:val="22"/>
          <w:szCs w:val="22"/>
        </w:rPr>
      </w:pPr>
    </w:p>
    <w:p w14:paraId="56594DE0" w14:textId="77777777" w:rsidR="00CC2700" w:rsidRDefault="00CC2700">
      <w:pPr>
        <w:rPr>
          <w:b/>
          <w:sz w:val="22"/>
          <w:szCs w:val="22"/>
        </w:rPr>
      </w:pPr>
      <w:r>
        <w:rPr>
          <w:b/>
          <w:sz w:val="22"/>
          <w:szCs w:val="22"/>
        </w:rPr>
        <w:t>GENERAL NOTE:</w:t>
      </w:r>
    </w:p>
    <w:p w14:paraId="3B72AA4C" w14:textId="77777777" w:rsidR="00CC2700" w:rsidRDefault="00CC2700">
      <w:pPr>
        <w:rPr>
          <w:b/>
          <w:sz w:val="22"/>
          <w:szCs w:val="22"/>
        </w:rPr>
      </w:pPr>
    </w:p>
    <w:p w14:paraId="3B3EC271" w14:textId="767DEC14" w:rsidR="00CC2700" w:rsidRPr="00310C40" w:rsidRDefault="00CC2700">
      <w:pPr>
        <w:rPr>
          <w:b/>
          <w:sz w:val="22"/>
          <w:szCs w:val="22"/>
        </w:rPr>
      </w:pPr>
      <w:r>
        <w:rPr>
          <w:b/>
          <w:sz w:val="22"/>
          <w:szCs w:val="22"/>
        </w:rPr>
        <w:t xml:space="preserve">From the Applicant Guidebook </w:t>
      </w:r>
      <w:r w:rsidR="00310C40">
        <w:rPr>
          <w:b/>
          <w:sz w:val="22"/>
          <w:szCs w:val="22"/>
        </w:rPr>
        <w:t>–</w:t>
      </w:r>
      <w:bookmarkStart w:id="0" w:name="_GoBack"/>
      <w:bookmarkEnd w:id="0"/>
      <w:r>
        <w:rPr>
          <w:b/>
          <w:sz w:val="22"/>
          <w:szCs w:val="22"/>
        </w:rPr>
        <w:br/>
      </w:r>
      <w:r w:rsidRPr="00CC2700">
        <w:rPr>
          <w:sz w:val="22"/>
          <w:szCs w:val="22"/>
        </w:rPr>
        <w:t>1.5: [TMCH] functions will be performed in accordance with a limited charter, and will not have any discretionary powers other than what will be set out in the charter with respect to authentication and validation. The Clearinghouse administrator(s) cannot create policy. Before material changes are made to the Clearinghouse functions, they will be reviewed through the ICANN public participation model</w:t>
      </w:r>
      <w:r>
        <w:rPr>
          <w:sz w:val="22"/>
          <w:szCs w:val="22"/>
        </w:rPr>
        <w:t>.</w:t>
      </w:r>
    </w:p>
    <w:sectPr w:rsidR="00CC2700" w:rsidRPr="00310C40" w:rsidSect="00F87D44">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F3EFC" w14:textId="77777777" w:rsidR="001D467B" w:rsidRDefault="001D467B" w:rsidP="00BA7973">
      <w:r>
        <w:separator/>
      </w:r>
    </w:p>
  </w:endnote>
  <w:endnote w:type="continuationSeparator" w:id="0">
    <w:p w14:paraId="71962055" w14:textId="77777777" w:rsidR="001D467B" w:rsidRDefault="001D467B" w:rsidP="00BA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B57E" w14:textId="77777777" w:rsidR="00DE2CB1" w:rsidRDefault="009E6D13" w:rsidP="009A6D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14B89" w14:textId="77777777" w:rsidR="00DE2CB1" w:rsidRDefault="001D467B" w:rsidP="00DE2C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C47D" w14:textId="77777777" w:rsidR="009A6DAE" w:rsidRDefault="009A6DAE" w:rsidP="007655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C40">
      <w:rPr>
        <w:rStyle w:val="PageNumber"/>
        <w:noProof/>
      </w:rPr>
      <w:t>1</w:t>
    </w:r>
    <w:r>
      <w:rPr>
        <w:rStyle w:val="PageNumber"/>
      </w:rPr>
      <w:fldChar w:fldCharType="end"/>
    </w:r>
  </w:p>
  <w:p w14:paraId="7EB51DDA" w14:textId="77777777" w:rsidR="00DE2CB1" w:rsidRPr="00230F63" w:rsidRDefault="001D467B" w:rsidP="00DE2C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57BF0" w14:textId="77777777" w:rsidR="001D467B" w:rsidRDefault="001D467B" w:rsidP="00BA7973">
      <w:pPr>
        <w:rPr>
          <w:noProof/>
        </w:rPr>
      </w:pPr>
      <w:r>
        <w:rPr>
          <w:noProof/>
        </w:rPr>
        <w:separator/>
      </w:r>
    </w:p>
  </w:footnote>
  <w:footnote w:type="continuationSeparator" w:id="0">
    <w:p w14:paraId="677AD445" w14:textId="77777777" w:rsidR="001D467B" w:rsidRDefault="001D467B" w:rsidP="00BA7973">
      <w:r>
        <w:continuationSeparator/>
      </w:r>
    </w:p>
  </w:footnote>
  <w:footnote w:id="1">
    <w:p w14:paraId="639E2024" w14:textId="500965E7" w:rsidR="00BB74C8" w:rsidRPr="00310C40" w:rsidRDefault="00BB74C8">
      <w:pPr>
        <w:pStyle w:val="FootnoteText"/>
        <w:rPr>
          <w:sz w:val="20"/>
          <w:szCs w:val="20"/>
        </w:rPr>
      </w:pPr>
      <w:r w:rsidRPr="00310C40">
        <w:rPr>
          <w:rStyle w:val="FootnoteReference"/>
          <w:sz w:val="20"/>
          <w:szCs w:val="20"/>
        </w:rPr>
        <w:footnoteRef/>
      </w:r>
      <w:r w:rsidRPr="00310C40">
        <w:rPr>
          <w:sz w:val="20"/>
          <w:szCs w:val="20"/>
        </w:rPr>
        <w:t xml:space="preserve"> This recommendation </w:t>
      </w:r>
      <w:proofErr w:type="spellStart"/>
      <w:r w:rsidRPr="00310C40">
        <w:rPr>
          <w:sz w:val="20"/>
          <w:szCs w:val="20"/>
        </w:rPr>
        <w:t>achieived</w:t>
      </w:r>
      <w:proofErr w:type="spellEnd"/>
      <w:r w:rsidRPr="00310C40">
        <w:rPr>
          <w:sz w:val="20"/>
          <w:szCs w:val="20"/>
        </w:rPr>
        <w:t xml:space="preserve"> a Rough Consensus among the STI, with the Commercial &amp; Business Users Constituency (BC) submitting a Minority Statement.</w:t>
      </w:r>
    </w:p>
  </w:footnote>
  <w:footnote w:id="2">
    <w:p w14:paraId="04B59608" w14:textId="68ED8423" w:rsidR="00BB74C8" w:rsidRPr="00310C40" w:rsidRDefault="00BB74C8">
      <w:pPr>
        <w:pStyle w:val="FootnoteText"/>
        <w:rPr>
          <w:sz w:val="20"/>
          <w:szCs w:val="20"/>
        </w:rPr>
      </w:pPr>
      <w:r w:rsidRPr="00310C40">
        <w:rPr>
          <w:rStyle w:val="FootnoteReference"/>
          <w:sz w:val="20"/>
          <w:szCs w:val="20"/>
        </w:rPr>
        <w:footnoteRef/>
      </w:r>
      <w:r w:rsidRPr="00310C40">
        <w:rPr>
          <w:sz w:val="20"/>
          <w:szCs w:val="20"/>
        </w:rPr>
        <w:t xml:space="preserve"> This recommendation achieved a Rough Consensus amongst the STI, with the At Large community and the BC each submitting a Minority Statement.</w:t>
      </w:r>
    </w:p>
  </w:footnote>
  <w:footnote w:id="3">
    <w:p w14:paraId="3A9C0322" w14:textId="011049D8" w:rsidR="00BB74C8" w:rsidRPr="00310C40" w:rsidRDefault="00BB74C8">
      <w:pPr>
        <w:pStyle w:val="FootnoteText"/>
        <w:rPr>
          <w:sz w:val="20"/>
          <w:szCs w:val="20"/>
        </w:rPr>
      </w:pPr>
      <w:r w:rsidRPr="00310C40">
        <w:rPr>
          <w:rStyle w:val="FootnoteReference"/>
          <w:sz w:val="20"/>
          <w:szCs w:val="20"/>
        </w:rPr>
        <w:footnoteRef/>
      </w:r>
      <w:r w:rsidRPr="00310C40">
        <w:rPr>
          <w:sz w:val="20"/>
          <w:szCs w:val="20"/>
        </w:rPr>
        <w:t xml:space="preserve"> This recommendation achieved Unanimous Consensus across the STI.</w:t>
      </w:r>
    </w:p>
  </w:footnote>
  <w:footnote w:id="4">
    <w:p w14:paraId="73E868A6" w14:textId="6EFDA594" w:rsidR="00BA7973" w:rsidRPr="00BB74C8" w:rsidRDefault="00BA7973" w:rsidP="00BA7973">
      <w:pPr>
        <w:pStyle w:val="FootnoteText"/>
        <w:snapToGrid w:val="0"/>
        <w:rPr>
          <w:sz w:val="20"/>
          <w:szCs w:val="20"/>
        </w:rPr>
      </w:pPr>
      <w:r w:rsidRPr="00180DFA">
        <w:rPr>
          <w:rStyle w:val="FootnoteReference"/>
          <w:sz w:val="20"/>
          <w:szCs w:val="20"/>
        </w:rPr>
        <w:footnoteRef/>
      </w:r>
      <w:r w:rsidRPr="00180DFA">
        <w:rPr>
          <w:sz w:val="20"/>
          <w:szCs w:val="20"/>
        </w:rPr>
        <w:t xml:space="preserve"> Trademark owners can add up to 50 variations that are </w:t>
      </w:r>
      <w:proofErr w:type="gramStart"/>
      <w:r w:rsidRPr="00180DFA">
        <w:rPr>
          <w:sz w:val="20"/>
          <w:szCs w:val="20"/>
        </w:rPr>
        <w:t>similar to</w:t>
      </w:r>
      <w:proofErr w:type="gramEnd"/>
      <w:r w:rsidRPr="00180DFA">
        <w:rPr>
          <w:sz w:val="20"/>
          <w:szCs w:val="20"/>
        </w:rPr>
        <w:t xml:space="preserve"> each valid submission in the TMCH—within the notification process—provided that the variant of the mark was awarded to the trademark holder in a prior UDRP case.</w:t>
      </w:r>
    </w:p>
  </w:footnote>
  <w:footnote w:id="5">
    <w:p w14:paraId="71452A70" w14:textId="1FACADE8" w:rsidR="00BB74C8" w:rsidRDefault="00BB74C8">
      <w:pPr>
        <w:pStyle w:val="FootnoteText"/>
      </w:pPr>
      <w:r w:rsidRPr="00BB74C8">
        <w:rPr>
          <w:rStyle w:val="FootnoteReference"/>
          <w:sz w:val="20"/>
          <w:szCs w:val="20"/>
        </w:rPr>
        <w:footnoteRef/>
      </w:r>
      <w:r w:rsidRPr="00BB74C8">
        <w:rPr>
          <w:sz w:val="20"/>
          <w:szCs w:val="20"/>
        </w:rPr>
        <w:t xml:space="preserve"> This recommendation achieved a Rough Consensus amongst the STI, with the BC submitting a Minority Statement.</w:t>
      </w:r>
    </w:p>
  </w:footnote>
  <w:footnote w:id="6">
    <w:p w14:paraId="48DB72E8" w14:textId="6C6A71EC" w:rsidR="00BB74C8" w:rsidRPr="00310C40" w:rsidRDefault="00BB74C8">
      <w:pPr>
        <w:pStyle w:val="FootnoteText"/>
        <w:rPr>
          <w:sz w:val="20"/>
          <w:szCs w:val="20"/>
        </w:rPr>
      </w:pPr>
      <w:r w:rsidRPr="00310C40">
        <w:rPr>
          <w:rStyle w:val="FootnoteReference"/>
          <w:sz w:val="20"/>
          <w:szCs w:val="20"/>
        </w:rPr>
        <w:footnoteRef/>
      </w:r>
      <w:r w:rsidRPr="00310C40">
        <w:rPr>
          <w:sz w:val="20"/>
          <w:szCs w:val="20"/>
        </w:rPr>
        <w:t xml:space="preserve"> This recommendation achieved Unanimous Consensus across the STI.</w:t>
      </w:r>
    </w:p>
  </w:footnote>
  <w:footnote w:id="7">
    <w:p w14:paraId="673963E7" w14:textId="77777777" w:rsidR="00BB74C8" w:rsidRPr="00310C40" w:rsidRDefault="00BB74C8" w:rsidP="00BB74C8">
      <w:pPr>
        <w:pStyle w:val="FootnoteText"/>
        <w:rPr>
          <w:sz w:val="20"/>
          <w:szCs w:val="20"/>
        </w:rPr>
      </w:pPr>
      <w:r w:rsidRPr="00310C40">
        <w:rPr>
          <w:rStyle w:val="FootnoteReference"/>
          <w:sz w:val="20"/>
          <w:szCs w:val="20"/>
        </w:rPr>
        <w:footnoteRef/>
      </w:r>
      <w:r w:rsidRPr="00310C40">
        <w:rPr>
          <w:sz w:val="20"/>
          <w:szCs w:val="20"/>
        </w:rPr>
        <w:t xml:space="preserve"> This recommendation achieved Rough Consensus amongst the STI, with the Intellectual Property Constituency filing a Minority Statement.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987"/>
    <w:multiLevelType w:val="hybridMultilevel"/>
    <w:tmpl w:val="81E4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863CD"/>
    <w:multiLevelType w:val="hybridMultilevel"/>
    <w:tmpl w:val="2AF0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643B"/>
    <w:multiLevelType w:val="hybridMultilevel"/>
    <w:tmpl w:val="BB740B4A"/>
    <w:lvl w:ilvl="0" w:tplc="11EA8A80">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C616D"/>
    <w:multiLevelType w:val="hybridMultilevel"/>
    <w:tmpl w:val="B2BE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A6E77"/>
    <w:multiLevelType w:val="hybridMultilevel"/>
    <w:tmpl w:val="CFF0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B1004"/>
    <w:multiLevelType w:val="hybridMultilevel"/>
    <w:tmpl w:val="CBD091A8"/>
    <w:lvl w:ilvl="0" w:tplc="B2C00A6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4369E"/>
    <w:multiLevelType w:val="hybridMultilevel"/>
    <w:tmpl w:val="9D2E8736"/>
    <w:lvl w:ilvl="0" w:tplc="0409000F">
      <w:start w:val="1"/>
      <w:numFmt w:val="decimal"/>
      <w:lvlText w:val="%1."/>
      <w:lvlJc w:val="left"/>
      <w:pPr>
        <w:ind w:left="720" w:hanging="360"/>
      </w:pPr>
    </w:lvl>
    <w:lvl w:ilvl="1" w:tplc="31667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96C77"/>
    <w:multiLevelType w:val="hybridMultilevel"/>
    <w:tmpl w:val="1DFA5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0B5D32"/>
    <w:multiLevelType w:val="hybridMultilevel"/>
    <w:tmpl w:val="3C2E0146"/>
    <w:lvl w:ilvl="0" w:tplc="B2C00A6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11D1E"/>
    <w:multiLevelType w:val="hybridMultilevel"/>
    <w:tmpl w:val="C478BD80"/>
    <w:lvl w:ilvl="0" w:tplc="77FECBD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D11E17"/>
    <w:multiLevelType w:val="hybridMultilevel"/>
    <w:tmpl w:val="D93C8FF4"/>
    <w:lvl w:ilvl="0" w:tplc="B8BECF86">
      <w:start w:val="7"/>
      <w:numFmt w:val="decimal"/>
      <w:lvlText w:val="%1."/>
      <w:lvlJc w:val="left"/>
      <w:pPr>
        <w:ind w:left="360" w:hanging="360"/>
      </w:pPr>
      <w:rPr>
        <w:rFonts w:hint="default"/>
      </w:r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566419"/>
    <w:multiLevelType w:val="hybridMultilevel"/>
    <w:tmpl w:val="6DE8BA60"/>
    <w:lvl w:ilvl="0" w:tplc="CAD4CB38">
      <w:start w:val="17"/>
      <w:numFmt w:val="bullet"/>
      <w:lvlText w:val="-"/>
      <w:lvlJc w:val="left"/>
      <w:pPr>
        <w:ind w:left="360" w:hanging="360"/>
      </w:pPr>
      <w:rPr>
        <w:rFonts w:ascii="Calibri" w:eastAsiaTheme="minorEastAsia"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D84D91"/>
    <w:multiLevelType w:val="hybridMultilevel"/>
    <w:tmpl w:val="92A41ECA"/>
    <w:lvl w:ilvl="0" w:tplc="DF2A0C6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F5AA7"/>
    <w:multiLevelType w:val="hybridMultilevel"/>
    <w:tmpl w:val="4CACC0BC"/>
    <w:lvl w:ilvl="0" w:tplc="5A5CFCE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20A0D"/>
    <w:multiLevelType w:val="hybridMultilevel"/>
    <w:tmpl w:val="D13473DA"/>
    <w:lvl w:ilvl="0" w:tplc="80A825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C76A7"/>
    <w:multiLevelType w:val="hybridMultilevel"/>
    <w:tmpl w:val="7CDEF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463179"/>
    <w:multiLevelType w:val="hybridMultilevel"/>
    <w:tmpl w:val="6376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63D8C"/>
    <w:multiLevelType w:val="hybridMultilevel"/>
    <w:tmpl w:val="6542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6B3994"/>
    <w:multiLevelType w:val="hybridMultilevel"/>
    <w:tmpl w:val="2BEE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EC1248"/>
    <w:multiLevelType w:val="hybridMultilevel"/>
    <w:tmpl w:val="9D74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5"/>
  </w:num>
  <w:num w:numId="4">
    <w:abstractNumId w:val="6"/>
  </w:num>
  <w:num w:numId="5">
    <w:abstractNumId w:val="18"/>
  </w:num>
  <w:num w:numId="6">
    <w:abstractNumId w:val="5"/>
  </w:num>
  <w:num w:numId="7">
    <w:abstractNumId w:val="8"/>
  </w:num>
  <w:num w:numId="8">
    <w:abstractNumId w:val="11"/>
  </w:num>
  <w:num w:numId="9">
    <w:abstractNumId w:val="7"/>
  </w:num>
  <w:num w:numId="10">
    <w:abstractNumId w:val="3"/>
  </w:num>
  <w:num w:numId="11">
    <w:abstractNumId w:val="1"/>
  </w:num>
  <w:num w:numId="12">
    <w:abstractNumId w:val="19"/>
  </w:num>
  <w:num w:numId="13">
    <w:abstractNumId w:val="0"/>
  </w:num>
  <w:num w:numId="14">
    <w:abstractNumId w:val="4"/>
  </w:num>
  <w:num w:numId="15">
    <w:abstractNumId w:val="16"/>
  </w:num>
  <w:num w:numId="16">
    <w:abstractNumId w:val="14"/>
  </w:num>
  <w:num w:numId="17">
    <w:abstractNumId w:val="13"/>
  </w:num>
  <w:num w:numId="18">
    <w:abstractNumId w:val="2"/>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FD"/>
    <w:rsid w:val="00050A41"/>
    <w:rsid w:val="000930F3"/>
    <w:rsid w:val="000944AA"/>
    <w:rsid w:val="000944E6"/>
    <w:rsid w:val="000A2AAC"/>
    <w:rsid w:val="000C6816"/>
    <w:rsid w:val="00101BF9"/>
    <w:rsid w:val="001221AE"/>
    <w:rsid w:val="001346DB"/>
    <w:rsid w:val="00136522"/>
    <w:rsid w:val="001752AB"/>
    <w:rsid w:val="00186F1B"/>
    <w:rsid w:val="001A155B"/>
    <w:rsid w:val="001A5E59"/>
    <w:rsid w:val="001B03DC"/>
    <w:rsid w:val="001D467B"/>
    <w:rsid w:val="00226078"/>
    <w:rsid w:val="00230F63"/>
    <w:rsid w:val="00273632"/>
    <w:rsid w:val="00273856"/>
    <w:rsid w:val="002C47AE"/>
    <w:rsid w:val="002D71A8"/>
    <w:rsid w:val="00300B2C"/>
    <w:rsid w:val="00310C40"/>
    <w:rsid w:val="00314F3E"/>
    <w:rsid w:val="00326516"/>
    <w:rsid w:val="003561CE"/>
    <w:rsid w:val="00392437"/>
    <w:rsid w:val="003C28BA"/>
    <w:rsid w:val="003E706B"/>
    <w:rsid w:val="00402F6A"/>
    <w:rsid w:val="00414CCE"/>
    <w:rsid w:val="00417CD7"/>
    <w:rsid w:val="00420831"/>
    <w:rsid w:val="00435BDF"/>
    <w:rsid w:val="004648EC"/>
    <w:rsid w:val="004C0E2C"/>
    <w:rsid w:val="004E0066"/>
    <w:rsid w:val="005304AD"/>
    <w:rsid w:val="006024EB"/>
    <w:rsid w:val="006F681C"/>
    <w:rsid w:val="006F6CFD"/>
    <w:rsid w:val="00710022"/>
    <w:rsid w:val="00711050"/>
    <w:rsid w:val="00711650"/>
    <w:rsid w:val="00712C1C"/>
    <w:rsid w:val="00733BDF"/>
    <w:rsid w:val="00741E26"/>
    <w:rsid w:val="00742DF5"/>
    <w:rsid w:val="007908A9"/>
    <w:rsid w:val="00796B8F"/>
    <w:rsid w:val="007B2AC8"/>
    <w:rsid w:val="007C03DD"/>
    <w:rsid w:val="008005A9"/>
    <w:rsid w:val="0082758F"/>
    <w:rsid w:val="00857CEA"/>
    <w:rsid w:val="008759AB"/>
    <w:rsid w:val="0089452E"/>
    <w:rsid w:val="00896F4A"/>
    <w:rsid w:val="008E3316"/>
    <w:rsid w:val="009A6DAE"/>
    <w:rsid w:val="009D7ECE"/>
    <w:rsid w:val="009E6D13"/>
    <w:rsid w:val="00A248A0"/>
    <w:rsid w:val="00A800BE"/>
    <w:rsid w:val="00B01FA6"/>
    <w:rsid w:val="00B02F40"/>
    <w:rsid w:val="00B04DDA"/>
    <w:rsid w:val="00B47A82"/>
    <w:rsid w:val="00B6353C"/>
    <w:rsid w:val="00B7434D"/>
    <w:rsid w:val="00BA7973"/>
    <w:rsid w:val="00BB6A49"/>
    <w:rsid w:val="00BB74C8"/>
    <w:rsid w:val="00BC266C"/>
    <w:rsid w:val="00C204F8"/>
    <w:rsid w:val="00C50EB8"/>
    <w:rsid w:val="00C9790C"/>
    <w:rsid w:val="00CC2700"/>
    <w:rsid w:val="00CE64A0"/>
    <w:rsid w:val="00D7026C"/>
    <w:rsid w:val="00DC4E46"/>
    <w:rsid w:val="00DE37FD"/>
    <w:rsid w:val="00DE532A"/>
    <w:rsid w:val="00E22160"/>
    <w:rsid w:val="00E35154"/>
    <w:rsid w:val="00E5512A"/>
    <w:rsid w:val="00E91CC8"/>
    <w:rsid w:val="00EA32E8"/>
    <w:rsid w:val="00EB7F8E"/>
    <w:rsid w:val="00EF59DA"/>
    <w:rsid w:val="00EF7B8B"/>
    <w:rsid w:val="00F051DA"/>
    <w:rsid w:val="00F07ED6"/>
    <w:rsid w:val="00F743F3"/>
    <w:rsid w:val="00F850C0"/>
    <w:rsid w:val="00F87D44"/>
    <w:rsid w:val="00F91B13"/>
    <w:rsid w:val="00F96DED"/>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D8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973"/>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A7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973"/>
    <w:pPr>
      <w:ind w:left="720"/>
      <w:contextualSpacing/>
    </w:pPr>
  </w:style>
  <w:style w:type="paragraph" w:styleId="FootnoteText">
    <w:name w:val="footnote text"/>
    <w:basedOn w:val="Normal"/>
    <w:link w:val="FootnoteTextChar"/>
    <w:uiPriority w:val="99"/>
    <w:unhideWhenUsed/>
    <w:rsid w:val="00BA7973"/>
  </w:style>
  <w:style w:type="character" w:customStyle="1" w:styleId="FootnoteTextChar">
    <w:name w:val="Footnote Text Char"/>
    <w:basedOn w:val="DefaultParagraphFont"/>
    <w:link w:val="FootnoteText"/>
    <w:uiPriority w:val="99"/>
    <w:rsid w:val="00BA7973"/>
  </w:style>
  <w:style w:type="character" w:styleId="FootnoteReference">
    <w:name w:val="footnote reference"/>
    <w:basedOn w:val="DefaultParagraphFont"/>
    <w:unhideWhenUsed/>
    <w:rsid w:val="00BA7973"/>
    <w:rPr>
      <w:vertAlign w:val="superscript"/>
    </w:rPr>
  </w:style>
  <w:style w:type="paragraph" w:styleId="Footer">
    <w:name w:val="footer"/>
    <w:basedOn w:val="Normal"/>
    <w:link w:val="FooterChar"/>
    <w:uiPriority w:val="99"/>
    <w:unhideWhenUsed/>
    <w:rsid w:val="00BA7973"/>
    <w:pPr>
      <w:tabs>
        <w:tab w:val="center" w:pos="4680"/>
        <w:tab w:val="right" w:pos="9360"/>
      </w:tabs>
    </w:pPr>
  </w:style>
  <w:style w:type="character" w:customStyle="1" w:styleId="FooterChar">
    <w:name w:val="Footer Char"/>
    <w:basedOn w:val="DefaultParagraphFont"/>
    <w:link w:val="Footer"/>
    <w:uiPriority w:val="99"/>
    <w:rsid w:val="00BA7973"/>
  </w:style>
  <w:style w:type="character" w:styleId="PageNumber">
    <w:name w:val="page number"/>
    <w:basedOn w:val="DefaultParagraphFont"/>
    <w:uiPriority w:val="99"/>
    <w:semiHidden/>
    <w:unhideWhenUsed/>
    <w:rsid w:val="00BA7973"/>
  </w:style>
  <w:style w:type="paragraph" w:styleId="BalloonText">
    <w:name w:val="Balloon Text"/>
    <w:basedOn w:val="Normal"/>
    <w:link w:val="BalloonTextChar"/>
    <w:uiPriority w:val="99"/>
    <w:semiHidden/>
    <w:unhideWhenUsed/>
    <w:rsid w:val="00B743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34D"/>
    <w:rPr>
      <w:rFonts w:ascii="Times New Roman" w:hAnsi="Times New Roman" w:cs="Times New Roman"/>
      <w:sz w:val="18"/>
      <w:szCs w:val="18"/>
    </w:rPr>
  </w:style>
  <w:style w:type="paragraph" w:styleId="Header">
    <w:name w:val="header"/>
    <w:basedOn w:val="Normal"/>
    <w:link w:val="HeaderChar"/>
    <w:uiPriority w:val="99"/>
    <w:unhideWhenUsed/>
    <w:rsid w:val="00230F63"/>
    <w:pPr>
      <w:tabs>
        <w:tab w:val="center" w:pos="4680"/>
        <w:tab w:val="right" w:pos="9360"/>
      </w:tabs>
    </w:pPr>
  </w:style>
  <w:style w:type="character" w:customStyle="1" w:styleId="HeaderChar">
    <w:name w:val="Header Char"/>
    <w:basedOn w:val="DefaultParagraphFont"/>
    <w:link w:val="Header"/>
    <w:uiPriority w:val="99"/>
    <w:rsid w:val="00230F63"/>
  </w:style>
  <w:style w:type="character" w:styleId="Hyperlink">
    <w:name w:val="Hyperlink"/>
    <w:basedOn w:val="DefaultParagraphFont"/>
    <w:rsid w:val="00BB7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477">
      <w:bodyDiv w:val="1"/>
      <w:marLeft w:val="0"/>
      <w:marRight w:val="0"/>
      <w:marTop w:val="0"/>
      <w:marBottom w:val="0"/>
      <w:divBdr>
        <w:top w:val="none" w:sz="0" w:space="0" w:color="auto"/>
        <w:left w:val="none" w:sz="0" w:space="0" w:color="auto"/>
        <w:bottom w:val="none" w:sz="0" w:space="0" w:color="auto"/>
        <w:right w:val="none" w:sz="0" w:space="0" w:color="auto"/>
      </w:divBdr>
    </w:div>
    <w:div w:id="232544990">
      <w:bodyDiv w:val="1"/>
      <w:marLeft w:val="0"/>
      <w:marRight w:val="0"/>
      <w:marTop w:val="0"/>
      <w:marBottom w:val="0"/>
      <w:divBdr>
        <w:top w:val="none" w:sz="0" w:space="0" w:color="auto"/>
        <w:left w:val="none" w:sz="0" w:space="0" w:color="auto"/>
        <w:bottom w:val="none" w:sz="0" w:space="0" w:color="auto"/>
        <w:right w:val="none" w:sz="0" w:space="0" w:color="auto"/>
      </w:divBdr>
    </w:div>
    <w:div w:id="251015835">
      <w:bodyDiv w:val="1"/>
      <w:marLeft w:val="0"/>
      <w:marRight w:val="0"/>
      <w:marTop w:val="0"/>
      <w:marBottom w:val="0"/>
      <w:divBdr>
        <w:top w:val="none" w:sz="0" w:space="0" w:color="auto"/>
        <w:left w:val="none" w:sz="0" w:space="0" w:color="auto"/>
        <w:bottom w:val="none" w:sz="0" w:space="0" w:color="auto"/>
        <w:right w:val="none" w:sz="0" w:space="0" w:color="auto"/>
      </w:divBdr>
    </w:div>
    <w:div w:id="270749886">
      <w:bodyDiv w:val="1"/>
      <w:marLeft w:val="0"/>
      <w:marRight w:val="0"/>
      <w:marTop w:val="0"/>
      <w:marBottom w:val="0"/>
      <w:divBdr>
        <w:top w:val="none" w:sz="0" w:space="0" w:color="auto"/>
        <w:left w:val="none" w:sz="0" w:space="0" w:color="auto"/>
        <w:bottom w:val="none" w:sz="0" w:space="0" w:color="auto"/>
        <w:right w:val="none" w:sz="0" w:space="0" w:color="auto"/>
      </w:divBdr>
    </w:div>
    <w:div w:id="445466756">
      <w:bodyDiv w:val="1"/>
      <w:marLeft w:val="0"/>
      <w:marRight w:val="0"/>
      <w:marTop w:val="0"/>
      <w:marBottom w:val="0"/>
      <w:divBdr>
        <w:top w:val="none" w:sz="0" w:space="0" w:color="auto"/>
        <w:left w:val="none" w:sz="0" w:space="0" w:color="auto"/>
        <w:bottom w:val="none" w:sz="0" w:space="0" w:color="auto"/>
        <w:right w:val="none" w:sz="0" w:space="0" w:color="auto"/>
      </w:divBdr>
    </w:div>
    <w:div w:id="492914072">
      <w:bodyDiv w:val="1"/>
      <w:marLeft w:val="0"/>
      <w:marRight w:val="0"/>
      <w:marTop w:val="0"/>
      <w:marBottom w:val="0"/>
      <w:divBdr>
        <w:top w:val="none" w:sz="0" w:space="0" w:color="auto"/>
        <w:left w:val="none" w:sz="0" w:space="0" w:color="auto"/>
        <w:bottom w:val="none" w:sz="0" w:space="0" w:color="auto"/>
        <w:right w:val="none" w:sz="0" w:space="0" w:color="auto"/>
      </w:divBdr>
    </w:div>
    <w:div w:id="710688083">
      <w:bodyDiv w:val="1"/>
      <w:marLeft w:val="0"/>
      <w:marRight w:val="0"/>
      <w:marTop w:val="0"/>
      <w:marBottom w:val="0"/>
      <w:divBdr>
        <w:top w:val="none" w:sz="0" w:space="0" w:color="auto"/>
        <w:left w:val="none" w:sz="0" w:space="0" w:color="auto"/>
        <w:bottom w:val="none" w:sz="0" w:space="0" w:color="auto"/>
        <w:right w:val="none" w:sz="0" w:space="0" w:color="auto"/>
      </w:divBdr>
    </w:div>
    <w:div w:id="843861382">
      <w:bodyDiv w:val="1"/>
      <w:marLeft w:val="0"/>
      <w:marRight w:val="0"/>
      <w:marTop w:val="0"/>
      <w:marBottom w:val="0"/>
      <w:divBdr>
        <w:top w:val="none" w:sz="0" w:space="0" w:color="auto"/>
        <w:left w:val="none" w:sz="0" w:space="0" w:color="auto"/>
        <w:bottom w:val="none" w:sz="0" w:space="0" w:color="auto"/>
        <w:right w:val="none" w:sz="0" w:space="0" w:color="auto"/>
      </w:divBdr>
    </w:div>
    <w:div w:id="929197621">
      <w:bodyDiv w:val="1"/>
      <w:marLeft w:val="0"/>
      <w:marRight w:val="0"/>
      <w:marTop w:val="0"/>
      <w:marBottom w:val="0"/>
      <w:divBdr>
        <w:top w:val="none" w:sz="0" w:space="0" w:color="auto"/>
        <w:left w:val="none" w:sz="0" w:space="0" w:color="auto"/>
        <w:bottom w:val="none" w:sz="0" w:space="0" w:color="auto"/>
        <w:right w:val="none" w:sz="0" w:space="0" w:color="auto"/>
      </w:divBdr>
    </w:div>
    <w:div w:id="957416125">
      <w:bodyDiv w:val="1"/>
      <w:marLeft w:val="0"/>
      <w:marRight w:val="0"/>
      <w:marTop w:val="0"/>
      <w:marBottom w:val="0"/>
      <w:divBdr>
        <w:top w:val="none" w:sz="0" w:space="0" w:color="auto"/>
        <w:left w:val="none" w:sz="0" w:space="0" w:color="auto"/>
        <w:bottom w:val="none" w:sz="0" w:space="0" w:color="auto"/>
        <w:right w:val="none" w:sz="0" w:space="0" w:color="auto"/>
      </w:divBdr>
    </w:div>
    <w:div w:id="1041393518">
      <w:bodyDiv w:val="1"/>
      <w:marLeft w:val="0"/>
      <w:marRight w:val="0"/>
      <w:marTop w:val="0"/>
      <w:marBottom w:val="0"/>
      <w:divBdr>
        <w:top w:val="none" w:sz="0" w:space="0" w:color="auto"/>
        <w:left w:val="none" w:sz="0" w:space="0" w:color="auto"/>
        <w:bottom w:val="none" w:sz="0" w:space="0" w:color="auto"/>
        <w:right w:val="none" w:sz="0" w:space="0" w:color="auto"/>
      </w:divBdr>
    </w:div>
    <w:div w:id="1151171474">
      <w:bodyDiv w:val="1"/>
      <w:marLeft w:val="0"/>
      <w:marRight w:val="0"/>
      <w:marTop w:val="0"/>
      <w:marBottom w:val="0"/>
      <w:divBdr>
        <w:top w:val="none" w:sz="0" w:space="0" w:color="auto"/>
        <w:left w:val="none" w:sz="0" w:space="0" w:color="auto"/>
        <w:bottom w:val="none" w:sz="0" w:space="0" w:color="auto"/>
        <w:right w:val="none" w:sz="0" w:space="0" w:color="auto"/>
      </w:divBdr>
    </w:div>
    <w:div w:id="1301106230">
      <w:bodyDiv w:val="1"/>
      <w:marLeft w:val="0"/>
      <w:marRight w:val="0"/>
      <w:marTop w:val="0"/>
      <w:marBottom w:val="0"/>
      <w:divBdr>
        <w:top w:val="none" w:sz="0" w:space="0" w:color="auto"/>
        <w:left w:val="none" w:sz="0" w:space="0" w:color="auto"/>
        <w:bottom w:val="none" w:sz="0" w:space="0" w:color="auto"/>
        <w:right w:val="none" w:sz="0" w:space="0" w:color="auto"/>
      </w:divBdr>
    </w:div>
    <w:div w:id="1307663978">
      <w:bodyDiv w:val="1"/>
      <w:marLeft w:val="0"/>
      <w:marRight w:val="0"/>
      <w:marTop w:val="0"/>
      <w:marBottom w:val="0"/>
      <w:divBdr>
        <w:top w:val="none" w:sz="0" w:space="0" w:color="auto"/>
        <w:left w:val="none" w:sz="0" w:space="0" w:color="auto"/>
        <w:bottom w:val="none" w:sz="0" w:space="0" w:color="auto"/>
        <w:right w:val="none" w:sz="0" w:space="0" w:color="auto"/>
      </w:divBdr>
    </w:div>
    <w:div w:id="1370882400">
      <w:bodyDiv w:val="1"/>
      <w:marLeft w:val="0"/>
      <w:marRight w:val="0"/>
      <w:marTop w:val="0"/>
      <w:marBottom w:val="0"/>
      <w:divBdr>
        <w:top w:val="none" w:sz="0" w:space="0" w:color="auto"/>
        <w:left w:val="none" w:sz="0" w:space="0" w:color="auto"/>
        <w:bottom w:val="none" w:sz="0" w:space="0" w:color="auto"/>
        <w:right w:val="none" w:sz="0" w:space="0" w:color="auto"/>
      </w:divBdr>
    </w:div>
    <w:div w:id="1374117328">
      <w:bodyDiv w:val="1"/>
      <w:marLeft w:val="0"/>
      <w:marRight w:val="0"/>
      <w:marTop w:val="0"/>
      <w:marBottom w:val="0"/>
      <w:divBdr>
        <w:top w:val="none" w:sz="0" w:space="0" w:color="auto"/>
        <w:left w:val="none" w:sz="0" w:space="0" w:color="auto"/>
        <w:bottom w:val="none" w:sz="0" w:space="0" w:color="auto"/>
        <w:right w:val="none" w:sz="0" w:space="0" w:color="auto"/>
      </w:divBdr>
    </w:div>
    <w:div w:id="1477530141">
      <w:bodyDiv w:val="1"/>
      <w:marLeft w:val="0"/>
      <w:marRight w:val="0"/>
      <w:marTop w:val="0"/>
      <w:marBottom w:val="0"/>
      <w:divBdr>
        <w:top w:val="none" w:sz="0" w:space="0" w:color="auto"/>
        <w:left w:val="none" w:sz="0" w:space="0" w:color="auto"/>
        <w:bottom w:val="none" w:sz="0" w:space="0" w:color="auto"/>
        <w:right w:val="none" w:sz="0" w:space="0" w:color="auto"/>
      </w:divBdr>
    </w:div>
    <w:div w:id="1498377067">
      <w:bodyDiv w:val="1"/>
      <w:marLeft w:val="0"/>
      <w:marRight w:val="0"/>
      <w:marTop w:val="0"/>
      <w:marBottom w:val="0"/>
      <w:divBdr>
        <w:top w:val="none" w:sz="0" w:space="0" w:color="auto"/>
        <w:left w:val="none" w:sz="0" w:space="0" w:color="auto"/>
        <w:bottom w:val="none" w:sz="0" w:space="0" w:color="auto"/>
        <w:right w:val="none" w:sz="0" w:space="0" w:color="auto"/>
      </w:divBdr>
    </w:div>
    <w:div w:id="1514109075">
      <w:bodyDiv w:val="1"/>
      <w:marLeft w:val="0"/>
      <w:marRight w:val="0"/>
      <w:marTop w:val="0"/>
      <w:marBottom w:val="0"/>
      <w:divBdr>
        <w:top w:val="none" w:sz="0" w:space="0" w:color="auto"/>
        <w:left w:val="none" w:sz="0" w:space="0" w:color="auto"/>
        <w:bottom w:val="none" w:sz="0" w:space="0" w:color="auto"/>
        <w:right w:val="none" w:sz="0" w:space="0" w:color="auto"/>
      </w:divBdr>
    </w:div>
    <w:div w:id="1608610614">
      <w:bodyDiv w:val="1"/>
      <w:marLeft w:val="0"/>
      <w:marRight w:val="0"/>
      <w:marTop w:val="0"/>
      <w:marBottom w:val="0"/>
      <w:divBdr>
        <w:top w:val="none" w:sz="0" w:space="0" w:color="auto"/>
        <w:left w:val="none" w:sz="0" w:space="0" w:color="auto"/>
        <w:bottom w:val="none" w:sz="0" w:space="0" w:color="auto"/>
        <w:right w:val="none" w:sz="0" w:space="0" w:color="auto"/>
      </w:divBdr>
    </w:div>
    <w:div w:id="1821724370">
      <w:bodyDiv w:val="1"/>
      <w:marLeft w:val="0"/>
      <w:marRight w:val="0"/>
      <w:marTop w:val="0"/>
      <w:marBottom w:val="0"/>
      <w:divBdr>
        <w:top w:val="none" w:sz="0" w:space="0" w:color="auto"/>
        <w:left w:val="none" w:sz="0" w:space="0" w:color="auto"/>
        <w:bottom w:val="none" w:sz="0" w:space="0" w:color="auto"/>
        <w:right w:val="none" w:sz="0" w:space="0" w:color="auto"/>
      </w:divBdr>
    </w:div>
    <w:div w:id="1832014971">
      <w:bodyDiv w:val="1"/>
      <w:marLeft w:val="0"/>
      <w:marRight w:val="0"/>
      <w:marTop w:val="0"/>
      <w:marBottom w:val="0"/>
      <w:divBdr>
        <w:top w:val="none" w:sz="0" w:space="0" w:color="auto"/>
        <w:left w:val="none" w:sz="0" w:space="0" w:color="auto"/>
        <w:bottom w:val="none" w:sz="0" w:space="0" w:color="auto"/>
        <w:right w:val="none" w:sz="0" w:space="0" w:color="auto"/>
      </w:divBdr>
    </w:div>
    <w:div w:id="1953973634">
      <w:bodyDiv w:val="1"/>
      <w:marLeft w:val="0"/>
      <w:marRight w:val="0"/>
      <w:marTop w:val="0"/>
      <w:marBottom w:val="0"/>
      <w:divBdr>
        <w:top w:val="none" w:sz="0" w:space="0" w:color="auto"/>
        <w:left w:val="none" w:sz="0" w:space="0" w:color="auto"/>
        <w:bottom w:val="none" w:sz="0" w:space="0" w:color="auto"/>
        <w:right w:val="none" w:sz="0" w:space="0" w:color="auto"/>
      </w:divBdr>
    </w:div>
    <w:div w:id="1984583409">
      <w:bodyDiv w:val="1"/>
      <w:marLeft w:val="0"/>
      <w:marRight w:val="0"/>
      <w:marTop w:val="0"/>
      <w:marBottom w:val="0"/>
      <w:divBdr>
        <w:top w:val="none" w:sz="0" w:space="0" w:color="auto"/>
        <w:left w:val="none" w:sz="0" w:space="0" w:color="auto"/>
        <w:bottom w:val="none" w:sz="0" w:space="0" w:color="auto"/>
        <w:right w:val="none" w:sz="0" w:space="0" w:color="auto"/>
      </w:divBdr>
    </w:div>
    <w:div w:id="2095517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3056</Words>
  <Characters>17421</Characters>
  <Application>Microsoft Macintosh Word</Application>
  <DocSecurity>0</DocSecurity>
  <PresentationFormat/>
  <Lines>145</Lines>
  <Paragraphs>40</Paragraphs>
  <ScaleCrop>false</ScaleCrop>
  <HeadingPairs>
    <vt:vector size="2" baseType="variant">
      <vt:variant>
        <vt:lpstr>Title</vt:lpstr>
      </vt:variant>
      <vt:variant>
        <vt:i4>1</vt:i4>
      </vt:variant>
    </vt:vector>
  </HeadingPairs>
  <TitlesOfParts>
    <vt:vector size="1" baseType="lpstr">
      <vt:lpstr>Category 3 -- TMCH Charter Questions - Document review V. 2 (01022970).DOCX</vt:lpstr>
    </vt:vector>
  </TitlesOfParts>
  <Company>Hewlett-Packard Company</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3 -- TMCH Charter Questions - Document review V. 2 (01022970).DOCX</dc:title>
  <dc:subject>01022970-1 /font=6</dc:subject>
  <dc:creator>Mary Wong</dc:creator>
  <cp:keywords/>
  <dc:description/>
  <cp:lastModifiedBy>Mary Wong</cp:lastModifiedBy>
  <cp:revision>2</cp:revision>
  <cp:lastPrinted>2017-02-28T17:12:00Z</cp:lastPrinted>
  <dcterms:created xsi:type="dcterms:W3CDTF">2017-02-28T23:32:00Z</dcterms:created>
  <dcterms:modified xsi:type="dcterms:W3CDTF">2017-02-28T23:32:00Z</dcterms:modified>
</cp:coreProperties>
</file>