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C2279" w14:textId="2CF4F2F8" w:rsidR="000944E6" w:rsidRPr="00101BF9" w:rsidRDefault="00291EEC" w:rsidP="000944E6">
      <w:pPr>
        <w:jc w:val="center"/>
        <w:rPr>
          <w:b/>
          <w:sz w:val="22"/>
          <w:szCs w:val="22"/>
        </w:rPr>
      </w:pPr>
      <w:r>
        <w:rPr>
          <w:b/>
          <w:sz w:val="22"/>
          <w:szCs w:val="22"/>
        </w:rPr>
        <w:t>REMAINING</w:t>
      </w:r>
      <w:r w:rsidR="00101BF9" w:rsidRPr="00101BF9">
        <w:rPr>
          <w:b/>
          <w:sz w:val="22"/>
          <w:szCs w:val="22"/>
        </w:rPr>
        <w:t xml:space="preserve"> </w:t>
      </w:r>
      <w:r w:rsidR="000944E6" w:rsidRPr="00101BF9">
        <w:rPr>
          <w:b/>
          <w:sz w:val="22"/>
          <w:szCs w:val="22"/>
        </w:rPr>
        <w:t xml:space="preserve">TMCH CHARTER QUESTIONS </w:t>
      </w:r>
      <w:r w:rsidR="00101BF9" w:rsidRPr="00101BF9">
        <w:rPr>
          <w:b/>
          <w:sz w:val="22"/>
          <w:szCs w:val="22"/>
        </w:rPr>
        <w:t xml:space="preserve">MATCHED WITH DOCUMENTATION FROM THE APPLICANT GUIDEBOOK AND OTHER MATERIALS DEVELOPED FOR THE 2012 NEW </w:t>
      </w:r>
      <w:proofErr w:type="spellStart"/>
      <w:r w:rsidR="00101BF9" w:rsidRPr="00101BF9">
        <w:rPr>
          <w:b/>
          <w:sz w:val="22"/>
          <w:szCs w:val="22"/>
        </w:rPr>
        <w:t>gTLD</w:t>
      </w:r>
      <w:proofErr w:type="spellEnd"/>
      <w:r w:rsidR="00101BF9" w:rsidRPr="00101BF9">
        <w:rPr>
          <w:b/>
          <w:sz w:val="22"/>
          <w:szCs w:val="22"/>
        </w:rPr>
        <w:t xml:space="preserve"> PROGRAM</w:t>
      </w:r>
      <w:r w:rsidR="008013A3">
        <w:rPr>
          <w:b/>
          <w:sz w:val="22"/>
          <w:szCs w:val="22"/>
        </w:rPr>
        <w:t xml:space="preserve"> – CATEGORIES 1 &amp; 2</w:t>
      </w:r>
    </w:p>
    <w:p w14:paraId="003AB9DE" w14:textId="6B8C54B2" w:rsidR="000944E6" w:rsidRPr="00101BF9" w:rsidRDefault="00291EEC" w:rsidP="000944E6">
      <w:pPr>
        <w:jc w:val="center"/>
        <w:rPr>
          <w:b/>
          <w:sz w:val="22"/>
          <w:szCs w:val="22"/>
        </w:rPr>
      </w:pPr>
      <w:r>
        <w:rPr>
          <w:b/>
          <w:sz w:val="22"/>
          <w:szCs w:val="22"/>
        </w:rPr>
        <w:t>5 March</w:t>
      </w:r>
      <w:r w:rsidR="000944E6" w:rsidRPr="00101BF9">
        <w:rPr>
          <w:b/>
          <w:sz w:val="22"/>
          <w:szCs w:val="22"/>
        </w:rPr>
        <w:t xml:space="preserve"> 2017</w:t>
      </w:r>
    </w:p>
    <w:p w14:paraId="72534994" w14:textId="77777777" w:rsidR="000944E6" w:rsidRPr="00101BF9" w:rsidRDefault="000944E6" w:rsidP="00BA7973">
      <w:pPr>
        <w:rPr>
          <w:b/>
          <w:sz w:val="22"/>
          <w:szCs w:val="22"/>
        </w:rPr>
      </w:pPr>
    </w:p>
    <w:p w14:paraId="0F06E053" w14:textId="230FA127" w:rsidR="00BA7973" w:rsidRPr="00101BF9" w:rsidRDefault="00291EEC" w:rsidP="00BA7973">
      <w:pPr>
        <w:rPr>
          <w:b/>
          <w:sz w:val="22"/>
          <w:szCs w:val="22"/>
        </w:rPr>
      </w:pPr>
      <w:r>
        <w:rPr>
          <w:b/>
          <w:sz w:val="22"/>
          <w:szCs w:val="22"/>
        </w:rPr>
        <w:t>CATEGORY 1</w:t>
      </w:r>
      <w:r w:rsidR="00BA7973" w:rsidRPr="00101BF9">
        <w:rPr>
          <w:b/>
          <w:sz w:val="22"/>
          <w:szCs w:val="22"/>
        </w:rPr>
        <w:t xml:space="preserve"> – </w:t>
      </w:r>
      <w:r>
        <w:rPr>
          <w:b/>
          <w:sz w:val="22"/>
          <w:szCs w:val="22"/>
        </w:rPr>
        <w:t>EDUCATION</w:t>
      </w:r>
    </w:p>
    <w:p w14:paraId="15D88CC6" w14:textId="77777777" w:rsidR="00BA7973" w:rsidRPr="00101BF9" w:rsidRDefault="00BA7973" w:rsidP="00BA7973">
      <w:pPr>
        <w:rPr>
          <w:sz w:val="22"/>
          <w:szCs w:val="22"/>
        </w:rPr>
      </w:pPr>
    </w:p>
    <w:tbl>
      <w:tblPr>
        <w:tblStyle w:val="TableGrid"/>
        <w:tblW w:w="12950" w:type="dxa"/>
        <w:tblCellMar>
          <w:left w:w="115" w:type="dxa"/>
          <w:right w:w="115" w:type="dxa"/>
        </w:tblCellMar>
        <w:tblLook w:val="04A0" w:firstRow="1" w:lastRow="0" w:firstColumn="1" w:lastColumn="0" w:noHBand="0" w:noVBand="1"/>
      </w:tblPr>
      <w:tblGrid>
        <w:gridCol w:w="2484"/>
        <w:gridCol w:w="2586"/>
        <w:gridCol w:w="2591"/>
        <w:gridCol w:w="2722"/>
        <w:gridCol w:w="2567"/>
      </w:tblGrid>
      <w:tr w:rsidR="007B3696" w:rsidRPr="00101BF9" w14:paraId="3886C7E2" w14:textId="77777777" w:rsidTr="007B3696">
        <w:trPr>
          <w:trHeight w:val="269"/>
        </w:trPr>
        <w:tc>
          <w:tcPr>
            <w:tcW w:w="2484" w:type="dxa"/>
            <w:shd w:val="clear" w:color="auto" w:fill="D9E2F3" w:themeFill="accent1" w:themeFillTint="33"/>
          </w:tcPr>
          <w:p w14:paraId="02EE10E1" w14:textId="3AAE848D" w:rsidR="007B3696" w:rsidRPr="000E5C28" w:rsidRDefault="007B3696" w:rsidP="00F87D44">
            <w:pPr>
              <w:rPr>
                <w:b/>
                <w:sz w:val="22"/>
                <w:szCs w:val="22"/>
              </w:rPr>
            </w:pPr>
            <w:r w:rsidRPr="000E5C28">
              <w:rPr>
                <w:b/>
                <w:sz w:val="22"/>
                <w:szCs w:val="22"/>
              </w:rPr>
              <w:t>Charter Questions</w:t>
            </w:r>
          </w:p>
        </w:tc>
        <w:tc>
          <w:tcPr>
            <w:tcW w:w="2586" w:type="dxa"/>
            <w:shd w:val="clear" w:color="auto" w:fill="D9E2F3" w:themeFill="accent1" w:themeFillTint="33"/>
          </w:tcPr>
          <w:p w14:paraId="064ECE7C" w14:textId="3A3FD3AE" w:rsidR="007B3696" w:rsidRPr="00101BF9" w:rsidRDefault="007B3696" w:rsidP="00101BF9">
            <w:pPr>
              <w:rPr>
                <w:b/>
                <w:sz w:val="22"/>
                <w:szCs w:val="22"/>
              </w:rPr>
            </w:pPr>
            <w:r w:rsidRPr="00101BF9">
              <w:rPr>
                <w:b/>
                <w:sz w:val="22"/>
                <w:szCs w:val="22"/>
              </w:rPr>
              <w:t>STI Recommendations (approved by GNSO Council &amp; ICANN Board)</w:t>
            </w:r>
          </w:p>
        </w:tc>
        <w:tc>
          <w:tcPr>
            <w:tcW w:w="2591" w:type="dxa"/>
            <w:shd w:val="clear" w:color="auto" w:fill="D9E2F3" w:themeFill="accent1" w:themeFillTint="33"/>
          </w:tcPr>
          <w:p w14:paraId="70A1EFA3" w14:textId="390E3EBD" w:rsidR="007B3696" w:rsidRPr="00101BF9" w:rsidRDefault="007B3696" w:rsidP="00896F4A">
            <w:pPr>
              <w:rPr>
                <w:b/>
                <w:sz w:val="22"/>
                <w:szCs w:val="22"/>
              </w:rPr>
            </w:pPr>
            <w:r w:rsidRPr="00101BF9">
              <w:rPr>
                <w:b/>
                <w:sz w:val="22"/>
                <w:szCs w:val="22"/>
              </w:rPr>
              <w:t>Applicant Guidebook</w:t>
            </w:r>
          </w:p>
        </w:tc>
        <w:tc>
          <w:tcPr>
            <w:tcW w:w="2722" w:type="dxa"/>
            <w:shd w:val="clear" w:color="auto" w:fill="D9E2F3" w:themeFill="accent1" w:themeFillTint="33"/>
          </w:tcPr>
          <w:p w14:paraId="0F7345D1" w14:textId="034450A9" w:rsidR="007B3696" w:rsidRPr="00101BF9" w:rsidRDefault="007B3696" w:rsidP="00101BF9">
            <w:pPr>
              <w:rPr>
                <w:b/>
                <w:sz w:val="22"/>
                <w:szCs w:val="22"/>
              </w:rPr>
            </w:pPr>
            <w:r w:rsidRPr="00101BF9">
              <w:rPr>
                <w:b/>
                <w:sz w:val="22"/>
                <w:szCs w:val="22"/>
              </w:rPr>
              <w:t>Deloitte Guidelines/Other Materials Developed for the Program</w:t>
            </w:r>
          </w:p>
        </w:tc>
        <w:tc>
          <w:tcPr>
            <w:tcW w:w="2567" w:type="dxa"/>
            <w:shd w:val="clear" w:color="auto" w:fill="D9E2F3" w:themeFill="accent1" w:themeFillTint="33"/>
          </w:tcPr>
          <w:p w14:paraId="6FF4C64F" w14:textId="646595CA" w:rsidR="007B3696" w:rsidRPr="00101BF9" w:rsidRDefault="007B3696" w:rsidP="007B3696">
            <w:pPr>
              <w:rPr>
                <w:b/>
                <w:sz w:val="22"/>
                <w:szCs w:val="22"/>
              </w:rPr>
            </w:pPr>
            <w:r>
              <w:rPr>
                <w:b/>
                <w:sz w:val="22"/>
                <w:szCs w:val="22"/>
              </w:rPr>
              <w:t>WG Discussion to Date</w:t>
            </w:r>
          </w:p>
        </w:tc>
      </w:tr>
      <w:tr w:rsidR="007B3696" w:rsidRPr="00101BF9" w14:paraId="37D06C41" w14:textId="77777777" w:rsidTr="007B3696">
        <w:trPr>
          <w:trHeight w:val="269"/>
        </w:trPr>
        <w:tc>
          <w:tcPr>
            <w:tcW w:w="2484" w:type="dxa"/>
          </w:tcPr>
          <w:p w14:paraId="5C638C1A" w14:textId="318AB70F" w:rsidR="007B3696" w:rsidRPr="000E5C28" w:rsidRDefault="007B3696" w:rsidP="00291EEC">
            <w:pPr>
              <w:numPr>
                <w:ilvl w:val="0"/>
                <w:numId w:val="4"/>
              </w:numPr>
              <w:ind w:left="360"/>
              <w:rPr>
                <w:sz w:val="22"/>
                <w:szCs w:val="22"/>
              </w:rPr>
            </w:pPr>
            <w:r w:rsidRPr="000E5C28">
              <w:rPr>
                <w:sz w:val="22"/>
                <w:szCs w:val="22"/>
              </w:rPr>
              <w:t>Is the TMCH clearly communicating: (</w:t>
            </w:r>
            <w:proofErr w:type="spellStart"/>
            <w:r w:rsidRPr="000E5C28">
              <w:rPr>
                <w:sz w:val="22"/>
                <w:szCs w:val="22"/>
              </w:rPr>
              <w:t>i</w:t>
            </w:r>
            <w:proofErr w:type="spellEnd"/>
            <w:r w:rsidRPr="000E5C28">
              <w:rPr>
                <w:sz w:val="22"/>
                <w:szCs w:val="22"/>
              </w:rPr>
              <w:t xml:space="preserve">) the criteria it applies when determining </w:t>
            </w:r>
            <w:proofErr w:type="gramStart"/>
            <w:r w:rsidRPr="000E5C28">
              <w:rPr>
                <w:sz w:val="22"/>
                <w:szCs w:val="22"/>
              </w:rPr>
              <w:t>whether or not</w:t>
            </w:r>
            <w:proofErr w:type="gramEnd"/>
            <w:r w:rsidRPr="000E5C28">
              <w:rPr>
                <w:sz w:val="22"/>
                <w:szCs w:val="22"/>
              </w:rPr>
              <w:t xml:space="preserve"> to accept marks for entry into the TMCH; (ii) options for rights-holders when their submissions are rejected; and (iii) options for third parties who may have challenges to or questions about </w:t>
            </w:r>
            <w:proofErr w:type="spellStart"/>
            <w:r w:rsidRPr="000E5C28">
              <w:rPr>
                <w:sz w:val="22"/>
                <w:szCs w:val="22"/>
              </w:rPr>
              <w:t>recordals</w:t>
            </w:r>
            <w:proofErr w:type="spellEnd"/>
            <w:r w:rsidRPr="000E5C28">
              <w:rPr>
                <w:sz w:val="22"/>
                <w:szCs w:val="22"/>
              </w:rPr>
              <w:t xml:space="preserve"> in the TMCH?</w:t>
            </w:r>
          </w:p>
        </w:tc>
        <w:tc>
          <w:tcPr>
            <w:tcW w:w="2586" w:type="dxa"/>
          </w:tcPr>
          <w:p w14:paraId="4E729E8B" w14:textId="7E84079A" w:rsidR="007B3696" w:rsidRPr="004C0E2C" w:rsidRDefault="007B3696" w:rsidP="00F850C0">
            <w:pPr>
              <w:rPr>
                <w:sz w:val="22"/>
                <w:szCs w:val="22"/>
                <w:u w:val="single"/>
              </w:rPr>
            </w:pPr>
            <w:r w:rsidRPr="004C0E2C">
              <w:rPr>
                <w:sz w:val="22"/>
                <w:szCs w:val="22"/>
                <w:u w:val="single"/>
              </w:rPr>
              <w:t>9: Effect of filing with the TC</w:t>
            </w:r>
            <w:r>
              <w:rPr>
                <w:rStyle w:val="FootnoteReference"/>
                <w:sz w:val="22"/>
                <w:szCs w:val="22"/>
                <w:u w:val="single"/>
              </w:rPr>
              <w:footnoteReference w:id="1"/>
            </w:r>
          </w:p>
          <w:p w14:paraId="1F42DDCE" w14:textId="4A7D92B9" w:rsidR="007B3696" w:rsidRPr="00101BF9" w:rsidRDefault="007B3696" w:rsidP="00F850C0">
            <w:pPr>
              <w:rPr>
                <w:sz w:val="22"/>
                <w:szCs w:val="22"/>
              </w:rPr>
            </w:pPr>
            <w:r w:rsidRPr="004C0E2C">
              <w:rPr>
                <w:sz w:val="22"/>
                <w:szCs w:val="22"/>
              </w:rPr>
              <w:t>It should be clearly stated in mandate of the TC that inclusion of a TC validated mark into the Database is not proof of any right, nor does it confer any legal rights on the trademark holder. Also, failure to file should not</w:t>
            </w:r>
            <w:r w:rsidRPr="004C0E2C">
              <w:rPr>
                <w:b/>
                <w:sz w:val="22"/>
                <w:szCs w:val="22"/>
              </w:rPr>
              <w:t xml:space="preserve"> </w:t>
            </w:r>
            <w:r w:rsidRPr="004C0E2C">
              <w:rPr>
                <w:sz w:val="22"/>
                <w:szCs w:val="22"/>
              </w:rPr>
              <w:t>be perceived to be lack of vigilance by Trademark holders</w:t>
            </w:r>
            <w:r>
              <w:rPr>
                <w:sz w:val="22"/>
                <w:szCs w:val="22"/>
              </w:rPr>
              <w:t>.</w:t>
            </w:r>
          </w:p>
        </w:tc>
        <w:tc>
          <w:tcPr>
            <w:tcW w:w="2591" w:type="dxa"/>
          </w:tcPr>
          <w:p w14:paraId="79295EB7" w14:textId="3D5E4121" w:rsidR="007B3696" w:rsidRPr="009A6DAE" w:rsidRDefault="007B3696" w:rsidP="00FE7014">
            <w:pPr>
              <w:rPr>
                <w:b/>
                <w:sz w:val="22"/>
                <w:szCs w:val="22"/>
              </w:rPr>
            </w:pPr>
            <w:r w:rsidRPr="009A6DAE">
              <w:rPr>
                <w:b/>
                <w:sz w:val="22"/>
                <w:szCs w:val="22"/>
              </w:rPr>
              <w:t>Criteria for TM Inclusion in the Clearinghouse</w:t>
            </w:r>
            <w:r>
              <w:rPr>
                <w:b/>
                <w:sz w:val="22"/>
                <w:szCs w:val="22"/>
              </w:rPr>
              <w:t>:</w:t>
            </w:r>
          </w:p>
          <w:p w14:paraId="63F55498" w14:textId="77777777" w:rsidR="007B3696" w:rsidRDefault="007B3696" w:rsidP="00FE7014">
            <w:pPr>
              <w:rPr>
                <w:sz w:val="22"/>
                <w:szCs w:val="22"/>
                <w:u w:val="single"/>
              </w:rPr>
            </w:pPr>
          </w:p>
          <w:p w14:paraId="65E4EE45" w14:textId="601D50FE" w:rsidR="007B3696" w:rsidRPr="009A6DAE" w:rsidRDefault="007B3696" w:rsidP="00FE7014">
            <w:pPr>
              <w:rPr>
                <w:sz w:val="22"/>
                <w:szCs w:val="22"/>
                <w:u w:val="single"/>
              </w:rPr>
            </w:pPr>
            <w:r w:rsidRPr="001A5E59">
              <w:rPr>
                <w:sz w:val="22"/>
                <w:szCs w:val="22"/>
                <w:u w:val="single"/>
              </w:rPr>
              <w:t>3.2: Standards for inclusion in the Clearinghouse</w:t>
            </w:r>
          </w:p>
          <w:p w14:paraId="1A95AB1B" w14:textId="239EC789" w:rsidR="007B3696" w:rsidRPr="00101BF9" w:rsidRDefault="007B3696" w:rsidP="00FE7014">
            <w:pPr>
              <w:rPr>
                <w:sz w:val="22"/>
                <w:szCs w:val="22"/>
              </w:rPr>
            </w:pPr>
            <w:r w:rsidRPr="00101BF9">
              <w:rPr>
                <w:sz w:val="22"/>
                <w:szCs w:val="22"/>
              </w:rPr>
              <w:t xml:space="preserve">3.2.1 Nationally or regionally registered word marks from all jurisdictions. </w:t>
            </w:r>
          </w:p>
          <w:p w14:paraId="2816BDAB" w14:textId="1D5993CF" w:rsidR="007B3696" w:rsidRPr="00101BF9" w:rsidRDefault="007B3696" w:rsidP="00FE7014">
            <w:pPr>
              <w:rPr>
                <w:sz w:val="22"/>
                <w:szCs w:val="22"/>
              </w:rPr>
            </w:pPr>
            <w:r w:rsidRPr="00101BF9">
              <w:rPr>
                <w:sz w:val="22"/>
                <w:szCs w:val="22"/>
              </w:rPr>
              <w:t xml:space="preserve">3.2.2 Any word mark that has been validated through a court of law or other judicial proceeding. </w:t>
            </w:r>
          </w:p>
          <w:p w14:paraId="0B770930" w14:textId="48AFC788" w:rsidR="007B3696" w:rsidRPr="00101BF9" w:rsidRDefault="007B3696" w:rsidP="00FE7014">
            <w:pPr>
              <w:rPr>
                <w:sz w:val="22"/>
                <w:szCs w:val="22"/>
              </w:rPr>
            </w:pPr>
            <w:r w:rsidRPr="00101BF9">
              <w:rPr>
                <w:sz w:val="22"/>
                <w:szCs w:val="22"/>
              </w:rPr>
              <w:t xml:space="preserve">3.2.3 Any word mark protected by a statute or treaty in effect at the time the mark is submitted to the Clearinghouse for inclusion. </w:t>
            </w:r>
          </w:p>
          <w:p w14:paraId="1794136E" w14:textId="5FB90A25" w:rsidR="007B3696" w:rsidRDefault="007B3696" w:rsidP="00FE7014">
            <w:pPr>
              <w:rPr>
                <w:sz w:val="22"/>
                <w:szCs w:val="22"/>
              </w:rPr>
            </w:pPr>
            <w:r w:rsidRPr="00101BF9">
              <w:rPr>
                <w:sz w:val="22"/>
                <w:szCs w:val="22"/>
              </w:rPr>
              <w:lastRenderedPageBreak/>
              <w:t>3.2.4 Other marks that constitute intellectual property.</w:t>
            </w:r>
          </w:p>
          <w:p w14:paraId="58C72088" w14:textId="77777777" w:rsidR="007B3696" w:rsidRDefault="007B3696" w:rsidP="00FE7014">
            <w:pPr>
              <w:rPr>
                <w:sz w:val="22"/>
                <w:szCs w:val="22"/>
              </w:rPr>
            </w:pPr>
          </w:p>
          <w:p w14:paraId="1978552C" w14:textId="13D5CE20" w:rsidR="007B3696" w:rsidRDefault="007B3696" w:rsidP="00FE7014">
            <w:pPr>
              <w:rPr>
                <w:sz w:val="22"/>
                <w:szCs w:val="22"/>
              </w:rPr>
            </w:pPr>
            <w:r>
              <w:rPr>
                <w:sz w:val="22"/>
                <w:szCs w:val="22"/>
              </w:rPr>
              <w:t>[Sections 3.3 – 3.7 detail the type of data to be submitted for each type of mark]</w:t>
            </w:r>
          </w:p>
          <w:p w14:paraId="0C516D62" w14:textId="77777777" w:rsidR="007B3696" w:rsidRDefault="007B3696" w:rsidP="00FE7014">
            <w:pPr>
              <w:rPr>
                <w:sz w:val="22"/>
                <w:szCs w:val="22"/>
              </w:rPr>
            </w:pPr>
          </w:p>
          <w:p w14:paraId="2743B6CE" w14:textId="2AC1BCD0" w:rsidR="007B3696" w:rsidRPr="00291EEC" w:rsidRDefault="007B3696" w:rsidP="00291EEC">
            <w:pPr>
              <w:rPr>
                <w:sz w:val="22"/>
                <w:szCs w:val="22"/>
              </w:rPr>
            </w:pPr>
            <w:r>
              <w:rPr>
                <w:sz w:val="22"/>
                <w:szCs w:val="22"/>
              </w:rPr>
              <w:t xml:space="preserve">3.8: </w:t>
            </w:r>
            <w:r w:rsidRPr="00291EEC">
              <w:rPr>
                <w:sz w:val="22"/>
                <w:szCs w:val="22"/>
              </w:rPr>
              <w:t xml:space="preserve">All mark holders </w:t>
            </w:r>
            <w:proofErr w:type="gramStart"/>
            <w:r w:rsidRPr="00291EEC">
              <w:rPr>
                <w:sz w:val="22"/>
                <w:szCs w:val="22"/>
              </w:rPr>
              <w:t>seeking to have</w:t>
            </w:r>
            <w:proofErr w:type="gramEnd"/>
            <w:r w:rsidRPr="00291EEC">
              <w:rPr>
                <w:sz w:val="22"/>
                <w:szCs w:val="22"/>
              </w:rPr>
              <w:t xml:space="preserve"> their marks included in the Clearinghouse will be required to submit a declaration, affidavit, or other sworn statement that the information provided is true and current and has not been supplied for an improper purpose. The mark holder will also be required to attest that it will keep the</w:t>
            </w:r>
          </w:p>
          <w:p w14:paraId="1F0894DD" w14:textId="136C2E27" w:rsidR="007B3696" w:rsidRDefault="007B3696" w:rsidP="00291EEC">
            <w:pPr>
              <w:rPr>
                <w:sz w:val="22"/>
                <w:szCs w:val="22"/>
              </w:rPr>
            </w:pPr>
            <w:r w:rsidRPr="00291EEC">
              <w:rPr>
                <w:sz w:val="22"/>
                <w:szCs w:val="22"/>
              </w:rPr>
              <w:t>information supplied to the Clearinghouse current</w:t>
            </w:r>
            <w:r>
              <w:rPr>
                <w:sz w:val="22"/>
                <w:szCs w:val="22"/>
              </w:rPr>
              <w:t xml:space="preserve"> … [and] </w:t>
            </w:r>
            <w:r w:rsidRPr="00291EEC">
              <w:rPr>
                <w:sz w:val="22"/>
                <w:szCs w:val="22"/>
              </w:rPr>
              <w:t>has an affirmative obligation to notify the Clearinghouse</w:t>
            </w:r>
            <w:r>
              <w:rPr>
                <w:sz w:val="22"/>
                <w:szCs w:val="22"/>
              </w:rPr>
              <w:t xml:space="preserve"> [of cancellations, transfers or abandonment]</w:t>
            </w:r>
            <w:r w:rsidRPr="00291EEC">
              <w:rPr>
                <w:sz w:val="22"/>
                <w:szCs w:val="22"/>
              </w:rPr>
              <w:t>. There will be penalties for failing to keep information current.</w:t>
            </w:r>
          </w:p>
          <w:p w14:paraId="5EF98329" w14:textId="77777777" w:rsidR="007B3696" w:rsidRDefault="007B3696" w:rsidP="00291EEC">
            <w:pPr>
              <w:rPr>
                <w:sz w:val="22"/>
                <w:szCs w:val="22"/>
              </w:rPr>
            </w:pPr>
          </w:p>
          <w:p w14:paraId="2529B0B6" w14:textId="46659F36" w:rsidR="007B3696" w:rsidRDefault="007B3696" w:rsidP="00291EEC">
            <w:pPr>
              <w:rPr>
                <w:sz w:val="22"/>
                <w:szCs w:val="22"/>
              </w:rPr>
            </w:pPr>
            <w:r>
              <w:rPr>
                <w:sz w:val="22"/>
                <w:szCs w:val="22"/>
              </w:rPr>
              <w:lastRenderedPageBreak/>
              <w:t xml:space="preserve">3.9: </w:t>
            </w:r>
            <w:r w:rsidRPr="00291EEC">
              <w:rPr>
                <w:sz w:val="22"/>
                <w:szCs w:val="22"/>
              </w:rPr>
              <w:t xml:space="preserve">As an additional safeguard, the data will have to be renewed periodically by any mark holder wishing to remain in the Clearinghouse.  </w:t>
            </w:r>
          </w:p>
          <w:p w14:paraId="4399A625" w14:textId="77777777" w:rsidR="007B3696" w:rsidRDefault="007B3696" w:rsidP="00291EEC">
            <w:pPr>
              <w:rPr>
                <w:sz w:val="22"/>
                <w:szCs w:val="22"/>
              </w:rPr>
            </w:pPr>
          </w:p>
          <w:p w14:paraId="7887B6E0" w14:textId="7FA8534E" w:rsidR="007B3696" w:rsidRDefault="007B3696" w:rsidP="00291EEC">
            <w:pPr>
              <w:rPr>
                <w:sz w:val="22"/>
                <w:szCs w:val="22"/>
              </w:rPr>
            </w:pPr>
            <w:r>
              <w:rPr>
                <w:sz w:val="22"/>
                <w:szCs w:val="22"/>
              </w:rPr>
              <w:t xml:space="preserve">4.1: </w:t>
            </w:r>
            <w:r w:rsidRPr="00291EEC">
              <w:rPr>
                <w:sz w:val="22"/>
                <w:szCs w:val="22"/>
              </w:rPr>
              <w:t xml:space="preserve">All mark holders </w:t>
            </w:r>
            <w:proofErr w:type="gramStart"/>
            <w:r w:rsidRPr="00291EEC">
              <w:rPr>
                <w:sz w:val="22"/>
                <w:szCs w:val="22"/>
              </w:rPr>
              <w:t>seeking to have</w:t>
            </w:r>
            <w:proofErr w:type="gramEnd"/>
            <w:r w:rsidRPr="00291EEC">
              <w:rPr>
                <w:sz w:val="22"/>
                <w:szCs w:val="22"/>
              </w:rPr>
              <w:t xml:space="preserve"> their marks included in the Clearinghouse will have to consent to the use of their information by the Clearinghouse.  However, such consent would extend only to use </w:t>
            </w:r>
            <w:proofErr w:type="gramStart"/>
            <w:r w:rsidRPr="00291EEC">
              <w:rPr>
                <w:sz w:val="22"/>
                <w:szCs w:val="22"/>
              </w:rPr>
              <w:t>in connection with</w:t>
            </w:r>
            <w:proofErr w:type="gramEnd"/>
            <w:r w:rsidRPr="00291EEC">
              <w:rPr>
                <w:sz w:val="22"/>
                <w:szCs w:val="22"/>
              </w:rPr>
              <w:t xml:space="preserve"> the stated purpose of the Trademark Clearinghouse Database for Sunrise or Trademark Claims services.</w:t>
            </w:r>
          </w:p>
          <w:p w14:paraId="6E298687" w14:textId="0B861CC2" w:rsidR="007B3696" w:rsidRPr="00101BF9" w:rsidRDefault="007B3696" w:rsidP="00FE7014">
            <w:pPr>
              <w:rPr>
                <w:sz w:val="22"/>
                <w:szCs w:val="22"/>
              </w:rPr>
            </w:pPr>
          </w:p>
        </w:tc>
        <w:tc>
          <w:tcPr>
            <w:tcW w:w="2722" w:type="dxa"/>
          </w:tcPr>
          <w:p w14:paraId="766BE10B" w14:textId="77777777" w:rsidR="007B3696" w:rsidRPr="009A6DAE" w:rsidRDefault="007B3696" w:rsidP="00C50EB8">
            <w:pPr>
              <w:rPr>
                <w:b/>
                <w:sz w:val="22"/>
                <w:szCs w:val="22"/>
              </w:rPr>
            </w:pPr>
            <w:r w:rsidRPr="009A6DAE">
              <w:rPr>
                <w:b/>
                <w:sz w:val="22"/>
                <w:szCs w:val="22"/>
              </w:rPr>
              <w:lastRenderedPageBreak/>
              <w:t>TMCH Guidelines:</w:t>
            </w:r>
          </w:p>
          <w:p w14:paraId="70C7465D" w14:textId="77777777" w:rsidR="007B3696" w:rsidRDefault="007B3696" w:rsidP="004E0066">
            <w:pPr>
              <w:rPr>
                <w:sz w:val="22"/>
                <w:szCs w:val="22"/>
              </w:rPr>
            </w:pPr>
          </w:p>
          <w:p w14:paraId="0D9E72F4" w14:textId="36B6D2FA" w:rsidR="007B3696" w:rsidRDefault="007B3696" w:rsidP="004E0066">
            <w:pPr>
              <w:rPr>
                <w:sz w:val="22"/>
                <w:szCs w:val="22"/>
              </w:rPr>
            </w:pPr>
            <w:r>
              <w:rPr>
                <w:sz w:val="22"/>
                <w:szCs w:val="22"/>
              </w:rPr>
              <w:t>2.2.5 “Any registered trademark that does not contain any letters, words, numerals or DNS-valid characters” will not be accepted as a registered TM for submission.</w:t>
            </w:r>
          </w:p>
          <w:p w14:paraId="12ACAFFE" w14:textId="77777777" w:rsidR="007B3696" w:rsidRDefault="007B3696" w:rsidP="004E0066">
            <w:pPr>
              <w:rPr>
                <w:sz w:val="22"/>
                <w:szCs w:val="22"/>
              </w:rPr>
            </w:pPr>
          </w:p>
          <w:p w14:paraId="26B1BB6E" w14:textId="77777777" w:rsidR="007B3696" w:rsidRDefault="007B3696" w:rsidP="004E0066">
            <w:pPr>
              <w:rPr>
                <w:sz w:val="22"/>
                <w:szCs w:val="22"/>
              </w:rPr>
            </w:pPr>
            <w:r>
              <w:rPr>
                <w:sz w:val="22"/>
                <w:szCs w:val="22"/>
              </w:rPr>
              <w:t xml:space="preserve">2.3.4 “Figurative part of the court-validated trademark” and “any court-validated mark </w:t>
            </w:r>
            <w:r w:rsidRPr="004E0066">
              <w:rPr>
                <w:sz w:val="22"/>
                <w:szCs w:val="22"/>
              </w:rPr>
              <w:t>that does not contain any letters, words, numerals or DNS-valid characters</w:t>
            </w:r>
            <w:r>
              <w:rPr>
                <w:sz w:val="22"/>
                <w:szCs w:val="22"/>
              </w:rPr>
              <w:t>”</w:t>
            </w:r>
            <w:r w:rsidRPr="004E0066">
              <w:rPr>
                <w:sz w:val="22"/>
                <w:szCs w:val="22"/>
              </w:rPr>
              <w:t xml:space="preserve"> </w:t>
            </w:r>
            <w:r>
              <w:rPr>
                <w:sz w:val="22"/>
                <w:szCs w:val="22"/>
              </w:rPr>
              <w:t>will not be accepted as a court-validated mark for submission.</w:t>
            </w:r>
          </w:p>
          <w:p w14:paraId="0B70416F" w14:textId="77777777" w:rsidR="007B3696" w:rsidRDefault="007B3696" w:rsidP="004E0066">
            <w:pPr>
              <w:rPr>
                <w:sz w:val="22"/>
                <w:szCs w:val="22"/>
              </w:rPr>
            </w:pPr>
          </w:p>
          <w:p w14:paraId="0D8EE7A2" w14:textId="7B0A6DC0" w:rsidR="007B3696" w:rsidRDefault="007B3696" w:rsidP="00300B2C">
            <w:pPr>
              <w:rPr>
                <w:sz w:val="22"/>
                <w:szCs w:val="22"/>
              </w:rPr>
            </w:pPr>
            <w:r>
              <w:rPr>
                <w:sz w:val="22"/>
                <w:szCs w:val="22"/>
              </w:rPr>
              <w:t>5.2.1 To determine whether the recorded name of the TM is identical to the reported name f</w:t>
            </w:r>
            <w:r w:rsidRPr="00300B2C">
              <w:rPr>
                <w:sz w:val="22"/>
                <w:szCs w:val="22"/>
              </w:rPr>
              <w:t xml:space="preserve">or marks that </w:t>
            </w:r>
            <w:r>
              <w:rPr>
                <w:sz w:val="22"/>
                <w:szCs w:val="22"/>
              </w:rPr>
              <w:t xml:space="preserve">do not exclusively consist of </w:t>
            </w:r>
            <w:r w:rsidRPr="00300B2C">
              <w:rPr>
                <w:sz w:val="22"/>
                <w:szCs w:val="22"/>
              </w:rPr>
              <w:t>let</w:t>
            </w:r>
            <w:r>
              <w:rPr>
                <w:sz w:val="22"/>
                <w:szCs w:val="22"/>
              </w:rPr>
              <w:t xml:space="preserve">ters, words, numerals, special </w:t>
            </w:r>
            <w:r w:rsidRPr="00300B2C">
              <w:rPr>
                <w:sz w:val="22"/>
                <w:szCs w:val="22"/>
              </w:rPr>
              <w:t>characters</w:t>
            </w:r>
            <w:r>
              <w:rPr>
                <w:sz w:val="22"/>
                <w:szCs w:val="22"/>
              </w:rPr>
              <w:t xml:space="preserve"> – </w:t>
            </w:r>
          </w:p>
          <w:p w14:paraId="5EBD4485" w14:textId="3E58F058" w:rsidR="007B3696" w:rsidRPr="00300B2C" w:rsidRDefault="007B3696" w:rsidP="00300B2C">
            <w:pPr>
              <w:rPr>
                <w:sz w:val="22"/>
                <w:szCs w:val="22"/>
              </w:rPr>
            </w:pPr>
            <w:r>
              <w:rPr>
                <w:sz w:val="22"/>
                <w:szCs w:val="22"/>
              </w:rPr>
              <w:t>“as</w:t>
            </w:r>
            <w:r w:rsidRPr="00300B2C">
              <w:rPr>
                <w:sz w:val="22"/>
                <w:szCs w:val="22"/>
              </w:rPr>
              <w:t xml:space="preserve"> long as the name of the Trademark includes letters, words, numerals, keyboard </w:t>
            </w:r>
          </w:p>
          <w:p w14:paraId="31007399" w14:textId="3D011AC7" w:rsidR="007B3696" w:rsidRPr="00300B2C" w:rsidRDefault="007B3696" w:rsidP="00300B2C">
            <w:pPr>
              <w:rPr>
                <w:sz w:val="22"/>
                <w:szCs w:val="22"/>
              </w:rPr>
            </w:pPr>
            <w:r w:rsidRPr="00300B2C">
              <w:rPr>
                <w:sz w:val="22"/>
                <w:szCs w:val="22"/>
              </w:rPr>
              <w:t>signs, and punctuation</w:t>
            </w:r>
            <w:r>
              <w:rPr>
                <w:sz w:val="22"/>
                <w:szCs w:val="22"/>
              </w:rPr>
              <w:t xml:space="preserve"> marks (“Characters”) that are:</w:t>
            </w:r>
          </w:p>
          <w:p w14:paraId="5DA3480C" w14:textId="2B1467A6" w:rsidR="007B3696" w:rsidRPr="00300B2C" w:rsidRDefault="007B3696" w:rsidP="00300B2C">
            <w:pPr>
              <w:pStyle w:val="ListParagraph"/>
              <w:numPr>
                <w:ilvl w:val="0"/>
                <w:numId w:val="19"/>
              </w:numPr>
              <w:rPr>
                <w:sz w:val="22"/>
                <w:szCs w:val="22"/>
              </w:rPr>
            </w:pPr>
            <w:r w:rsidRPr="00300B2C">
              <w:rPr>
                <w:sz w:val="22"/>
                <w:szCs w:val="22"/>
              </w:rPr>
              <w:t>predominant; and</w:t>
            </w:r>
          </w:p>
          <w:p w14:paraId="6A121666" w14:textId="66CEFE5B" w:rsidR="007B3696" w:rsidRPr="00300B2C" w:rsidRDefault="007B3696" w:rsidP="00300B2C">
            <w:pPr>
              <w:pStyle w:val="ListParagraph"/>
              <w:numPr>
                <w:ilvl w:val="0"/>
                <w:numId w:val="19"/>
              </w:numPr>
              <w:rPr>
                <w:sz w:val="22"/>
                <w:szCs w:val="22"/>
              </w:rPr>
            </w:pPr>
            <w:r w:rsidRPr="00300B2C">
              <w:rPr>
                <w:sz w:val="22"/>
                <w:szCs w:val="22"/>
              </w:rPr>
              <w:t>clearly separable or distinguishable from the device element; and</w:t>
            </w:r>
          </w:p>
          <w:p w14:paraId="2F9F6EF3" w14:textId="5A21640C" w:rsidR="007B3696" w:rsidRPr="00300B2C" w:rsidRDefault="007B3696" w:rsidP="00300B2C">
            <w:pPr>
              <w:pStyle w:val="ListParagraph"/>
              <w:numPr>
                <w:ilvl w:val="0"/>
                <w:numId w:val="19"/>
              </w:numPr>
              <w:rPr>
                <w:sz w:val="22"/>
                <w:szCs w:val="22"/>
              </w:rPr>
            </w:pPr>
            <w:r w:rsidRPr="00300B2C">
              <w:rPr>
                <w:sz w:val="22"/>
                <w:szCs w:val="22"/>
              </w:rPr>
              <w:t>all predominant characters are included in the Trademark Record submitted to the Clearinghouse in the same order they appear in the mark.</w:t>
            </w:r>
          </w:p>
          <w:p w14:paraId="1FE93ADF" w14:textId="77777777" w:rsidR="007B3696" w:rsidRDefault="007B3696" w:rsidP="006F681C">
            <w:pPr>
              <w:rPr>
                <w:sz w:val="22"/>
                <w:szCs w:val="22"/>
              </w:rPr>
            </w:pPr>
          </w:p>
          <w:p w14:paraId="18C373A0" w14:textId="4A4CEBD6" w:rsidR="007B3696" w:rsidRPr="006F681C" w:rsidRDefault="007B3696" w:rsidP="006F681C">
            <w:pPr>
              <w:rPr>
                <w:sz w:val="22"/>
                <w:szCs w:val="22"/>
              </w:rPr>
            </w:pPr>
            <w:r>
              <w:rPr>
                <w:sz w:val="22"/>
                <w:szCs w:val="22"/>
              </w:rPr>
              <w:t xml:space="preserve">In the event that there is </w:t>
            </w:r>
            <w:r w:rsidRPr="006F681C">
              <w:rPr>
                <w:sz w:val="22"/>
                <w:szCs w:val="22"/>
              </w:rPr>
              <w:t xml:space="preserve">any doubt about the </w:t>
            </w:r>
            <w:r>
              <w:rPr>
                <w:sz w:val="22"/>
                <w:szCs w:val="22"/>
              </w:rPr>
              <w:t xml:space="preserve">order in which they appear, the </w:t>
            </w:r>
            <w:r w:rsidRPr="006F681C">
              <w:rPr>
                <w:sz w:val="22"/>
                <w:szCs w:val="22"/>
              </w:rPr>
              <w:t xml:space="preserve">description provided </w:t>
            </w:r>
          </w:p>
          <w:p w14:paraId="4A1AEBDE" w14:textId="22D9834D" w:rsidR="007B3696" w:rsidRPr="00101BF9" w:rsidRDefault="007B3696" w:rsidP="006F681C">
            <w:pPr>
              <w:rPr>
                <w:sz w:val="22"/>
                <w:szCs w:val="22"/>
              </w:rPr>
            </w:pPr>
            <w:r>
              <w:rPr>
                <w:sz w:val="22"/>
                <w:szCs w:val="22"/>
              </w:rPr>
              <w:lastRenderedPageBreak/>
              <w:t xml:space="preserve">by the trademark office will </w:t>
            </w:r>
            <w:r w:rsidRPr="006F681C">
              <w:rPr>
                <w:sz w:val="22"/>
                <w:szCs w:val="22"/>
              </w:rPr>
              <w:t xml:space="preserve">prevail. In the event no description is provided, such Trademarks </w:t>
            </w:r>
            <w:r>
              <w:rPr>
                <w:sz w:val="22"/>
                <w:szCs w:val="22"/>
              </w:rPr>
              <w:t xml:space="preserve">will be allocated to a Deloitte </w:t>
            </w:r>
            <w:r w:rsidRPr="006F681C">
              <w:rPr>
                <w:sz w:val="22"/>
                <w:szCs w:val="22"/>
              </w:rPr>
              <w:t>internal team with thorough knowledge of both national and regional trademark l</w:t>
            </w:r>
            <w:r>
              <w:rPr>
                <w:sz w:val="22"/>
                <w:szCs w:val="22"/>
              </w:rPr>
              <w:t xml:space="preserve">aw who will conduct independent </w:t>
            </w:r>
            <w:r w:rsidRPr="006F681C">
              <w:rPr>
                <w:sz w:val="22"/>
                <w:szCs w:val="22"/>
              </w:rPr>
              <w:t xml:space="preserve">research on how the Trademark is </w:t>
            </w:r>
            <w:r>
              <w:rPr>
                <w:sz w:val="22"/>
                <w:szCs w:val="22"/>
              </w:rPr>
              <w:t xml:space="preserve">used, e.g., </w:t>
            </w:r>
            <w:r w:rsidRPr="006F681C">
              <w:rPr>
                <w:sz w:val="22"/>
                <w:szCs w:val="22"/>
              </w:rPr>
              <w:t>check website</w:t>
            </w:r>
            <w:r>
              <w:rPr>
                <w:sz w:val="22"/>
                <w:szCs w:val="22"/>
              </w:rPr>
              <w:t xml:space="preserve">, or alternatively request that </w:t>
            </w:r>
            <w:r w:rsidRPr="006F681C">
              <w:rPr>
                <w:sz w:val="22"/>
                <w:szCs w:val="22"/>
              </w:rPr>
              <w:t>the Trad</w:t>
            </w:r>
            <w:r>
              <w:rPr>
                <w:sz w:val="22"/>
                <w:szCs w:val="22"/>
              </w:rPr>
              <w:t xml:space="preserve">emark Holder provide additional </w:t>
            </w:r>
            <w:r w:rsidRPr="006F681C">
              <w:rPr>
                <w:sz w:val="22"/>
                <w:szCs w:val="22"/>
              </w:rPr>
              <w:t>documentary evidence on how the Trademark is used.</w:t>
            </w:r>
            <w:r>
              <w:rPr>
                <w:sz w:val="22"/>
                <w:szCs w:val="22"/>
              </w:rPr>
              <w:t>”</w:t>
            </w:r>
          </w:p>
        </w:tc>
        <w:tc>
          <w:tcPr>
            <w:tcW w:w="2567" w:type="dxa"/>
          </w:tcPr>
          <w:p w14:paraId="0BC66EDE" w14:textId="77777777" w:rsidR="007B3696" w:rsidRDefault="007B3696" w:rsidP="00717618">
            <w:pPr>
              <w:rPr>
                <w:sz w:val="22"/>
                <w:szCs w:val="22"/>
              </w:rPr>
            </w:pPr>
            <w:r>
              <w:rPr>
                <w:sz w:val="22"/>
                <w:szCs w:val="22"/>
              </w:rPr>
              <w:lastRenderedPageBreak/>
              <w:t>Discuss with Deloitte previous community feedback regarding inconsistent or unclear application of the submission, verification and rejection criteria.</w:t>
            </w:r>
          </w:p>
          <w:p w14:paraId="5697E5BB" w14:textId="77777777" w:rsidR="007B3696" w:rsidRDefault="007B3696" w:rsidP="00717618">
            <w:pPr>
              <w:rPr>
                <w:sz w:val="22"/>
                <w:szCs w:val="22"/>
              </w:rPr>
            </w:pPr>
          </w:p>
          <w:p w14:paraId="76826FD6" w14:textId="1C5521C9" w:rsidR="007B3696" w:rsidRPr="00101BF9" w:rsidRDefault="007B3696" w:rsidP="00A248A0">
            <w:pPr>
              <w:rPr>
                <w:sz w:val="22"/>
                <w:szCs w:val="22"/>
              </w:rPr>
            </w:pPr>
            <w:r>
              <w:rPr>
                <w:sz w:val="22"/>
                <w:szCs w:val="22"/>
              </w:rPr>
              <w:t xml:space="preserve">Confirm whether it is possible for third parties to find information on (and thus challenge, if appropriate) TMCH </w:t>
            </w:r>
            <w:proofErr w:type="spellStart"/>
            <w:r>
              <w:rPr>
                <w:sz w:val="22"/>
                <w:szCs w:val="22"/>
              </w:rPr>
              <w:t>recordals</w:t>
            </w:r>
            <w:proofErr w:type="spellEnd"/>
            <w:r>
              <w:rPr>
                <w:sz w:val="22"/>
                <w:szCs w:val="22"/>
              </w:rPr>
              <w:t>, given that TMDB is not publicly searchable</w:t>
            </w:r>
            <w:r>
              <w:rPr>
                <w:rStyle w:val="FootnoteReference"/>
                <w:sz w:val="22"/>
                <w:szCs w:val="22"/>
              </w:rPr>
              <w:footnoteReference w:id="2"/>
            </w:r>
            <w:r>
              <w:rPr>
                <w:sz w:val="22"/>
                <w:szCs w:val="22"/>
              </w:rPr>
              <w:t>.</w:t>
            </w:r>
          </w:p>
        </w:tc>
      </w:tr>
      <w:tr w:rsidR="007B3696" w:rsidRPr="00101BF9" w14:paraId="6B7B60AC" w14:textId="77777777" w:rsidTr="007B3696">
        <w:trPr>
          <w:trHeight w:val="269"/>
        </w:trPr>
        <w:tc>
          <w:tcPr>
            <w:tcW w:w="2484" w:type="dxa"/>
          </w:tcPr>
          <w:p w14:paraId="6D6A10E0" w14:textId="2ADDEE38" w:rsidR="007B3696" w:rsidRPr="000E5C28" w:rsidRDefault="007B3696" w:rsidP="00F87D44">
            <w:pPr>
              <w:pStyle w:val="ListParagraph"/>
              <w:numPr>
                <w:ilvl w:val="0"/>
                <w:numId w:val="17"/>
              </w:numPr>
              <w:rPr>
                <w:sz w:val="22"/>
                <w:szCs w:val="22"/>
              </w:rPr>
            </w:pPr>
            <w:r w:rsidRPr="000E5C28">
              <w:rPr>
                <w:sz w:val="22"/>
                <w:szCs w:val="22"/>
              </w:rPr>
              <w:lastRenderedPageBreak/>
              <w:t xml:space="preserve">Should the TMCH be responsible for educating rights-holders, domain name registrants and potential registrants about the services it provides? If so, how? If the </w:t>
            </w:r>
            <w:r w:rsidRPr="000E5C28">
              <w:rPr>
                <w:sz w:val="22"/>
                <w:szCs w:val="22"/>
              </w:rPr>
              <w:lastRenderedPageBreak/>
              <w:t>TMCH is not to be responsible, who should be?</w:t>
            </w:r>
          </w:p>
        </w:tc>
        <w:tc>
          <w:tcPr>
            <w:tcW w:w="2586" w:type="dxa"/>
          </w:tcPr>
          <w:p w14:paraId="369EFCCB" w14:textId="20D40749" w:rsidR="007B3696" w:rsidRPr="00101BF9" w:rsidRDefault="008013A3" w:rsidP="00F850C0">
            <w:pPr>
              <w:rPr>
                <w:sz w:val="22"/>
                <w:szCs w:val="22"/>
              </w:rPr>
            </w:pPr>
            <w:r>
              <w:rPr>
                <w:sz w:val="22"/>
                <w:szCs w:val="22"/>
              </w:rPr>
              <w:lastRenderedPageBreak/>
              <w:t>No specific</w:t>
            </w:r>
            <w:r w:rsidR="007B3696">
              <w:rPr>
                <w:sz w:val="22"/>
                <w:szCs w:val="22"/>
              </w:rPr>
              <w:t xml:space="preserve"> recommendation.</w:t>
            </w:r>
          </w:p>
        </w:tc>
        <w:tc>
          <w:tcPr>
            <w:tcW w:w="2591" w:type="dxa"/>
          </w:tcPr>
          <w:p w14:paraId="0C54CA9F" w14:textId="718EE5A4" w:rsidR="007B3696" w:rsidRPr="00101BF9" w:rsidRDefault="007B3696" w:rsidP="007B3696">
            <w:pPr>
              <w:rPr>
                <w:sz w:val="22"/>
                <w:szCs w:val="22"/>
              </w:rPr>
            </w:pPr>
            <w:r>
              <w:rPr>
                <w:sz w:val="22"/>
                <w:szCs w:val="22"/>
              </w:rPr>
              <w:t>No express provisions.</w:t>
            </w:r>
          </w:p>
        </w:tc>
        <w:tc>
          <w:tcPr>
            <w:tcW w:w="2722" w:type="dxa"/>
          </w:tcPr>
          <w:p w14:paraId="2BEDE531" w14:textId="4C19DA3A" w:rsidR="007B3696" w:rsidRPr="00101BF9" w:rsidRDefault="008013A3" w:rsidP="00BE566D">
            <w:pPr>
              <w:rPr>
                <w:sz w:val="22"/>
                <w:szCs w:val="22"/>
              </w:rPr>
            </w:pPr>
            <w:r>
              <w:rPr>
                <w:sz w:val="22"/>
                <w:szCs w:val="22"/>
              </w:rPr>
              <w:t xml:space="preserve">The </w:t>
            </w:r>
            <w:r w:rsidR="00BE566D">
              <w:rPr>
                <w:sz w:val="22"/>
                <w:szCs w:val="22"/>
              </w:rPr>
              <w:t>TMCH website hosts FAQs, documents and materials, and is available in multiple languages.</w:t>
            </w:r>
          </w:p>
        </w:tc>
        <w:tc>
          <w:tcPr>
            <w:tcW w:w="2567" w:type="dxa"/>
          </w:tcPr>
          <w:p w14:paraId="0C2ACB85" w14:textId="77777777" w:rsidR="007B3696" w:rsidRDefault="007B3696" w:rsidP="00717618">
            <w:pPr>
              <w:rPr>
                <w:sz w:val="22"/>
                <w:szCs w:val="22"/>
              </w:rPr>
            </w:pPr>
            <w:r>
              <w:rPr>
                <w:sz w:val="22"/>
                <w:szCs w:val="22"/>
              </w:rPr>
              <w:t xml:space="preserve">In relation to education of registrants and the public, </w:t>
            </w:r>
            <w:r w:rsidRPr="00717618">
              <w:rPr>
                <w:sz w:val="22"/>
                <w:szCs w:val="22"/>
              </w:rPr>
              <w:t xml:space="preserve">WG to </w:t>
            </w:r>
            <w:r>
              <w:rPr>
                <w:sz w:val="22"/>
                <w:szCs w:val="22"/>
              </w:rPr>
              <w:t xml:space="preserve">further </w:t>
            </w:r>
            <w:r w:rsidRPr="00717618">
              <w:rPr>
                <w:sz w:val="22"/>
                <w:szCs w:val="22"/>
              </w:rPr>
              <w:t>consider</w:t>
            </w:r>
            <w:r>
              <w:rPr>
                <w:sz w:val="22"/>
                <w:szCs w:val="22"/>
              </w:rPr>
              <w:t xml:space="preserve"> if ICANN should prepare materials (e.g. factsheets, FAQs) about how the TMCH works (e.g. for Claims Notices and Sunrise). One way to reach registrants is for Registrars to distribute or </w:t>
            </w:r>
            <w:r>
              <w:rPr>
                <w:sz w:val="22"/>
                <w:szCs w:val="22"/>
              </w:rPr>
              <w:lastRenderedPageBreak/>
              <w:t>display information to their customers (e.g. as part of a Claims Notice). This may be something to be developed further in implementation.</w:t>
            </w:r>
          </w:p>
          <w:p w14:paraId="60CE5D7E" w14:textId="77777777" w:rsidR="007B3696" w:rsidRDefault="007B3696" w:rsidP="00717618">
            <w:pPr>
              <w:rPr>
                <w:sz w:val="22"/>
                <w:szCs w:val="22"/>
              </w:rPr>
            </w:pPr>
          </w:p>
          <w:p w14:paraId="7676B62A" w14:textId="77777777" w:rsidR="007B3696" w:rsidRDefault="007B3696" w:rsidP="00FE7014">
            <w:pPr>
              <w:rPr>
                <w:sz w:val="22"/>
                <w:szCs w:val="22"/>
              </w:rPr>
            </w:pPr>
            <w:r>
              <w:rPr>
                <w:sz w:val="22"/>
                <w:szCs w:val="22"/>
              </w:rPr>
              <w:t>In relation to education of rights-holders (which the TMCH considers its primary customers), WG to consider if additional outreach to under-served regions and outside Europe and North America may be needed.</w:t>
            </w:r>
          </w:p>
          <w:p w14:paraId="54588AE6" w14:textId="67E5A31B" w:rsidR="00B86087" w:rsidRPr="00101BF9" w:rsidRDefault="00B86087" w:rsidP="00FE7014">
            <w:pPr>
              <w:rPr>
                <w:sz w:val="22"/>
                <w:szCs w:val="22"/>
              </w:rPr>
            </w:pPr>
          </w:p>
        </w:tc>
      </w:tr>
      <w:tr w:rsidR="007B3696" w:rsidRPr="00101BF9" w14:paraId="5BFE3760" w14:textId="77777777" w:rsidTr="007B3696">
        <w:trPr>
          <w:trHeight w:val="269"/>
        </w:trPr>
        <w:tc>
          <w:tcPr>
            <w:tcW w:w="2484" w:type="dxa"/>
          </w:tcPr>
          <w:p w14:paraId="0858403A" w14:textId="77777777" w:rsidR="007B3696" w:rsidRPr="000E5C28" w:rsidRDefault="007B3696" w:rsidP="00291EEC">
            <w:pPr>
              <w:numPr>
                <w:ilvl w:val="0"/>
                <w:numId w:val="4"/>
              </w:numPr>
              <w:ind w:left="360"/>
              <w:rPr>
                <w:sz w:val="22"/>
                <w:szCs w:val="22"/>
              </w:rPr>
            </w:pPr>
            <w:r w:rsidRPr="000E5C28">
              <w:rPr>
                <w:sz w:val="22"/>
                <w:szCs w:val="22"/>
              </w:rPr>
              <w:lastRenderedPageBreak/>
              <w:t>What information on the following aspects of the operation of the TMCH is available and where can it be found?</w:t>
            </w:r>
          </w:p>
          <w:p w14:paraId="3CA49842" w14:textId="77777777" w:rsidR="007B3696" w:rsidRPr="000E5C28" w:rsidRDefault="007B3696" w:rsidP="00717618">
            <w:pPr>
              <w:rPr>
                <w:sz w:val="22"/>
                <w:szCs w:val="22"/>
              </w:rPr>
            </w:pPr>
          </w:p>
          <w:p w14:paraId="1171F5BE" w14:textId="77777777" w:rsidR="007B3696" w:rsidRPr="000E5C28" w:rsidRDefault="007B3696" w:rsidP="00291EEC">
            <w:pPr>
              <w:numPr>
                <w:ilvl w:val="0"/>
                <w:numId w:val="21"/>
              </w:numPr>
              <w:rPr>
                <w:sz w:val="22"/>
                <w:szCs w:val="22"/>
              </w:rPr>
            </w:pPr>
            <w:r w:rsidRPr="000E5C28">
              <w:rPr>
                <w:sz w:val="22"/>
                <w:szCs w:val="22"/>
              </w:rPr>
              <w:t>TMCH services;</w:t>
            </w:r>
          </w:p>
          <w:p w14:paraId="5BED44BA" w14:textId="77777777" w:rsidR="007B3696" w:rsidRPr="000E5C28" w:rsidRDefault="007B3696" w:rsidP="00291EEC">
            <w:pPr>
              <w:numPr>
                <w:ilvl w:val="0"/>
                <w:numId w:val="21"/>
              </w:numPr>
              <w:rPr>
                <w:sz w:val="22"/>
                <w:szCs w:val="22"/>
              </w:rPr>
            </w:pPr>
            <w:r w:rsidRPr="000E5C28">
              <w:rPr>
                <w:sz w:val="22"/>
                <w:szCs w:val="22"/>
              </w:rPr>
              <w:t>Contractual relationships between the TMCH providers and private parties; and</w:t>
            </w:r>
          </w:p>
          <w:p w14:paraId="08CD11FC" w14:textId="77252D4A" w:rsidR="007B3696" w:rsidRPr="000E5C28" w:rsidRDefault="007B3696" w:rsidP="00BE566D">
            <w:pPr>
              <w:numPr>
                <w:ilvl w:val="0"/>
                <w:numId w:val="21"/>
              </w:numPr>
              <w:rPr>
                <w:sz w:val="22"/>
                <w:szCs w:val="22"/>
              </w:rPr>
            </w:pPr>
            <w:r w:rsidRPr="000E5C28">
              <w:rPr>
                <w:sz w:val="22"/>
                <w:szCs w:val="22"/>
              </w:rPr>
              <w:lastRenderedPageBreak/>
              <w:t>With whom does the TMCH share data and for what purposes?</w:t>
            </w:r>
          </w:p>
        </w:tc>
        <w:tc>
          <w:tcPr>
            <w:tcW w:w="2586" w:type="dxa"/>
          </w:tcPr>
          <w:p w14:paraId="179497B1" w14:textId="7399E8D2" w:rsidR="007B3696" w:rsidRPr="00BE566D" w:rsidRDefault="00BE566D" w:rsidP="009A6DAE">
            <w:pPr>
              <w:rPr>
                <w:sz w:val="22"/>
                <w:szCs w:val="22"/>
                <w:u w:val="single"/>
              </w:rPr>
            </w:pPr>
            <w:r w:rsidRPr="00BE566D">
              <w:rPr>
                <w:sz w:val="22"/>
                <w:szCs w:val="22"/>
                <w:u w:val="single"/>
              </w:rPr>
              <w:lastRenderedPageBreak/>
              <w:t>6.1: Use of TC for Ancillary Services</w:t>
            </w:r>
            <w:r>
              <w:rPr>
                <w:rStyle w:val="FootnoteReference"/>
                <w:sz w:val="22"/>
                <w:szCs w:val="22"/>
                <w:u w:val="single"/>
              </w:rPr>
              <w:footnoteReference w:id="3"/>
            </w:r>
          </w:p>
          <w:p w14:paraId="143B47DF" w14:textId="3298AB7C" w:rsidR="00BE566D" w:rsidRDefault="00BE566D" w:rsidP="009A6DAE">
            <w:pPr>
              <w:rPr>
                <w:sz w:val="22"/>
                <w:szCs w:val="22"/>
              </w:rPr>
            </w:pPr>
            <w:r w:rsidRPr="00BE566D">
              <w:rPr>
                <w:sz w:val="22"/>
                <w:szCs w:val="22"/>
              </w:rPr>
              <w:t>There should be no bar on the TC Service Provider or other third party service providers providing ancillary services on a non-exclusive basis.  Such services could include, without limitation, a “marks contained” se</w:t>
            </w:r>
            <w:r w:rsidR="00005CBD">
              <w:rPr>
                <w:sz w:val="22"/>
                <w:szCs w:val="22"/>
              </w:rPr>
              <w:t xml:space="preserve">rvice, or a TM watch service. </w:t>
            </w:r>
            <w:r w:rsidRPr="00BE566D">
              <w:rPr>
                <w:sz w:val="22"/>
                <w:szCs w:val="22"/>
              </w:rPr>
              <w:t xml:space="preserve">In </w:t>
            </w:r>
            <w:proofErr w:type="gramStart"/>
            <w:r w:rsidRPr="00BE566D">
              <w:rPr>
                <w:sz w:val="22"/>
                <w:szCs w:val="22"/>
              </w:rPr>
              <w:t>order</w:t>
            </w:r>
            <w:proofErr w:type="gramEnd"/>
            <w:r w:rsidRPr="00BE566D">
              <w:rPr>
                <w:sz w:val="22"/>
                <w:szCs w:val="22"/>
              </w:rPr>
              <w:t xml:space="preserve"> not to have a competitive advantage over </w:t>
            </w:r>
            <w:r w:rsidRPr="00BE566D">
              <w:rPr>
                <w:sz w:val="22"/>
                <w:szCs w:val="22"/>
              </w:rPr>
              <w:lastRenderedPageBreak/>
              <w:t xml:space="preserve">competitors, the TC database should be licensed to competitors interested in providing ancillary services on </w:t>
            </w:r>
            <w:r w:rsidRPr="00BE566D">
              <w:rPr>
                <w:iCs/>
                <w:sz w:val="22"/>
                <w:szCs w:val="22"/>
                <w:lang w:val="en-GB"/>
              </w:rPr>
              <w:t>equal and non-discriminatory terms, and on commercially reasonable terms; provided that the TC Service Provider is not materially advantaged in the provision of such ancillary services by virtue of it being the TC Service Provider</w:t>
            </w:r>
            <w:r w:rsidRPr="00BE566D">
              <w:rPr>
                <w:sz w:val="22"/>
                <w:szCs w:val="22"/>
                <w:lang w:val="en-GB"/>
              </w:rPr>
              <w:t xml:space="preserve">.  The </w:t>
            </w:r>
            <w:r w:rsidRPr="00BE566D">
              <w:rPr>
                <w:iCs/>
                <w:sz w:val="22"/>
                <w:szCs w:val="22"/>
                <w:lang w:val="en-GB"/>
              </w:rPr>
              <w:t>specific</w:t>
            </w:r>
            <w:r w:rsidRPr="00BE566D">
              <w:rPr>
                <w:i/>
                <w:iCs/>
                <w:sz w:val="22"/>
                <w:szCs w:val="22"/>
                <w:lang w:val="en-GB"/>
              </w:rPr>
              <w:t xml:space="preserve"> </w:t>
            </w:r>
            <w:r w:rsidRPr="00BE566D">
              <w:rPr>
                <w:sz w:val="22"/>
                <w:szCs w:val="22"/>
              </w:rPr>
              <w:t>implementation details should be left to Staff to address possible monopoly and competition concerns</w:t>
            </w:r>
            <w:r w:rsidRPr="00BE566D">
              <w:rPr>
                <w:sz w:val="22"/>
                <w:szCs w:val="22"/>
                <w:lang w:val="en-GB"/>
              </w:rPr>
              <w:t xml:space="preserve">, </w:t>
            </w:r>
            <w:r w:rsidRPr="00BE566D">
              <w:rPr>
                <w:iCs/>
                <w:sz w:val="22"/>
                <w:szCs w:val="22"/>
                <w:lang w:val="en-GB"/>
              </w:rPr>
              <w:t>and all terms and conditions related to the provision of such services shall be included in the TC Service Provider’s agreement with ICANN and subject to ICANN review</w:t>
            </w:r>
            <w:r w:rsidRPr="00BE566D">
              <w:rPr>
                <w:sz w:val="22"/>
                <w:szCs w:val="22"/>
              </w:rPr>
              <w:t>.</w:t>
            </w:r>
          </w:p>
          <w:p w14:paraId="414101C4" w14:textId="77777777" w:rsidR="000E5C28" w:rsidRDefault="000E5C28" w:rsidP="009A6DAE">
            <w:pPr>
              <w:rPr>
                <w:sz w:val="22"/>
                <w:szCs w:val="22"/>
              </w:rPr>
            </w:pPr>
          </w:p>
          <w:p w14:paraId="7ECF5158" w14:textId="3B19929B" w:rsidR="000E5C28" w:rsidRPr="00101BF9" w:rsidRDefault="000E5C28" w:rsidP="009A6DAE">
            <w:pPr>
              <w:rPr>
                <w:sz w:val="22"/>
                <w:szCs w:val="22"/>
              </w:rPr>
            </w:pPr>
            <w:r>
              <w:rPr>
                <w:iCs/>
                <w:sz w:val="22"/>
                <w:szCs w:val="22"/>
                <w:lang w:val="en-GB"/>
              </w:rPr>
              <w:t>[I]</w:t>
            </w:r>
            <w:r w:rsidRPr="000E5C28">
              <w:rPr>
                <w:sz w:val="22"/>
                <w:szCs w:val="22"/>
                <w:lang w:val="en-GB"/>
              </w:rPr>
              <w:t xml:space="preserve">f </w:t>
            </w:r>
            <w:r w:rsidRPr="000E5C28">
              <w:rPr>
                <w:sz w:val="22"/>
                <w:szCs w:val="22"/>
              </w:rPr>
              <w:t xml:space="preserve">the TC Service Provider provides such ancillary services, any information should be </w:t>
            </w:r>
            <w:r w:rsidRPr="000E5C28">
              <w:rPr>
                <w:sz w:val="22"/>
                <w:szCs w:val="22"/>
              </w:rPr>
              <w:lastRenderedPageBreak/>
              <w:t>stored in a separate database</w:t>
            </w:r>
          </w:p>
        </w:tc>
        <w:tc>
          <w:tcPr>
            <w:tcW w:w="2591" w:type="dxa"/>
          </w:tcPr>
          <w:p w14:paraId="6E0A763D" w14:textId="77777777" w:rsidR="00BE566D" w:rsidRPr="00BE566D" w:rsidRDefault="00BE566D" w:rsidP="00BE566D">
            <w:pPr>
              <w:rPr>
                <w:sz w:val="22"/>
                <w:szCs w:val="22"/>
              </w:rPr>
            </w:pPr>
            <w:r>
              <w:rPr>
                <w:sz w:val="22"/>
                <w:szCs w:val="22"/>
              </w:rPr>
              <w:lastRenderedPageBreak/>
              <w:t xml:space="preserve">4.1: </w:t>
            </w:r>
            <w:r w:rsidRPr="00BE566D">
              <w:rPr>
                <w:sz w:val="22"/>
                <w:szCs w:val="22"/>
              </w:rPr>
              <w:t>There shall be no bar on the Trademark Clearinghouse</w:t>
            </w:r>
          </w:p>
          <w:p w14:paraId="2267031D" w14:textId="77777777" w:rsidR="00BE566D" w:rsidRPr="00BE566D" w:rsidRDefault="00BE566D" w:rsidP="00BE566D">
            <w:pPr>
              <w:rPr>
                <w:sz w:val="22"/>
                <w:szCs w:val="22"/>
              </w:rPr>
            </w:pPr>
            <w:r w:rsidRPr="00BE566D">
              <w:rPr>
                <w:sz w:val="22"/>
                <w:szCs w:val="22"/>
              </w:rPr>
              <w:t>Service Provider or other third party service providers providing ancillary services on a</w:t>
            </w:r>
          </w:p>
          <w:p w14:paraId="64EF3A3D" w14:textId="77777777" w:rsidR="00BE566D" w:rsidRPr="00BE566D" w:rsidRDefault="00BE566D" w:rsidP="00BE566D">
            <w:pPr>
              <w:rPr>
                <w:sz w:val="22"/>
                <w:szCs w:val="22"/>
              </w:rPr>
            </w:pPr>
            <w:r w:rsidRPr="00BE566D">
              <w:rPr>
                <w:sz w:val="22"/>
                <w:szCs w:val="22"/>
              </w:rPr>
              <w:t>non-exclusive basis.</w:t>
            </w:r>
          </w:p>
          <w:p w14:paraId="6F4AE588" w14:textId="77777777" w:rsidR="007B3696" w:rsidRDefault="007B3696" w:rsidP="00BE566D">
            <w:pPr>
              <w:rPr>
                <w:sz w:val="22"/>
                <w:szCs w:val="22"/>
              </w:rPr>
            </w:pPr>
          </w:p>
          <w:p w14:paraId="7D13D816" w14:textId="77777777" w:rsidR="00BE566D" w:rsidRDefault="00BE566D" w:rsidP="00BE566D">
            <w:pPr>
              <w:rPr>
                <w:sz w:val="22"/>
                <w:szCs w:val="22"/>
              </w:rPr>
            </w:pPr>
            <w:r>
              <w:rPr>
                <w:sz w:val="22"/>
                <w:szCs w:val="22"/>
              </w:rPr>
              <w:t xml:space="preserve">4.2: </w:t>
            </w:r>
            <w:r w:rsidRPr="00BE566D">
              <w:rPr>
                <w:sz w:val="22"/>
                <w:szCs w:val="22"/>
              </w:rPr>
              <w:t xml:space="preserve">In </w:t>
            </w:r>
            <w:proofErr w:type="gramStart"/>
            <w:r w:rsidRPr="00BE566D">
              <w:rPr>
                <w:sz w:val="22"/>
                <w:szCs w:val="22"/>
              </w:rPr>
              <w:t>order</w:t>
            </w:r>
            <w:proofErr w:type="gramEnd"/>
            <w:r w:rsidRPr="00BE566D">
              <w:rPr>
                <w:sz w:val="22"/>
                <w:szCs w:val="22"/>
              </w:rPr>
              <w:t xml:space="preserve"> not to create a competitive advantage, the data in the Trademark Clearinghouse should be licensed to competitors interested in providing </w:t>
            </w:r>
            <w:r w:rsidRPr="00BE566D">
              <w:rPr>
                <w:sz w:val="22"/>
                <w:szCs w:val="22"/>
              </w:rPr>
              <w:lastRenderedPageBreak/>
              <w:t>ancillary services on equal and non-discriminatory terms and on commercially reasonable terms</w:t>
            </w:r>
            <w:r>
              <w:rPr>
                <w:sz w:val="22"/>
                <w:szCs w:val="22"/>
              </w:rPr>
              <w:t xml:space="preserve"> </w:t>
            </w:r>
            <w:r w:rsidRPr="00BE566D">
              <w:rPr>
                <w:sz w:val="22"/>
                <w:szCs w:val="22"/>
              </w:rPr>
              <w:t xml:space="preserve">if the mark holders agree. </w:t>
            </w:r>
          </w:p>
          <w:p w14:paraId="5FDB7252" w14:textId="77777777" w:rsidR="00BE566D" w:rsidRDefault="00BE566D" w:rsidP="00BE566D">
            <w:pPr>
              <w:rPr>
                <w:sz w:val="22"/>
                <w:szCs w:val="22"/>
              </w:rPr>
            </w:pPr>
          </w:p>
          <w:p w14:paraId="00BDA336" w14:textId="77777777" w:rsidR="00BE566D" w:rsidRDefault="00BE566D" w:rsidP="00BE566D">
            <w:pPr>
              <w:rPr>
                <w:sz w:val="22"/>
                <w:szCs w:val="22"/>
              </w:rPr>
            </w:pPr>
            <w:r w:rsidRPr="00BE566D">
              <w:rPr>
                <w:sz w:val="22"/>
                <w:szCs w:val="22"/>
              </w:rPr>
              <w:t xml:space="preserve">Accordingly, two licensing options will be offered to the mark holder:  (a) </w:t>
            </w:r>
            <w:proofErr w:type="spellStart"/>
            <w:r w:rsidRPr="00BE566D">
              <w:rPr>
                <w:sz w:val="22"/>
                <w:szCs w:val="22"/>
              </w:rPr>
              <w:t>a</w:t>
            </w:r>
            <w:proofErr w:type="spellEnd"/>
            <w:r w:rsidRPr="00BE566D">
              <w:rPr>
                <w:sz w:val="22"/>
                <w:szCs w:val="22"/>
              </w:rPr>
              <w:t xml:space="preserve"> license to use its data for all required features of the Trademark Clearinghouse, with no permitted use of such data for ancillary services either by the Trademark Clearinghouse Service Provider or any other entity; or (b) license to use its data for the mandatory features of the Trademark Clearinghouse and for any ancillary uses reasonably related to the protection of marks in new </w:t>
            </w:r>
            <w:proofErr w:type="spellStart"/>
            <w:r w:rsidRPr="00BE566D">
              <w:rPr>
                <w:sz w:val="22"/>
                <w:szCs w:val="22"/>
              </w:rPr>
              <w:t>gTLDs</w:t>
            </w:r>
            <w:proofErr w:type="spellEnd"/>
            <w:r w:rsidRPr="00BE566D">
              <w:rPr>
                <w:sz w:val="22"/>
                <w:szCs w:val="22"/>
              </w:rPr>
              <w:t xml:space="preserve">, which would include a license to allow the Clearinghouse to license the use and data in the Trademark Clearinghouse to competitors that also </w:t>
            </w:r>
            <w:r w:rsidRPr="00BE566D">
              <w:rPr>
                <w:sz w:val="22"/>
                <w:szCs w:val="22"/>
              </w:rPr>
              <w:lastRenderedPageBreak/>
              <w:t xml:space="preserve">provide those ancillary services. </w:t>
            </w:r>
          </w:p>
          <w:p w14:paraId="3B8EBDCC" w14:textId="77777777" w:rsidR="00BE566D" w:rsidRDefault="00BE566D" w:rsidP="00BE566D">
            <w:pPr>
              <w:rPr>
                <w:sz w:val="22"/>
                <w:szCs w:val="22"/>
              </w:rPr>
            </w:pPr>
          </w:p>
          <w:p w14:paraId="627EB302" w14:textId="062B05EB" w:rsidR="00BE566D" w:rsidRPr="00101BF9" w:rsidRDefault="00BE566D" w:rsidP="00BE566D">
            <w:pPr>
              <w:rPr>
                <w:sz w:val="22"/>
                <w:szCs w:val="22"/>
              </w:rPr>
            </w:pPr>
            <w:r w:rsidRPr="00BE566D">
              <w:rPr>
                <w:sz w:val="22"/>
                <w:szCs w:val="22"/>
              </w:rPr>
              <w:t>The specific implementation details will be determined, and all terms and conditions related to the provision of such services shall be included in the Trademark Clearinghouse Service Provider’s contract with ICANN and subject to ICANN review</w:t>
            </w:r>
            <w:r>
              <w:rPr>
                <w:sz w:val="22"/>
                <w:szCs w:val="22"/>
              </w:rPr>
              <w:t>.</w:t>
            </w:r>
          </w:p>
        </w:tc>
        <w:tc>
          <w:tcPr>
            <w:tcW w:w="2722" w:type="dxa"/>
          </w:tcPr>
          <w:p w14:paraId="10EFD6AA" w14:textId="0DEC0C87" w:rsidR="007B3696" w:rsidRPr="00101BF9" w:rsidRDefault="007B3696" w:rsidP="00C50EB8">
            <w:pPr>
              <w:rPr>
                <w:sz w:val="22"/>
                <w:szCs w:val="22"/>
              </w:rPr>
            </w:pPr>
          </w:p>
          <w:p w14:paraId="2808B1FA" w14:textId="0947B3D4" w:rsidR="007B3696" w:rsidRPr="00101BF9" w:rsidRDefault="007B3696" w:rsidP="00C50EB8">
            <w:pPr>
              <w:rPr>
                <w:sz w:val="22"/>
                <w:szCs w:val="22"/>
              </w:rPr>
            </w:pPr>
          </w:p>
        </w:tc>
        <w:tc>
          <w:tcPr>
            <w:tcW w:w="2567" w:type="dxa"/>
          </w:tcPr>
          <w:p w14:paraId="108D4649" w14:textId="6FAF3812" w:rsidR="007B3696" w:rsidRPr="00101BF9" w:rsidRDefault="007B3696" w:rsidP="00FE7014">
            <w:pPr>
              <w:rPr>
                <w:sz w:val="22"/>
                <w:szCs w:val="22"/>
              </w:rPr>
            </w:pPr>
            <w:r>
              <w:rPr>
                <w:sz w:val="22"/>
                <w:szCs w:val="22"/>
              </w:rPr>
              <w:t xml:space="preserve">WG to follow up with Deloitte on URS provider feedback about lack of access to SMD files to verify rights-holders claims and proof of use – this can be done when WG reviews the URS. </w:t>
            </w:r>
          </w:p>
        </w:tc>
      </w:tr>
    </w:tbl>
    <w:p w14:paraId="34395BB9" w14:textId="77777777" w:rsidR="00B86087" w:rsidRDefault="00B86087"/>
    <w:p w14:paraId="1780A1C0" w14:textId="0F1A9BB3" w:rsidR="00B86087" w:rsidRPr="00B86087" w:rsidRDefault="00B86087">
      <w:pPr>
        <w:rPr>
          <w:b/>
        </w:rPr>
      </w:pPr>
      <w:r w:rsidRPr="00B86087">
        <w:rPr>
          <w:b/>
        </w:rPr>
        <w:t>CATEGORY 2: VERIFICATION &amp; UPDATING OF TMCH DATA</w:t>
      </w:r>
    </w:p>
    <w:p w14:paraId="3CC9F88D" w14:textId="77777777" w:rsidR="00B86087" w:rsidRDefault="00B86087"/>
    <w:tbl>
      <w:tblPr>
        <w:tblStyle w:val="TableGrid"/>
        <w:tblW w:w="12946" w:type="dxa"/>
        <w:tblLayout w:type="fixed"/>
        <w:tblCellMar>
          <w:left w:w="115" w:type="dxa"/>
          <w:right w:w="115" w:type="dxa"/>
        </w:tblCellMar>
        <w:tblLook w:val="04A0" w:firstRow="1" w:lastRow="0" w:firstColumn="1" w:lastColumn="0" w:noHBand="0" w:noVBand="1"/>
      </w:tblPr>
      <w:tblGrid>
        <w:gridCol w:w="2590"/>
        <w:gridCol w:w="2589"/>
        <w:gridCol w:w="2589"/>
        <w:gridCol w:w="2589"/>
        <w:gridCol w:w="2589"/>
      </w:tblGrid>
      <w:tr w:rsidR="001856CA" w:rsidRPr="00101BF9" w14:paraId="00F891F3" w14:textId="77777777" w:rsidTr="001856CA">
        <w:trPr>
          <w:trHeight w:val="144"/>
        </w:trPr>
        <w:tc>
          <w:tcPr>
            <w:tcW w:w="2590" w:type="dxa"/>
            <w:shd w:val="clear" w:color="auto" w:fill="D9E2F3" w:themeFill="accent1" w:themeFillTint="33"/>
          </w:tcPr>
          <w:p w14:paraId="4E4A2A28" w14:textId="4B95DC68" w:rsidR="001856CA" w:rsidRPr="007732BF" w:rsidRDefault="001856CA" w:rsidP="00B86087">
            <w:pPr>
              <w:rPr>
                <w:b/>
                <w:sz w:val="22"/>
                <w:szCs w:val="22"/>
              </w:rPr>
            </w:pPr>
            <w:r w:rsidRPr="007732BF">
              <w:rPr>
                <w:b/>
                <w:sz w:val="22"/>
                <w:szCs w:val="22"/>
              </w:rPr>
              <w:t>Charter Questions</w:t>
            </w:r>
          </w:p>
        </w:tc>
        <w:tc>
          <w:tcPr>
            <w:tcW w:w="2589" w:type="dxa"/>
            <w:shd w:val="clear" w:color="auto" w:fill="D9E2F3" w:themeFill="accent1" w:themeFillTint="33"/>
          </w:tcPr>
          <w:p w14:paraId="08A183A3" w14:textId="56E39D0A" w:rsidR="001856CA" w:rsidRPr="007732BF" w:rsidRDefault="001856CA" w:rsidP="00230F63">
            <w:pPr>
              <w:rPr>
                <w:b/>
                <w:sz w:val="22"/>
                <w:szCs w:val="22"/>
              </w:rPr>
            </w:pPr>
            <w:r w:rsidRPr="007732BF">
              <w:rPr>
                <w:b/>
                <w:sz w:val="22"/>
                <w:szCs w:val="22"/>
              </w:rPr>
              <w:t>STI Recommendations</w:t>
            </w:r>
            <w:r w:rsidR="00491A54">
              <w:rPr>
                <w:b/>
                <w:sz w:val="22"/>
                <w:szCs w:val="22"/>
              </w:rPr>
              <w:t xml:space="preserve"> (approved by GNSO Council &amp; ICANN Board)</w:t>
            </w:r>
            <w:r w:rsidRPr="007732BF">
              <w:rPr>
                <w:b/>
                <w:sz w:val="22"/>
                <w:szCs w:val="22"/>
              </w:rPr>
              <w:t xml:space="preserve"> </w:t>
            </w:r>
          </w:p>
        </w:tc>
        <w:tc>
          <w:tcPr>
            <w:tcW w:w="2589" w:type="dxa"/>
            <w:shd w:val="clear" w:color="auto" w:fill="D9E2F3" w:themeFill="accent1" w:themeFillTint="33"/>
          </w:tcPr>
          <w:p w14:paraId="3743B4B2" w14:textId="6A19B073" w:rsidR="001856CA" w:rsidRPr="007732BF" w:rsidRDefault="001856CA" w:rsidP="00FE7014">
            <w:pPr>
              <w:rPr>
                <w:b/>
                <w:sz w:val="22"/>
                <w:szCs w:val="22"/>
              </w:rPr>
            </w:pPr>
            <w:r w:rsidRPr="007732BF">
              <w:rPr>
                <w:b/>
                <w:sz w:val="22"/>
                <w:szCs w:val="22"/>
              </w:rPr>
              <w:t>A</w:t>
            </w:r>
            <w:r w:rsidR="00491A54">
              <w:rPr>
                <w:b/>
                <w:sz w:val="22"/>
                <w:szCs w:val="22"/>
              </w:rPr>
              <w:t>pplicant Guidebook</w:t>
            </w:r>
            <w:bookmarkStart w:id="0" w:name="_GoBack"/>
            <w:bookmarkEnd w:id="0"/>
          </w:p>
        </w:tc>
        <w:tc>
          <w:tcPr>
            <w:tcW w:w="2589" w:type="dxa"/>
            <w:shd w:val="clear" w:color="auto" w:fill="D9E2F3" w:themeFill="accent1" w:themeFillTint="33"/>
          </w:tcPr>
          <w:p w14:paraId="3B77D825" w14:textId="11240B1C" w:rsidR="001856CA" w:rsidRPr="007732BF" w:rsidRDefault="001856CA" w:rsidP="00FE7014">
            <w:pPr>
              <w:rPr>
                <w:b/>
                <w:sz w:val="22"/>
                <w:szCs w:val="22"/>
              </w:rPr>
            </w:pPr>
            <w:r w:rsidRPr="007732BF">
              <w:rPr>
                <w:b/>
                <w:sz w:val="22"/>
                <w:szCs w:val="22"/>
              </w:rPr>
              <w:t>Other Program Documentation</w:t>
            </w:r>
          </w:p>
        </w:tc>
        <w:tc>
          <w:tcPr>
            <w:tcW w:w="2589" w:type="dxa"/>
            <w:shd w:val="clear" w:color="auto" w:fill="D9E2F3" w:themeFill="accent1" w:themeFillTint="33"/>
          </w:tcPr>
          <w:p w14:paraId="4467D8CD" w14:textId="3DA239A3" w:rsidR="001856CA" w:rsidRPr="007732BF" w:rsidRDefault="001856CA" w:rsidP="00FE7014">
            <w:pPr>
              <w:rPr>
                <w:b/>
                <w:sz w:val="22"/>
                <w:szCs w:val="22"/>
              </w:rPr>
            </w:pPr>
            <w:r w:rsidRPr="00BB2016">
              <w:rPr>
                <w:b/>
                <w:sz w:val="22"/>
                <w:szCs w:val="22"/>
              </w:rPr>
              <w:t>WG Discussion</w:t>
            </w:r>
          </w:p>
        </w:tc>
      </w:tr>
      <w:tr w:rsidR="001856CA" w:rsidRPr="00101BF9" w14:paraId="2E2AB2C7" w14:textId="77777777" w:rsidTr="001856CA">
        <w:trPr>
          <w:trHeight w:val="144"/>
        </w:trPr>
        <w:tc>
          <w:tcPr>
            <w:tcW w:w="2590" w:type="dxa"/>
          </w:tcPr>
          <w:p w14:paraId="4A9CD311" w14:textId="5CB326B8" w:rsidR="001856CA" w:rsidRPr="00B86087" w:rsidRDefault="001856CA" w:rsidP="001856CA">
            <w:pPr>
              <w:pStyle w:val="ListParagraph"/>
              <w:numPr>
                <w:ilvl w:val="0"/>
                <w:numId w:val="1"/>
              </w:numPr>
              <w:rPr>
                <w:sz w:val="22"/>
                <w:szCs w:val="22"/>
              </w:rPr>
            </w:pPr>
            <w:r w:rsidRPr="00BB2016">
              <w:rPr>
                <w:sz w:val="22"/>
                <w:szCs w:val="22"/>
              </w:rPr>
              <w:t>Should the verification criteria used by the TMCH to determine if a submitted mark meets the eligibility and other requirements of the TMCH be clarified or amended? If so how?</w:t>
            </w:r>
          </w:p>
        </w:tc>
        <w:tc>
          <w:tcPr>
            <w:tcW w:w="2589" w:type="dxa"/>
          </w:tcPr>
          <w:p w14:paraId="13D445E3" w14:textId="7DE66446" w:rsidR="001856CA" w:rsidRPr="00101BF9" w:rsidRDefault="001856CA" w:rsidP="007732BF">
            <w:pPr>
              <w:rPr>
                <w:sz w:val="22"/>
                <w:szCs w:val="22"/>
              </w:rPr>
            </w:pPr>
            <w:r>
              <w:rPr>
                <w:sz w:val="22"/>
                <w:szCs w:val="22"/>
              </w:rPr>
              <w:t>No specific recommendations.</w:t>
            </w:r>
          </w:p>
        </w:tc>
        <w:tc>
          <w:tcPr>
            <w:tcW w:w="2589" w:type="dxa"/>
          </w:tcPr>
          <w:p w14:paraId="0AA1D023" w14:textId="77777777" w:rsidR="001856CA" w:rsidRDefault="001856CA" w:rsidP="007732BF">
            <w:pPr>
              <w:rPr>
                <w:sz w:val="22"/>
                <w:szCs w:val="22"/>
              </w:rPr>
            </w:pPr>
            <w:r>
              <w:rPr>
                <w:sz w:val="22"/>
                <w:szCs w:val="22"/>
              </w:rPr>
              <w:t>See Section 3.3 – 3.9 (detailing submission data required for verification of each type of mark submitted)</w:t>
            </w:r>
          </w:p>
          <w:p w14:paraId="7CBA882E" w14:textId="77777777" w:rsidR="001856CA" w:rsidRDefault="001856CA" w:rsidP="007732BF">
            <w:pPr>
              <w:rPr>
                <w:sz w:val="22"/>
                <w:szCs w:val="22"/>
              </w:rPr>
            </w:pPr>
          </w:p>
          <w:p w14:paraId="1B075921" w14:textId="0A59A413" w:rsidR="001856CA" w:rsidRPr="007732BF" w:rsidRDefault="001856CA" w:rsidP="007732BF">
            <w:pPr>
              <w:rPr>
                <w:sz w:val="22"/>
                <w:szCs w:val="22"/>
              </w:rPr>
            </w:pPr>
            <w:r>
              <w:rPr>
                <w:sz w:val="22"/>
                <w:szCs w:val="22"/>
              </w:rPr>
              <w:t xml:space="preserve">5.1: </w:t>
            </w:r>
            <w:r w:rsidRPr="007732BF">
              <w:rPr>
                <w:sz w:val="22"/>
                <w:szCs w:val="22"/>
              </w:rPr>
              <w:t xml:space="preserve">One core function for inclusion in the Clearinghouse would be to authenticate that the data meets certain minimum criteria.  As such, the following </w:t>
            </w:r>
            <w:r w:rsidRPr="007732BF">
              <w:rPr>
                <w:sz w:val="22"/>
                <w:szCs w:val="22"/>
              </w:rPr>
              <w:lastRenderedPageBreak/>
              <w:t>minimum criteria are suggested:</w:t>
            </w:r>
          </w:p>
          <w:p w14:paraId="03F309C1" w14:textId="77777777" w:rsidR="001856CA" w:rsidRPr="007732BF" w:rsidRDefault="001856CA" w:rsidP="007732BF">
            <w:pPr>
              <w:rPr>
                <w:sz w:val="22"/>
                <w:szCs w:val="22"/>
              </w:rPr>
            </w:pPr>
          </w:p>
          <w:p w14:paraId="1DC9DE86" w14:textId="0B3F0245" w:rsidR="001856CA" w:rsidRPr="007732BF" w:rsidRDefault="001856CA" w:rsidP="007732BF">
            <w:pPr>
              <w:rPr>
                <w:sz w:val="22"/>
                <w:szCs w:val="22"/>
              </w:rPr>
            </w:pPr>
            <w:r w:rsidRPr="007732BF">
              <w:rPr>
                <w:sz w:val="22"/>
                <w:szCs w:val="22"/>
              </w:rPr>
              <w:t>5.1</w:t>
            </w:r>
            <w:r>
              <w:rPr>
                <w:sz w:val="22"/>
                <w:szCs w:val="22"/>
              </w:rPr>
              <w:t xml:space="preserve">.1 </w:t>
            </w:r>
            <w:r w:rsidRPr="007732BF">
              <w:rPr>
                <w:sz w:val="22"/>
                <w:szCs w:val="22"/>
              </w:rPr>
              <w:t>An acceptable list of data authentication sources, i.e. the web sites of patent and trademark offices throughout the world, third party providers who can obtain information from various trademark offices;</w:t>
            </w:r>
          </w:p>
          <w:p w14:paraId="646A7100" w14:textId="77777777" w:rsidR="001856CA" w:rsidRPr="007732BF" w:rsidRDefault="001856CA" w:rsidP="007732BF">
            <w:pPr>
              <w:rPr>
                <w:sz w:val="22"/>
                <w:szCs w:val="22"/>
              </w:rPr>
            </w:pPr>
          </w:p>
          <w:p w14:paraId="627E0149" w14:textId="4E024523" w:rsidR="001856CA" w:rsidRPr="007732BF" w:rsidRDefault="001856CA" w:rsidP="007732BF">
            <w:pPr>
              <w:rPr>
                <w:sz w:val="22"/>
                <w:szCs w:val="22"/>
              </w:rPr>
            </w:pPr>
            <w:r w:rsidRPr="007732BF">
              <w:rPr>
                <w:sz w:val="22"/>
                <w:szCs w:val="22"/>
              </w:rPr>
              <w:t>5.1</w:t>
            </w:r>
            <w:r>
              <w:rPr>
                <w:sz w:val="22"/>
                <w:szCs w:val="22"/>
              </w:rPr>
              <w:t xml:space="preserve">.2 </w:t>
            </w:r>
            <w:r w:rsidRPr="007732BF">
              <w:rPr>
                <w:sz w:val="22"/>
                <w:szCs w:val="22"/>
              </w:rPr>
              <w:t>Name, address and contact information of the applicant is accurate, current and matches that of the registered owner of the trademarks listed;</w:t>
            </w:r>
          </w:p>
          <w:p w14:paraId="17044A21" w14:textId="77777777" w:rsidR="001856CA" w:rsidRPr="007732BF" w:rsidRDefault="001856CA" w:rsidP="007732BF">
            <w:pPr>
              <w:rPr>
                <w:sz w:val="22"/>
                <w:szCs w:val="22"/>
              </w:rPr>
            </w:pPr>
          </w:p>
          <w:p w14:paraId="1A9C8A17" w14:textId="0472CEF5" w:rsidR="001856CA" w:rsidRPr="007732BF" w:rsidRDefault="001856CA" w:rsidP="007732BF">
            <w:pPr>
              <w:rPr>
                <w:sz w:val="22"/>
                <w:szCs w:val="22"/>
              </w:rPr>
            </w:pPr>
            <w:r w:rsidRPr="007732BF">
              <w:rPr>
                <w:sz w:val="22"/>
                <w:szCs w:val="22"/>
              </w:rPr>
              <w:t>5.1.3</w:t>
            </w:r>
            <w:r>
              <w:rPr>
                <w:sz w:val="22"/>
                <w:szCs w:val="22"/>
              </w:rPr>
              <w:t xml:space="preserve"> </w:t>
            </w:r>
            <w:r w:rsidRPr="007732BF">
              <w:rPr>
                <w:sz w:val="22"/>
                <w:szCs w:val="22"/>
              </w:rPr>
              <w:t>Electronic contact information is provided and accurate;</w:t>
            </w:r>
          </w:p>
          <w:p w14:paraId="026A4D61" w14:textId="77777777" w:rsidR="001856CA" w:rsidRPr="007732BF" w:rsidRDefault="001856CA" w:rsidP="007732BF">
            <w:pPr>
              <w:rPr>
                <w:sz w:val="22"/>
                <w:szCs w:val="22"/>
              </w:rPr>
            </w:pPr>
          </w:p>
          <w:p w14:paraId="43273E7B" w14:textId="3ED54949" w:rsidR="001856CA" w:rsidRPr="007732BF" w:rsidRDefault="001856CA" w:rsidP="007732BF">
            <w:pPr>
              <w:rPr>
                <w:sz w:val="22"/>
                <w:szCs w:val="22"/>
              </w:rPr>
            </w:pPr>
            <w:r w:rsidRPr="007732BF">
              <w:rPr>
                <w:sz w:val="22"/>
                <w:szCs w:val="22"/>
              </w:rPr>
              <w:t>5.1</w:t>
            </w:r>
            <w:r>
              <w:rPr>
                <w:sz w:val="22"/>
                <w:szCs w:val="22"/>
              </w:rPr>
              <w:t xml:space="preserve">.4 </w:t>
            </w:r>
            <w:r w:rsidRPr="007732BF">
              <w:rPr>
                <w:sz w:val="22"/>
                <w:szCs w:val="22"/>
              </w:rPr>
              <w:t>The registration numbers and countries match the information in the respective trademark office database for that registration number.</w:t>
            </w:r>
          </w:p>
          <w:p w14:paraId="5394D006" w14:textId="77777777" w:rsidR="001856CA" w:rsidRPr="007732BF" w:rsidRDefault="001856CA" w:rsidP="007732BF">
            <w:pPr>
              <w:rPr>
                <w:sz w:val="22"/>
                <w:szCs w:val="22"/>
              </w:rPr>
            </w:pPr>
          </w:p>
          <w:p w14:paraId="0EFD50C5" w14:textId="1DF9BB49" w:rsidR="001856CA" w:rsidRPr="007732BF" w:rsidRDefault="001856CA" w:rsidP="007732BF">
            <w:pPr>
              <w:rPr>
                <w:sz w:val="22"/>
                <w:szCs w:val="22"/>
              </w:rPr>
            </w:pPr>
            <w:r w:rsidRPr="007732BF">
              <w:rPr>
                <w:sz w:val="22"/>
                <w:szCs w:val="22"/>
              </w:rPr>
              <w:t>5</w:t>
            </w:r>
            <w:r>
              <w:rPr>
                <w:sz w:val="22"/>
                <w:szCs w:val="22"/>
              </w:rPr>
              <w:t xml:space="preserve">.2: </w:t>
            </w:r>
            <w:r w:rsidRPr="007732BF">
              <w:rPr>
                <w:sz w:val="22"/>
                <w:szCs w:val="22"/>
              </w:rPr>
              <w:t xml:space="preserve">For validation of marks by the Clearinghouse that were </w:t>
            </w:r>
            <w:r w:rsidRPr="007732BF">
              <w:rPr>
                <w:sz w:val="22"/>
                <w:szCs w:val="22"/>
              </w:rPr>
              <w:lastRenderedPageBreak/>
              <w:t xml:space="preserve">not protected via a court, statute or treaty, the mark holder shall be required to provide evidence of use of the mark </w:t>
            </w:r>
            <w:proofErr w:type="gramStart"/>
            <w:r w:rsidRPr="007732BF">
              <w:rPr>
                <w:sz w:val="22"/>
                <w:szCs w:val="22"/>
              </w:rPr>
              <w:t>in connection with</w:t>
            </w:r>
            <w:proofErr w:type="gramEnd"/>
            <w:r w:rsidRPr="007732BF">
              <w:rPr>
                <w:sz w:val="22"/>
                <w:szCs w:val="22"/>
              </w:rPr>
              <w:t xml:space="preserve"> the bona fide offering for sale of goods or services prior to application for inclusion in the Clearinghouse.  Acceptable evidence of use will be a signed declaration and a single specimen of current use, which might consist of labels, tags, containers, advertising, brochures, screen shots, or something else that evidences current use.</w:t>
            </w:r>
          </w:p>
          <w:p w14:paraId="5189D5AD" w14:textId="667C358D" w:rsidR="001856CA" w:rsidRPr="00101BF9" w:rsidRDefault="001856CA" w:rsidP="007732BF">
            <w:pPr>
              <w:rPr>
                <w:sz w:val="22"/>
                <w:szCs w:val="22"/>
              </w:rPr>
            </w:pPr>
          </w:p>
        </w:tc>
        <w:tc>
          <w:tcPr>
            <w:tcW w:w="2589" w:type="dxa"/>
          </w:tcPr>
          <w:p w14:paraId="6FE7097B" w14:textId="77777777" w:rsidR="001856CA" w:rsidRPr="001856CA" w:rsidRDefault="001856CA" w:rsidP="00FE7014">
            <w:pPr>
              <w:rPr>
                <w:b/>
                <w:sz w:val="22"/>
                <w:szCs w:val="22"/>
              </w:rPr>
            </w:pPr>
            <w:r w:rsidRPr="001856CA">
              <w:rPr>
                <w:b/>
                <w:sz w:val="22"/>
                <w:szCs w:val="22"/>
              </w:rPr>
              <w:lastRenderedPageBreak/>
              <w:t xml:space="preserve">TMCH Guidelines: </w:t>
            </w:r>
          </w:p>
          <w:p w14:paraId="2FD7413D" w14:textId="63065DD0" w:rsidR="001856CA" w:rsidRPr="00CE64A0" w:rsidRDefault="001856CA" w:rsidP="00FE7014">
            <w:pPr>
              <w:rPr>
                <w:sz w:val="22"/>
                <w:szCs w:val="22"/>
              </w:rPr>
            </w:pPr>
            <w:r>
              <w:rPr>
                <w:sz w:val="22"/>
                <w:szCs w:val="22"/>
              </w:rPr>
              <w:t xml:space="preserve">See Section 2, pages 8-18: </w:t>
            </w:r>
            <w:hyperlink r:id="rId7" w:history="1">
              <w:r w:rsidRPr="006142A4">
                <w:rPr>
                  <w:rStyle w:val="Hyperlink"/>
                  <w:sz w:val="22"/>
                  <w:szCs w:val="22"/>
                </w:rPr>
                <w:t>http://trademark-clearinghouse.com/sites/default/files/files/downloads/TMCH guidelines v1.2_0.pdf</w:t>
              </w:r>
            </w:hyperlink>
            <w:r>
              <w:rPr>
                <w:sz w:val="22"/>
                <w:szCs w:val="22"/>
              </w:rPr>
              <w:t xml:space="preserve">  </w:t>
            </w:r>
          </w:p>
        </w:tc>
        <w:tc>
          <w:tcPr>
            <w:tcW w:w="2589" w:type="dxa"/>
          </w:tcPr>
          <w:p w14:paraId="138A075F" w14:textId="77777777" w:rsidR="001856CA" w:rsidRDefault="001856CA" w:rsidP="00717618">
            <w:pPr>
              <w:rPr>
                <w:sz w:val="22"/>
                <w:szCs w:val="22"/>
              </w:rPr>
            </w:pPr>
            <w:r>
              <w:rPr>
                <w:sz w:val="22"/>
                <w:szCs w:val="22"/>
              </w:rPr>
              <w:t>WG to follow up with Deloitte concerning community feedback on inconsistency of application of criteria (see also Category 1 Question 1).</w:t>
            </w:r>
          </w:p>
          <w:p w14:paraId="7DCF58CE" w14:textId="77777777" w:rsidR="001856CA" w:rsidRDefault="001856CA" w:rsidP="00FE7014">
            <w:pPr>
              <w:rPr>
                <w:sz w:val="22"/>
                <w:szCs w:val="22"/>
              </w:rPr>
            </w:pPr>
          </w:p>
          <w:p w14:paraId="7909B733" w14:textId="5438487A" w:rsidR="001856CA" w:rsidRPr="00101BF9" w:rsidRDefault="001856CA" w:rsidP="00FE7014">
            <w:pPr>
              <w:rPr>
                <w:sz w:val="22"/>
                <w:szCs w:val="22"/>
              </w:rPr>
            </w:pPr>
            <w:r>
              <w:rPr>
                <w:sz w:val="22"/>
                <w:szCs w:val="22"/>
              </w:rPr>
              <w:t xml:space="preserve">Ask Deloitte </w:t>
            </w:r>
            <w:r w:rsidRPr="000654D5">
              <w:rPr>
                <w:sz w:val="22"/>
                <w:szCs w:val="22"/>
              </w:rPr>
              <w:t xml:space="preserve">for </w:t>
            </w:r>
            <w:r>
              <w:rPr>
                <w:sz w:val="22"/>
                <w:szCs w:val="22"/>
              </w:rPr>
              <w:t xml:space="preserve">a </w:t>
            </w:r>
            <w:r w:rsidRPr="000654D5">
              <w:rPr>
                <w:sz w:val="22"/>
                <w:szCs w:val="22"/>
              </w:rPr>
              <w:t xml:space="preserve">list of all </w:t>
            </w:r>
            <w:r>
              <w:rPr>
                <w:sz w:val="22"/>
                <w:szCs w:val="22"/>
              </w:rPr>
              <w:t xml:space="preserve">TMCH </w:t>
            </w:r>
            <w:r w:rsidRPr="000654D5">
              <w:rPr>
                <w:sz w:val="22"/>
                <w:szCs w:val="22"/>
              </w:rPr>
              <w:t xml:space="preserve">registrations with </w:t>
            </w:r>
            <w:r>
              <w:rPr>
                <w:sz w:val="22"/>
                <w:szCs w:val="22"/>
              </w:rPr>
              <w:t>S</w:t>
            </w:r>
            <w:r w:rsidRPr="000654D5">
              <w:rPr>
                <w:sz w:val="22"/>
                <w:szCs w:val="22"/>
              </w:rPr>
              <w:t>unrise preference and</w:t>
            </w:r>
            <w:r>
              <w:rPr>
                <w:sz w:val="22"/>
                <w:szCs w:val="22"/>
              </w:rPr>
              <w:t xml:space="preserve"> to indicate</w:t>
            </w:r>
            <w:r w:rsidRPr="000654D5">
              <w:rPr>
                <w:sz w:val="22"/>
                <w:szCs w:val="22"/>
              </w:rPr>
              <w:t xml:space="preserve"> which are dictionary terms</w:t>
            </w:r>
            <w:r>
              <w:rPr>
                <w:sz w:val="22"/>
                <w:szCs w:val="22"/>
              </w:rPr>
              <w:t xml:space="preserve"> (NOTE: Not included on follow up </w:t>
            </w:r>
            <w:r>
              <w:rPr>
                <w:sz w:val="22"/>
                <w:szCs w:val="22"/>
              </w:rPr>
              <w:lastRenderedPageBreak/>
              <w:t>list pending further clarification from WG)</w:t>
            </w:r>
          </w:p>
        </w:tc>
      </w:tr>
      <w:tr w:rsidR="001856CA" w:rsidRPr="00101BF9" w14:paraId="52D9F4DB" w14:textId="77777777" w:rsidTr="001856CA">
        <w:trPr>
          <w:trHeight w:val="144"/>
        </w:trPr>
        <w:tc>
          <w:tcPr>
            <w:tcW w:w="2590" w:type="dxa"/>
          </w:tcPr>
          <w:p w14:paraId="00CF39DB" w14:textId="4C39BDBF" w:rsidR="001856CA" w:rsidRPr="006024EB" w:rsidRDefault="001856CA" w:rsidP="00F87D44">
            <w:pPr>
              <w:pStyle w:val="ListParagraph"/>
              <w:numPr>
                <w:ilvl w:val="0"/>
                <w:numId w:val="17"/>
              </w:numPr>
              <w:rPr>
                <w:sz w:val="22"/>
                <w:szCs w:val="22"/>
              </w:rPr>
            </w:pPr>
            <w:r w:rsidRPr="00BB2016">
              <w:rPr>
                <w:sz w:val="22"/>
                <w:szCs w:val="22"/>
              </w:rPr>
              <w:lastRenderedPageBreak/>
              <w:t xml:space="preserve">Should there be an additional or a different recourse mechanism to challenge rejected submissions for </w:t>
            </w:r>
            <w:proofErr w:type="spellStart"/>
            <w:r w:rsidRPr="00BB2016">
              <w:rPr>
                <w:sz w:val="22"/>
                <w:szCs w:val="22"/>
              </w:rPr>
              <w:t>recordals</w:t>
            </w:r>
            <w:proofErr w:type="spellEnd"/>
            <w:r w:rsidRPr="00BB2016">
              <w:rPr>
                <w:sz w:val="22"/>
                <w:szCs w:val="22"/>
              </w:rPr>
              <w:t xml:space="preserve"> in the TMCH?</w:t>
            </w:r>
          </w:p>
        </w:tc>
        <w:tc>
          <w:tcPr>
            <w:tcW w:w="2589" w:type="dxa"/>
          </w:tcPr>
          <w:p w14:paraId="1F14E5D2" w14:textId="21D4F071" w:rsidR="001856CA" w:rsidRPr="00101BF9" w:rsidRDefault="001856CA" w:rsidP="001856CA">
            <w:pPr>
              <w:rPr>
                <w:sz w:val="22"/>
                <w:szCs w:val="22"/>
              </w:rPr>
            </w:pPr>
            <w:r>
              <w:rPr>
                <w:sz w:val="22"/>
                <w:szCs w:val="22"/>
                <w:lang w:val="en-GB"/>
              </w:rPr>
              <w:t>No specific recommendations</w:t>
            </w:r>
            <w:r w:rsidRPr="00BB74C8">
              <w:rPr>
                <w:sz w:val="22"/>
                <w:szCs w:val="22"/>
              </w:rPr>
              <w:t xml:space="preserve">. </w:t>
            </w:r>
          </w:p>
        </w:tc>
        <w:tc>
          <w:tcPr>
            <w:tcW w:w="2589" w:type="dxa"/>
          </w:tcPr>
          <w:p w14:paraId="3CF8C45C" w14:textId="49D7958A" w:rsidR="001856CA" w:rsidRPr="00101BF9" w:rsidRDefault="00902DAC" w:rsidP="001856CA">
            <w:pPr>
              <w:rPr>
                <w:sz w:val="22"/>
                <w:szCs w:val="22"/>
              </w:rPr>
            </w:pPr>
            <w:r>
              <w:rPr>
                <w:sz w:val="22"/>
                <w:szCs w:val="22"/>
              </w:rPr>
              <w:t>No express provisions.</w:t>
            </w:r>
          </w:p>
        </w:tc>
        <w:tc>
          <w:tcPr>
            <w:tcW w:w="2589" w:type="dxa"/>
          </w:tcPr>
          <w:p w14:paraId="3F1D9685" w14:textId="3429FCE4" w:rsidR="001856CA" w:rsidRDefault="001856CA" w:rsidP="001856CA">
            <w:pPr>
              <w:rPr>
                <w:sz w:val="22"/>
                <w:szCs w:val="22"/>
              </w:rPr>
            </w:pPr>
            <w:r w:rsidRPr="00902DAC">
              <w:rPr>
                <w:b/>
                <w:sz w:val="22"/>
                <w:szCs w:val="22"/>
              </w:rPr>
              <w:t>TMCH Dispute Resolution Procedures, Section 3:</w:t>
            </w:r>
            <w:r w:rsidR="00902DAC">
              <w:rPr>
                <w:sz w:val="22"/>
                <w:szCs w:val="22"/>
              </w:rPr>
              <w:t xml:space="preserve"> </w:t>
            </w:r>
            <w:hyperlink r:id="rId8" w:anchor="3" w:history="1">
              <w:r w:rsidR="00902DAC" w:rsidRPr="006142A4">
                <w:rPr>
                  <w:rStyle w:val="Hyperlink"/>
                  <w:sz w:val="22"/>
                  <w:szCs w:val="22"/>
                </w:rPr>
                <w:t>http://trademark-clearinghouse.com/dispute#3</w:t>
              </w:r>
            </w:hyperlink>
            <w:r w:rsidR="00902DAC">
              <w:rPr>
                <w:sz w:val="22"/>
                <w:szCs w:val="22"/>
              </w:rPr>
              <w:t xml:space="preserve"> </w:t>
            </w:r>
          </w:p>
          <w:p w14:paraId="310FBBBE" w14:textId="77777777" w:rsidR="00902DAC" w:rsidRDefault="00902DAC" w:rsidP="00902DAC">
            <w:pPr>
              <w:tabs>
                <w:tab w:val="num" w:pos="720"/>
              </w:tabs>
              <w:rPr>
                <w:sz w:val="22"/>
                <w:szCs w:val="22"/>
              </w:rPr>
            </w:pPr>
          </w:p>
          <w:p w14:paraId="36C0A4BE" w14:textId="08E9969A" w:rsidR="001856CA" w:rsidRPr="001856CA" w:rsidRDefault="00902DAC" w:rsidP="00902DAC">
            <w:pPr>
              <w:tabs>
                <w:tab w:val="num" w:pos="720"/>
              </w:tabs>
              <w:rPr>
                <w:sz w:val="22"/>
                <w:szCs w:val="22"/>
              </w:rPr>
            </w:pPr>
            <w:r>
              <w:rPr>
                <w:sz w:val="22"/>
                <w:szCs w:val="22"/>
              </w:rPr>
              <w:t xml:space="preserve">1. </w:t>
            </w:r>
            <w:r w:rsidR="001856CA" w:rsidRPr="001856CA">
              <w:rPr>
                <w:sz w:val="22"/>
                <w:szCs w:val="22"/>
              </w:rPr>
              <w:t xml:space="preserve">Disputes </w:t>
            </w:r>
            <w:r>
              <w:rPr>
                <w:sz w:val="22"/>
                <w:szCs w:val="22"/>
              </w:rPr>
              <w:t xml:space="preserve">can be </w:t>
            </w:r>
            <w:r w:rsidR="001856CA" w:rsidRPr="001856CA">
              <w:rPr>
                <w:sz w:val="22"/>
                <w:szCs w:val="22"/>
              </w:rPr>
              <w:t xml:space="preserve">brought by </w:t>
            </w:r>
            <w:r>
              <w:rPr>
                <w:sz w:val="22"/>
                <w:szCs w:val="22"/>
              </w:rPr>
              <w:t>t</w:t>
            </w:r>
            <w:r w:rsidR="001856CA" w:rsidRPr="001856CA">
              <w:rPr>
                <w:sz w:val="22"/>
                <w:szCs w:val="22"/>
              </w:rPr>
              <w:t xml:space="preserve">hird </w:t>
            </w:r>
            <w:r>
              <w:rPr>
                <w:sz w:val="22"/>
                <w:szCs w:val="22"/>
              </w:rPr>
              <w:t>p</w:t>
            </w:r>
            <w:r w:rsidR="001856CA" w:rsidRPr="001856CA">
              <w:rPr>
                <w:sz w:val="22"/>
                <w:szCs w:val="22"/>
              </w:rPr>
              <w:t>arties alleging that the Clearinghouse incorrectly accepted a </w:t>
            </w:r>
            <w:r>
              <w:rPr>
                <w:sz w:val="22"/>
                <w:szCs w:val="22"/>
              </w:rPr>
              <w:t xml:space="preserve">trademark record (e.g. </w:t>
            </w:r>
            <w:r w:rsidRPr="00902DAC">
              <w:rPr>
                <w:sz w:val="22"/>
                <w:szCs w:val="22"/>
              </w:rPr>
              <w:t xml:space="preserve">to challenge a </w:t>
            </w:r>
            <w:r w:rsidRPr="00902DAC">
              <w:rPr>
                <w:sz w:val="22"/>
                <w:szCs w:val="22"/>
              </w:rPr>
              <w:lastRenderedPageBreak/>
              <w:t>decision of the Verification Provider that a</w:t>
            </w:r>
            <w:r>
              <w:rPr>
                <w:sz w:val="22"/>
                <w:szCs w:val="22"/>
              </w:rPr>
              <w:t xml:space="preserve"> trademark record</w:t>
            </w:r>
            <w:r w:rsidRPr="00902DAC">
              <w:rPr>
                <w:sz w:val="22"/>
                <w:szCs w:val="22"/>
              </w:rPr>
              <w:t xml:space="preserve"> was valid </w:t>
            </w:r>
            <w:proofErr w:type="gramStart"/>
            <w:r w:rsidRPr="00902DAC">
              <w:rPr>
                <w:sz w:val="22"/>
                <w:szCs w:val="22"/>
              </w:rPr>
              <w:t>on the grounds that</w:t>
            </w:r>
            <w:proofErr w:type="gramEnd"/>
            <w:r w:rsidRPr="00902DAC">
              <w:rPr>
                <w:sz w:val="22"/>
                <w:szCs w:val="22"/>
              </w:rPr>
              <w:t xml:space="preserve"> </w:t>
            </w:r>
            <w:r>
              <w:rPr>
                <w:sz w:val="22"/>
                <w:szCs w:val="22"/>
              </w:rPr>
              <w:t>it was</w:t>
            </w:r>
            <w:r w:rsidRPr="00902DAC">
              <w:rPr>
                <w:sz w:val="22"/>
                <w:szCs w:val="22"/>
              </w:rPr>
              <w:t xml:space="preserve"> incorrectly verified</w:t>
            </w:r>
            <w:r>
              <w:rPr>
                <w:sz w:val="22"/>
                <w:szCs w:val="22"/>
              </w:rPr>
              <w:t xml:space="preserve">, such as where there are 2 trademark holders with the same trademark record and one registers in a Sunrise period for a new </w:t>
            </w:r>
            <w:proofErr w:type="spellStart"/>
            <w:r>
              <w:rPr>
                <w:sz w:val="22"/>
                <w:szCs w:val="22"/>
              </w:rPr>
              <w:t>gTLD</w:t>
            </w:r>
            <w:proofErr w:type="spellEnd"/>
            <w:r>
              <w:rPr>
                <w:sz w:val="22"/>
                <w:szCs w:val="22"/>
              </w:rPr>
              <w:t>) – see Section 3.3.</w:t>
            </w:r>
          </w:p>
          <w:p w14:paraId="2A8534A2" w14:textId="77777777" w:rsidR="00902DAC" w:rsidRDefault="00902DAC" w:rsidP="00902DAC">
            <w:pPr>
              <w:rPr>
                <w:sz w:val="22"/>
                <w:szCs w:val="22"/>
              </w:rPr>
            </w:pPr>
          </w:p>
          <w:p w14:paraId="1463A089" w14:textId="7838D038" w:rsidR="00902DAC" w:rsidRPr="00902DAC" w:rsidRDefault="00902DAC" w:rsidP="00902DAC">
            <w:pPr>
              <w:rPr>
                <w:sz w:val="22"/>
                <w:szCs w:val="22"/>
              </w:rPr>
            </w:pPr>
            <w:r>
              <w:rPr>
                <w:sz w:val="22"/>
                <w:szCs w:val="22"/>
              </w:rPr>
              <w:t xml:space="preserve">2. </w:t>
            </w:r>
            <w:r w:rsidR="001856CA" w:rsidRPr="001856CA">
              <w:rPr>
                <w:sz w:val="22"/>
                <w:szCs w:val="22"/>
              </w:rPr>
              <w:t xml:space="preserve">Disputes </w:t>
            </w:r>
            <w:r>
              <w:rPr>
                <w:sz w:val="22"/>
                <w:szCs w:val="22"/>
              </w:rPr>
              <w:t xml:space="preserve">can </w:t>
            </w:r>
            <w:proofErr w:type="gramStart"/>
            <w:r w:rsidR="001856CA" w:rsidRPr="001856CA">
              <w:rPr>
                <w:sz w:val="22"/>
                <w:szCs w:val="22"/>
              </w:rPr>
              <w:t>brought</w:t>
            </w:r>
            <w:proofErr w:type="gramEnd"/>
            <w:r w:rsidR="001856CA" w:rsidRPr="001856CA">
              <w:rPr>
                <w:sz w:val="22"/>
                <w:szCs w:val="22"/>
              </w:rPr>
              <w:t xml:space="preserve"> by </w:t>
            </w:r>
            <w:r>
              <w:rPr>
                <w:sz w:val="22"/>
                <w:szCs w:val="22"/>
              </w:rPr>
              <w:t>t</w:t>
            </w:r>
            <w:r w:rsidR="001856CA" w:rsidRPr="001856CA">
              <w:rPr>
                <w:sz w:val="22"/>
                <w:szCs w:val="22"/>
              </w:rPr>
              <w:t xml:space="preserve">hird </w:t>
            </w:r>
            <w:r>
              <w:rPr>
                <w:sz w:val="22"/>
                <w:szCs w:val="22"/>
              </w:rPr>
              <w:t>p</w:t>
            </w:r>
            <w:r w:rsidR="001856CA" w:rsidRPr="001856CA">
              <w:rPr>
                <w:sz w:val="22"/>
                <w:szCs w:val="22"/>
              </w:rPr>
              <w:t>arties alleging that a</w:t>
            </w:r>
            <w:r>
              <w:rPr>
                <w:sz w:val="22"/>
                <w:szCs w:val="22"/>
              </w:rPr>
              <w:t xml:space="preserve"> trademark record</w:t>
            </w:r>
            <w:r w:rsidR="001856CA" w:rsidRPr="001856CA">
              <w:rPr>
                <w:sz w:val="22"/>
                <w:szCs w:val="22"/>
              </w:rPr>
              <w:t> is no longer valid based on new information</w:t>
            </w:r>
            <w:r>
              <w:rPr>
                <w:sz w:val="22"/>
                <w:szCs w:val="22"/>
              </w:rPr>
              <w:t xml:space="preserve"> (meaning </w:t>
            </w:r>
            <w:r w:rsidRPr="00902DAC">
              <w:rPr>
                <w:sz w:val="22"/>
                <w:szCs w:val="22"/>
              </w:rPr>
              <w:t>information not available to the Verification Provider at the time it reviewed the</w:t>
            </w:r>
          </w:p>
          <w:p w14:paraId="177CDFD3" w14:textId="04435144" w:rsidR="001856CA" w:rsidRPr="001856CA" w:rsidRDefault="00902DAC" w:rsidP="00902DAC">
            <w:pPr>
              <w:rPr>
                <w:sz w:val="22"/>
                <w:szCs w:val="22"/>
              </w:rPr>
            </w:pPr>
            <w:r>
              <w:rPr>
                <w:sz w:val="22"/>
                <w:szCs w:val="22"/>
              </w:rPr>
              <w:t>trademark record) – see Section 3.4.</w:t>
            </w:r>
          </w:p>
          <w:p w14:paraId="2E91D910" w14:textId="265FAA86" w:rsidR="001856CA" w:rsidRPr="001856CA" w:rsidRDefault="001856CA" w:rsidP="001856CA">
            <w:pPr>
              <w:rPr>
                <w:sz w:val="22"/>
                <w:szCs w:val="22"/>
              </w:rPr>
            </w:pPr>
          </w:p>
        </w:tc>
        <w:tc>
          <w:tcPr>
            <w:tcW w:w="2589" w:type="dxa"/>
          </w:tcPr>
          <w:p w14:paraId="5E57667D" w14:textId="77777777" w:rsidR="001856CA" w:rsidRDefault="001856CA" w:rsidP="00717618">
            <w:pPr>
              <w:rPr>
                <w:sz w:val="22"/>
                <w:szCs w:val="22"/>
              </w:rPr>
            </w:pPr>
            <w:r>
              <w:rPr>
                <w:sz w:val="22"/>
                <w:szCs w:val="22"/>
              </w:rPr>
              <w:lastRenderedPageBreak/>
              <w:t>Follow up with Deloitte as to whether the disputes to date relating to rights-holders’ challenges resulted in a reversal of Deloitte’s original decision.</w:t>
            </w:r>
          </w:p>
          <w:p w14:paraId="5A03C0EB" w14:textId="77777777" w:rsidR="001856CA" w:rsidRDefault="001856CA" w:rsidP="00717618">
            <w:pPr>
              <w:rPr>
                <w:sz w:val="22"/>
                <w:szCs w:val="22"/>
              </w:rPr>
            </w:pPr>
          </w:p>
          <w:p w14:paraId="5D0CECB5" w14:textId="77777777" w:rsidR="001856CA" w:rsidRDefault="001856CA" w:rsidP="00717618">
            <w:pPr>
              <w:rPr>
                <w:sz w:val="22"/>
                <w:szCs w:val="22"/>
              </w:rPr>
            </w:pPr>
            <w:r>
              <w:rPr>
                <w:sz w:val="22"/>
                <w:szCs w:val="22"/>
              </w:rPr>
              <w:t xml:space="preserve">Note on first question in the second column that was moved from Category 1 – the TMCH Dispute </w:t>
            </w:r>
            <w:r>
              <w:rPr>
                <w:sz w:val="22"/>
                <w:szCs w:val="22"/>
              </w:rPr>
              <w:lastRenderedPageBreak/>
              <w:t xml:space="preserve">Resolution Procedures are published online: </w:t>
            </w:r>
            <w:hyperlink r:id="rId9" w:history="1">
              <w:r w:rsidRPr="0015201E">
                <w:rPr>
                  <w:rStyle w:val="Hyperlink"/>
                  <w:sz w:val="22"/>
                  <w:szCs w:val="22"/>
                </w:rPr>
                <w:t>http://trademark-clearinghouse.com/dispute</w:t>
              </w:r>
            </w:hyperlink>
            <w:r>
              <w:rPr>
                <w:sz w:val="22"/>
                <w:szCs w:val="22"/>
              </w:rPr>
              <w:t xml:space="preserve"> </w:t>
            </w:r>
          </w:p>
          <w:p w14:paraId="3C0D451A" w14:textId="77777777" w:rsidR="001856CA" w:rsidRPr="00101BF9" w:rsidRDefault="001856CA" w:rsidP="00FE7014">
            <w:pPr>
              <w:rPr>
                <w:sz w:val="22"/>
                <w:szCs w:val="22"/>
              </w:rPr>
            </w:pPr>
          </w:p>
        </w:tc>
      </w:tr>
      <w:tr w:rsidR="001856CA" w:rsidRPr="00101BF9" w14:paraId="6B5DB3B4" w14:textId="77777777" w:rsidTr="001856CA">
        <w:trPr>
          <w:trHeight w:val="144"/>
        </w:trPr>
        <w:tc>
          <w:tcPr>
            <w:tcW w:w="2590" w:type="dxa"/>
          </w:tcPr>
          <w:p w14:paraId="050DE9FB" w14:textId="6D243CDD" w:rsidR="001856CA" w:rsidRPr="00BB2016" w:rsidRDefault="001856CA" w:rsidP="00F87D44">
            <w:pPr>
              <w:pStyle w:val="ListParagraph"/>
              <w:numPr>
                <w:ilvl w:val="0"/>
                <w:numId w:val="17"/>
              </w:numPr>
              <w:rPr>
                <w:sz w:val="22"/>
                <w:szCs w:val="22"/>
              </w:rPr>
            </w:pPr>
            <w:r w:rsidRPr="00BB2016">
              <w:rPr>
                <w:sz w:val="22"/>
                <w:szCs w:val="22"/>
              </w:rPr>
              <w:lastRenderedPageBreak/>
              <w:t>How quickly can and should a cancelled trademark be removed from the TMCH Database?</w:t>
            </w:r>
          </w:p>
        </w:tc>
        <w:tc>
          <w:tcPr>
            <w:tcW w:w="2589" w:type="dxa"/>
          </w:tcPr>
          <w:p w14:paraId="0877A37C" w14:textId="3DA012F2" w:rsidR="001856CA" w:rsidRPr="004C2C15" w:rsidRDefault="004C2C15" w:rsidP="00FE7014">
            <w:pPr>
              <w:rPr>
                <w:sz w:val="22"/>
                <w:szCs w:val="22"/>
              </w:rPr>
            </w:pPr>
            <w:r w:rsidRPr="004C2C15">
              <w:rPr>
                <w:sz w:val="22"/>
                <w:szCs w:val="22"/>
              </w:rPr>
              <w:t>No specific recommendation.</w:t>
            </w:r>
          </w:p>
        </w:tc>
        <w:tc>
          <w:tcPr>
            <w:tcW w:w="2589" w:type="dxa"/>
          </w:tcPr>
          <w:p w14:paraId="3C6672F5" w14:textId="400C16BF" w:rsidR="001856CA" w:rsidRDefault="004C2C15" w:rsidP="004C2C15">
            <w:pPr>
              <w:rPr>
                <w:rFonts w:ascii="Calibri" w:eastAsia="Calibri" w:hAnsi="Calibri" w:cs="Calibri"/>
                <w:sz w:val="22"/>
                <w:szCs w:val="22"/>
              </w:rPr>
            </w:pPr>
            <w:r>
              <w:rPr>
                <w:sz w:val="22"/>
                <w:szCs w:val="22"/>
              </w:rPr>
              <w:t xml:space="preserve">3.8: A mark holder will be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4"/>
                <w:sz w:val="22"/>
                <w:szCs w:val="22"/>
              </w:rPr>
              <w:t>t</w:t>
            </w:r>
            <w:r>
              <w:rPr>
                <w:rFonts w:ascii="Calibri" w:eastAsia="Calibri" w:hAnsi="Calibri" w:cs="Calibri"/>
                <w:spacing w:val="-2"/>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 xml:space="preserve">will </w:t>
            </w:r>
            <w:r>
              <w:rPr>
                <w:rFonts w:ascii="Calibri" w:eastAsia="Calibri" w:hAnsi="Calibri" w:cs="Calibri"/>
                <w:spacing w:val="-4"/>
                <w:sz w:val="22"/>
                <w:szCs w:val="22"/>
              </w:rPr>
              <w:t>k</w:t>
            </w:r>
            <w:r>
              <w:rPr>
                <w:rFonts w:ascii="Calibri" w:eastAsia="Calibri" w:hAnsi="Calibri" w:cs="Calibri"/>
                <w:spacing w:val="1"/>
                <w:sz w:val="22"/>
                <w:szCs w:val="22"/>
              </w:rPr>
              <w:t>ee</w:t>
            </w:r>
            <w:r>
              <w:rPr>
                <w:rFonts w:ascii="Calibri" w:eastAsia="Calibri" w:hAnsi="Calibri" w:cs="Calibri"/>
                <w:sz w:val="22"/>
                <w:szCs w:val="22"/>
              </w:rPr>
              <w:t>p</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pacing w:val="-3"/>
                <w:sz w:val="22"/>
                <w:szCs w:val="22"/>
              </w:rPr>
              <w:t>p</w:t>
            </w:r>
            <w:r>
              <w:rPr>
                <w:rFonts w:ascii="Calibri" w:eastAsia="Calibri" w:hAnsi="Calibri" w:cs="Calibri"/>
                <w:spacing w:val="-1"/>
                <w:sz w:val="22"/>
                <w:szCs w:val="22"/>
              </w:rPr>
              <w:t>p</w:t>
            </w:r>
            <w:r>
              <w:rPr>
                <w:rFonts w:ascii="Calibri" w:eastAsia="Calibri" w:hAnsi="Calibri" w:cs="Calibri"/>
                <w:sz w:val="22"/>
                <w:szCs w:val="22"/>
              </w:rPr>
              <w:t>lied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Cleari</w:t>
            </w:r>
            <w:r>
              <w:rPr>
                <w:rFonts w:ascii="Calibri" w:eastAsia="Calibri" w:hAnsi="Calibri" w:cs="Calibri"/>
                <w:spacing w:val="-1"/>
                <w:sz w:val="22"/>
                <w:szCs w:val="22"/>
              </w:rPr>
              <w:t>n</w:t>
            </w:r>
            <w:r>
              <w:rPr>
                <w:rFonts w:ascii="Calibri" w:eastAsia="Calibri" w:hAnsi="Calibri" w:cs="Calibri"/>
                <w:spacing w:val="-3"/>
                <w:sz w:val="22"/>
                <w:szCs w:val="22"/>
              </w:rPr>
              <w:t>g</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5"/>
                <w:sz w:val="22"/>
                <w:szCs w:val="22"/>
              </w:rPr>
              <w:t>r</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5"/>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if,</w:t>
            </w:r>
            <w:r>
              <w:rPr>
                <w:rFonts w:ascii="Calibri" w:eastAsia="Calibri" w:hAnsi="Calibri" w:cs="Calibri"/>
                <w:spacing w:val="1"/>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5"/>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ark</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s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pacing w:val="1"/>
                <w:sz w:val="22"/>
                <w:szCs w:val="22"/>
              </w:rPr>
              <w:t>e</w:t>
            </w:r>
            <w:r>
              <w:rPr>
                <w:rFonts w:ascii="Calibri" w:eastAsia="Calibri" w:hAnsi="Calibri" w:cs="Calibri"/>
                <w:sz w:val="22"/>
                <w:szCs w:val="22"/>
              </w:rPr>
              <w:t>d in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pacing w:val="-2"/>
                <w:sz w:val="22"/>
                <w:szCs w:val="22"/>
              </w:rPr>
              <w:t>e</w:t>
            </w:r>
            <w:r>
              <w:rPr>
                <w:rFonts w:ascii="Calibri" w:eastAsia="Calibri" w:hAnsi="Calibri" w:cs="Calibri"/>
                <w:sz w:val="22"/>
                <w:szCs w:val="22"/>
              </w:rPr>
              <w:t>ari</w:t>
            </w:r>
            <w:r>
              <w:rPr>
                <w:rFonts w:ascii="Calibri" w:eastAsia="Calibri" w:hAnsi="Calibri" w:cs="Calibri"/>
                <w:spacing w:val="-3"/>
                <w:sz w:val="22"/>
                <w:szCs w:val="22"/>
              </w:rPr>
              <w:t>n</w:t>
            </w:r>
            <w:r>
              <w:rPr>
                <w:rFonts w:ascii="Calibri" w:eastAsia="Calibri" w:hAnsi="Calibri" w:cs="Calibri"/>
                <w:spacing w:val="-1"/>
                <w:sz w:val="22"/>
                <w:szCs w:val="22"/>
              </w:rPr>
              <w:t>gh</w:t>
            </w:r>
            <w:r>
              <w:rPr>
                <w:rFonts w:ascii="Calibri" w:eastAsia="Calibri" w:hAnsi="Calibri" w:cs="Calibri"/>
                <w:spacing w:val="1"/>
                <w:sz w:val="22"/>
                <w:szCs w:val="22"/>
              </w:rPr>
              <w:t>o</w:t>
            </w:r>
            <w:r>
              <w:rPr>
                <w:rFonts w:ascii="Calibri" w:eastAsia="Calibri" w:hAnsi="Calibri" w:cs="Calibri"/>
                <w:spacing w:val="-6"/>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ist</w:t>
            </w:r>
            <w:r>
              <w:rPr>
                <w:rFonts w:ascii="Calibri" w:eastAsia="Calibri" w:hAnsi="Calibri" w:cs="Calibri"/>
                <w:spacing w:val="-3"/>
                <w:sz w:val="22"/>
                <w:szCs w:val="22"/>
              </w:rPr>
              <w:t>r</w:t>
            </w:r>
            <w:r>
              <w:rPr>
                <w:rFonts w:ascii="Calibri" w:eastAsia="Calibri" w:hAnsi="Calibri" w:cs="Calibri"/>
                <w:sz w:val="22"/>
                <w:szCs w:val="22"/>
              </w:rPr>
              <w:t>a</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g</w:t>
            </w:r>
            <w:r>
              <w:rPr>
                <w:rFonts w:ascii="Calibri" w:eastAsia="Calibri" w:hAnsi="Calibri" w:cs="Calibri"/>
                <w:spacing w:val="-4"/>
                <w:sz w:val="22"/>
                <w:szCs w:val="22"/>
              </w:rPr>
              <w:t>e</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pacing w:val="-5"/>
                <w:sz w:val="22"/>
                <w:szCs w:val="22"/>
              </w:rPr>
              <w:t>c</w:t>
            </w:r>
            <w:r>
              <w:rPr>
                <w:rFonts w:ascii="Calibri" w:eastAsia="Calibri" w:hAnsi="Calibri" w:cs="Calibri"/>
                <w:spacing w:val="1"/>
                <w:sz w:val="22"/>
                <w:szCs w:val="22"/>
              </w:rPr>
              <w:t>e</w:t>
            </w:r>
            <w:r>
              <w:rPr>
                <w:rFonts w:ascii="Calibri" w:eastAsia="Calibri" w:hAnsi="Calibri" w:cs="Calibri"/>
                <w:sz w:val="22"/>
                <w:szCs w:val="22"/>
              </w:rPr>
              <w:t xml:space="preserve">lled </w:t>
            </w:r>
            <w:r>
              <w:rPr>
                <w:rFonts w:ascii="Calibri" w:eastAsia="Calibri" w:hAnsi="Calibri" w:cs="Calibri"/>
                <w:spacing w:val="-1"/>
                <w:sz w:val="22"/>
                <w:szCs w:val="22"/>
              </w:rPr>
              <w:lastRenderedPageBreak/>
              <w:t>o</w:t>
            </w:r>
            <w:r>
              <w:rPr>
                <w:rFonts w:ascii="Calibri" w:eastAsia="Calibri" w:hAnsi="Calibri" w:cs="Calibri"/>
                <w:sz w:val="22"/>
                <w:szCs w:val="22"/>
              </w:rPr>
              <w:t xml:space="preserve">r is </w:t>
            </w:r>
            <w:r>
              <w:rPr>
                <w:rFonts w:ascii="Calibri" w:eastAsia="Calibri" w:hAnsi="Calibri" w:cs="Calibri"/>
                <w:spacing w:val="1"/>
                <w:sz w:val="22"/>
                <w:szCs w:val="22"/>
              </w:rPr>
              <w:t>t</w:t>
            </w:r>
            <w:r>
              <w:rPr>
                <w:rFonts w:ascii="Calibri" w:eastAsia="Calibri" w:hAnsi="Calibri" w:cs="Calibri"/>
                <w:spacing w:val="-3"/>
                <w:sz w:val="22"/>
                <w:szCs w:val="22"/>
              </w:rPr>
              <w:t>ra</w:t>
            </w:r>
            <w:r>
              <w:rPr>
                <w:rFonts w:ascii="Calibri" w:eastAsia="Calibri" w:hAnsi="Calibri" w:cs="Calibri"/>
                <w:spacing w:val="-1"/>
                <w:sz w:val="22"/>
                <w:szCs w:val="22"/>
              </w:rPr>
              <w:t>n</w:t>
            </w:r>
            <w:r>
              <w:rPr>
                <w:rFonts w:ascii="Calibri" w:eastAsia="Calibri" w:hAnsi="Calibri" w:cs="Calibri"/>
                <w:sz w:val="22"/>
                <w:szCs w:val="22"/>
              </w:rPr>
              <w:t>sf</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6"/>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er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in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case</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a </w:t>
            </w:r>
            <w:r>
              <w:rPr>
                <w:rFonts w:ascii="Calibri" w:eastAsia="Calibri" w:hAnsi="Calibri" w:cs="Calibri"/>
                <w:spacing w:val="-5"/>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Cl</w:t>
            </w:r>
            <w:r>
              <w:rPr>
                <w:rFonts w:ascii="Calibri" w:eastAsia="Calibri" w:hAnsi="Calibri" w:cs="Calibri"/>
                <w:spacing w:val="-2"/>
                <w:sz w:val="22"/>
                <w:szCs w:val="22"/>
              </w:rPr>
              <w:t>e</w:t>
            </w:r>
            <w:r>
              <w:rPr>
                <w:rFonts w:ascii="Calibri" w:eastAsia="Calibri" w:hAnsi="Calibri" w:cs="Calibri"/>
                <w:sz w:val="22"/>
                <w:szCs w:val="22"/>
              </w:rPr>
              <w:t>ar</w:t>
            </w:r>
            <w:r>
              <w:rPr>
                <w:rFonts w:ascii="Calibri" w:eastAsia="Calibri" w:hAnsi="Calibri" w:cs="Calibri"/>
                <w:spacing w:val="-3"/>
                <w:sz w:val="22"/>
                <w:szCs w:val="22"/>
              </w:rPr>
              <w:t>i</w:t>
            </w:r>
            <w:r>
              <w:rPr>
                <w:rFonts w:ascii="Calibri" w:eastAsia="Calibri" w:hAnsi="Calibri" w:cs="Calibri"/>
                <w:spacing w:val="-1"/>
                <w:sz w:val="22"/>
                <w:szCs w:val="22"/>
              </w:rPr>
              <w:t>nghou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5"/>
                <w:sz w:val="22"/>
                <w:szCs w:val="22"/>
              </w:rPr>
              <w:t>i</w:t>
            </w: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6"/>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5"/>
                <w:sz w:val="22"/>
                <w:szCs w:val="22"/>
              </w:rPr>
              <w:t>a</w:t>
            </w:r>
            <w:r>
              <w:rPr>
                <w:rFonts w:ascii="Calibri" w:eastAsia="Calibri" w:hAnsi="Calibri" w:cs="Calibri"/>
                <w:spacing w:val="-1"/>
                <w:sz w:val="22"/>
                <w:szCs w:val="22"/>
              </w:rPr>
              <w:t>nd</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5"/>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z w:val="22"/>
                <w:szCs w:val="22"/>
              </w:rPr>
              <w:t>ark</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z w:val="22"/>
                <w:szCs w:val="22"/>
              </w:rPr>
              <w:t>affi</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ob</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ti</w:t>
            </w:r>
            <w:r>
              <w:rPr>
                <w:rFonts w:ascii="Calibri" w:eastAsia="Calibri" w:hAnsi="Calibri" w:cs="Calibri"/>
                <w:spacing w:val="-3"/>
                <w:sz w:val="22"/>
                <w:szCs w:val="22"/>
              </w:rPr>
              <w:t>f</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Cleari</w:t>
            </w:r>
            <w:r>
              <w:rPr>
                <w:rFonts w:ascii="Calibri" w:eastAsia="Calibri" w:hAnsi="Calibri" w:cs="Calibri"/>
                <w:spacing w:val="-1"/>
                <w:sz w:val="22"/>
                <w:szCs w:val="22"/>
              </w:rPr>
              <w:t>n</w:t>
            </w:r>
            <w:r>
              <w:rPr>
                <w:rFonts w:ascii="Calibri" w:eastAsia="Calibri" w:hAnsi="Calibri" w:cs="Calibri"/>
                <w:spacing w:val="-3"/>
                <w:sz w:val="22"/>
                <w:szCs w:val="22"/>
              </w:rPr>
              <w:t>g</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4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ties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fai</w:t>
            </w:r>
            <w:r>
              <w:rPr>
                <w:rFonts w:ascii="Calibri" w:eastAsia="Calibri" w:hAnsi="Calibri" w:cs="Calibri"/>
                <w:spacing w:val="-3"/>
                <w:sz w:val="22"/>
                <w:szCs w:val="22"/>
              </w:rPr>
              <w:t>l</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k</w:t>
            </w:r>
            <w:r>
              <w:rPr>
                <w:rFonts w:ascii="Calibri" w:eastAsia="Calibri" w:hAnsi="Calibri" w:cs="Calibri"/>
                <w:spacing w:val="1"/>
                <w:sz w:val="22"/>
                <w:szCs w:val="22"/>
              </w:rPr>
              <w:t>ee</w:t>
            </w:r>
            <w:r>
              <w:rPr>
                <w:rFonts w:ascii="Calibri" w:eastAsia="Calibri" w:hAnsi="Calibri" w:cs="Calibri"/>
                <w:sz w:val="22"/>
                <w:szCs w:val="22"/>
              </w:rPr>
              <w:t>p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5"/>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z w:val="22"/>
                <w:szCs w:val="22"/>
              </w:rPr>
              <w:t>rre</w:t>
            </w:r>
            <w:r>
              <w:rPr>
                <w:rFonts w:ascii="Calibri" w:eastAsia="Calibri" w:hAnsi="Calibri" w:cs="Calibri"/>
                <w:spacing w:val="-1"/>
                <w:sz w:val="22"/>
                <w:szCs w:val="22"/>
              </w:rPr>
              <w:t>n</w:t>
            </w:r>
            <w:r>
              <w:rPr>
                <w:rFonts w:ascii="Calibri" w:eastAsia="Calibri" w:hAnsi="Calibri" w:cs="Calibri"/>
                <w:sz w:val="22"/>
                <w:szCs w:val="22"/>
              </w:rPr>
              <w:t>t.</w:t>
            </w:r>
          </w:p>
          <w:p w14:paraId="2AD16ED6" w14:textId="77777777" w:rsidR="004C2C15" w:rsidRDefault="004C2C15" w:rsidP="004C2C15">
            <w:pPr>
              <w:rPr>
                <w:rFonts w:ascii="Calibri" w:eastAsia="Calibri" w:hAnsi="Calibri" w:cs="Calibri"/>
                <w:sz w:val="22"/>
                <w:szCs w:val="22"/>
              </w:rPr>
            </w:pPr>
          </w:p>
          <w:p w14:paraId="4154F3CD" w14:textId="1A30E8D4" w:rsidR="004C2C15" w:rsidRDefault="004C2C15" w:rsidP="004C2C15">
            <w:pPr>
              <w:rPr>
                <w:rFonts w:ascii="Calibri" w:eastAsia="Calibri" w:hAnsi="Calibri" w:cs="Calibri"/>
                <w:sz w:val="22"/>
                <w:szCs w:val="22"/>
              </w:rPr>
            </w:pPr>
            <w:r>
              <w:rPr>
                <w:rFonts w:ascii="Calibri" w:eastAsia="Calibri" w:hAnsi="Calibri" w:cs="Calibri"/>
                <w:sz w:val="22"/>
                <w:szCs w:val="22"/>
              </w:rPr>
              <w:t xml:space="preserve">Moreover, it is anticipated that there will be a process whereby </w:t>
            </w:r>
            <w:r w:rsidR="008013A3">
              <w:rPr>
                <w:rFonts w:ascii="Calibri" w:eastAsia="Calibri" w:hAnsi="Calibri" w:cs="Calibri"/>
                <w:sz w:val="22"/>
                <w:szCs w:val="22"/>
              </w:rPr>
              <w:t xml:space="preserve">registrations will be </w:t>
            </w:r>
            <w:r w:rsidR="008013A3" w:rsidRPr="008013A3">
              <w:rPr>
                <w:rFonts w:ascii="Calibri" w:eastAsia="Calibri" w:hAnsi="Calibri" w:cs="Calibri"/>
                <w:sz w:val="22"/>
                <w:szCs w:val="22"/>
              </w:rPr>
              <w:t>removed from the Clearinghouse if it is discovered that the marks are procured by fraud or if the data is inaccurate</w:t>
            </w:r>
            <w:r w:rsidR="008013A3">
              <w:rPr>
                <w:rFonts w:ascii="Calibri" w:eastAsia="Calibri" w:hAnsi="Calibri" w:cs="Calibri"/>
                <w:sz w:val="22"/>
                <w:szCs w:val="22"/>
              </w:rPr>
              <w:t>.</w:t>
            </w:r>
          </w:p>
          <w:p w14:paraId="70C77961" w14:textId="7D979CC7" w:rsidR="004C2C15" w:rsidRPr="004C2C15" w:rsidRDefault="004C2C15" w:rsidP="004C2C15">
            <w:pPr>
              <w:rPr>
                <w:rFonts w:ascii="Calibri" w:eastAsia="Calibri" w:hAnsi="Calibri" w:cs="Calibri"/>
                <w:sz w:val="22"/>
                <w:szCs w:val="22"/>
              </w:rPr>
            </w:pPr>
          </w:p>
        </w:tc>
        <w:tc>
          <w:tcPr>
            <w:tcW w:w="2589" w:type="dxa"/>
          </w:tcPr>
          <w:p w14:paraId="2F886AF4" w14:textId="411BD59C" w:rsidR="001856CA" w:rsidRPr="00485F37" w:rsidRDefault="00485F37" w:rsidP="00485F37">
            <w:pPr>
              <w:rPr>
                <w:sz w:val="22"/>
                <w:szCs w:val="22"/>
              </w:rPr>
            </w:pPr>
            <w:r w:rsidRPr="00485541">
              <w:rPr>
                <w:b/>
                <w:sz w:val="22"/>
                <w:szCs w:val="22"/>
              </w:rPr>
              <w:lastRenderedPageBreak/>
              <w:t>TMCH’s Terms &amp; Conditions for Trademark Holders and Agents</w:t>
            </w:r>
            <w:r>
              <w:rPr>
                <w:sz w:val="22"/>
                <w:szCs w:val="22"/>
              </w:rPr>
              <w:t xml:space="preserve"> provide that all information submitted is accurate and correct, and </w:t>
            </w:r>
            <w:r w:rsidR="00485541">
              <w:rPr>
                <w:sz w:val="22"/>
                <w:szCs w:val="22"/>
              </w:rPr>
              <w:t xml:space="preserve">that Deloitte will be “promptly” notified of any changes (including to the </w:t>
            </w:r>
            <w:r w:rsidR="00485541">
              <w:rPr>
                <w:sz w:val="22"/>
                <w:szCs w:val="22"/>
              </w:rPr>
              <w:lastRenderedPageBreak/>
              <w:t xml:space="preserve">term of registration, name of the mark holder, classes of goods and services etc.): see </w:t>
            </w:r>
            <w:hyperlink r:id="rId10" w:history="1">
              <w:r w:rsidR="00485541" w:rsidRPr="00AE07C7">
                <w:rPr>
                  <w:rStyle w:val="Hyperlink"/>
                  <w:sz w:val="22"/>
                  <w:szCs w:val="22"/>
                </w:rPr>
                <w:t>http://www.trademark-clearinghouse.com/sites/default/files/files/downloads/Terms%20and%20Conditions%20for%20Trademark%20Holders.pdf</w:t>
              </w:r>
            </w:hyperlink>
            <w:r w:rsidR="00485541">
              <w:rPr>
                <w:sz w:val="22"/>
                <w:szCs w:val="22"/>
              </w:rPr>
              <w:t xml:space="preserve"> and </w:t>
            </w:r>
            <w:hyperlink r:id="rId11" w:history="1">
              <w:r w:rsidR="00485541" w:rsidRPr="00AE07C7">
                <w:rPr>
                  <w:rStyle w:val="Hyperlink"/>
                  <w:sz w:val="22"/>
                  <w:szCs w:val="22"/>
                </w:rPr>
                <w:t>http://www.trademark-clearinghouse.com/sites/default/files/files/downloads/TMCH%20terms%20and%20conditions%20-%20Trademark%20Agent%20-%201.1.pdf</w:t>
              </w:r>
            </w:hyperlink>
            <w:r w:rsidR="00485541">
              <w:rPr>
                <w:sz w:val="22"/>
                <w:szCs w:val="22"/>
              </w:rPr>
              <w:t xml:space="preserve">, </w:t>
            </w:r>
          </w:p>
        </w:tc>
        <w:tc>
          <w:tcPr>
            <w:tcW w:w="2589" w:type="dxa"/>
          </w:tcPr>
          <w:p w14:paraId="53E1C6D3" w14:textId="77777777" w:rsidR="001856CA" w:rsidRDefault="001856CA" w:rsidP="00717618">
            <w:pPr>
              <w:rPr>
                <w:sz w:val="22"/>
                <w:szCs w:val="22"/>
              </w:rPr>
            </w:pPr>
            <w:r>
              <w:rPr>
                <w:sz w:val="22"/>
                <w:szCs w:val="22"/>
              </w:rPr>
              <w:lastRenderedPageBreak/>
              <w:t>WG may consider closing this question unless there have there been issues reported regarding removal of cancelled trademarks from the TMDB.</w:t>
            </w:r>
          </w:p>
          <w:p w14:paraId="17957C26" w14:textId="77777777" w:rsidR="001856CA" w:rsidRDefault="001856CA" w:rsidP="00717618">
            <w:pPr>
              <w:rPr>
                <w:sz w:val="22"/>
                <w:szCs w:val="22"/>
              </w:rPr>
            </w:pPr>
          </w:p>
          <w:p w14:paraId="567699A2" w14:textId="5CC87C12" w:rsidR="001856CA" w:rsidRPr="00101BF9" w:rsidRDefault="001856CA" w:rsidP="00FE7014">
            <w:pPr>
              <w:rPr>
                <w:sz w:val="22"/>
                <w:szCs w:val="22"/>
              </w:rPr>
            </w:pPr>
            <w:r>
              <w:rPr>
                <w:sz w:val="22"/>
                <w:szCs w:val="22"/>
              </w:rPr>
              <w:lastRenderedPageBreak/>
              <w:t>WG to follow up with Deloitte on finding out information as to whether and when a cancelled trademark has been pulled out of the TMCH.</w:t>
            </w:r>
          </w:p>
        </w:tc>
      </w:tr>
    </w:tbl>
    <w:p w14:paraId="40A8F24D" w14:textId="77777777" w:rsidR="00050A41" w:rsidRDefault="00050A41">
      <w:pPr>
        <w:rPr>
          <w:b/>
          <w:sz w:val="22"/>
          <w:szCs w:val="22"/>
        </w:rPr>
      </w:pPr>
    </w:p>
    <w:p w14:paraId="38FBFB8E" w14:textId="77777777" w:rsidR="00CC2700" w:rsidRDefault="00CC2700">
      <w:pPr>
        <w:rPr>
          <w:b/>
          <w:sz w:val="22"/>
          <w:szCs w:val="22"/>
        </w:rPr>
      </w:pPr>
    </w:p>
    <w:p w14:paraId="56594DE0" w14:textId="77777777" w:rsidR="00CC2700" w:rsidRDefault="00CC2700">
      <w:pPr>
        <w:rPr>
          <w:b/>
          <w:sz w:val="22"/>
          <w:szCs w:val="22"/>
        </w:rPr>
      </w:pPr>
      <w:r>
        <w:rPr>
          <w:b/>
          <w:sz w:val="22"/>
          <w:szCs w:val="22"/>
        </w:rPr>
        <w:t>GENERAL NOTE:</w:t>
      </w:r>
    </w:p>
    <w:p w14:paraId="3B72AA4C" w14:textId="77777777" w:rsidR="00CC2700" w:rsidRDefault="00CC2700">
      <w:pPr>
        <w:rPr>
          <w:b/>
          <w:sz w:val="22"/>
          <w:szCs w:val="22"/>
        </w:rPr>
      </w:pPr>
    </w:p>
    <w:p w14:paraId="3B3EC271" w14:textId="767DEC14" w:rsidR="00CC2700" w:rsidRPr="00310C40" w:rsidRDefault="00CC2700">
      <w:pPr>
        <w:rPr>
          <w:b/>
          <w:sz w:val="22"/>
          <w:szCs w:val="22"/>
        </w:rPr>
      </w:pPr>
      <w:r>
        <w:rPr>
          <w:b/>
          <w:sz w:val="22"/>
          <w:szCs w:val="22"/>
        </w:rPr>
        <w:t xml:space="preserve">From the Applicant Guidebook </w:t>
      </w:r>
      <w:r w:rsidR="00310C40">
        <w:rPr>
          <w:b/>
          <w:sz w:val="22"/>
          <w:szCs w:val="22"/>
        </w:rPr>
        <w:t>–</w:t>
      </w:r>
      <w:r>
        <w:rPr>
          <w:b/>
          <w:sz w:val="22"/>
          <w:szCs w:val="22"/>
        </w:rPr>
        <w:br/>
      </w:r>
      <w:r w:rsidRPr="00CC2700">
        <w:rPr>
          <w:sz w:val="22"/>
          <w:szCs w:val="22"/>
        </w:rPr>
        <w:t>1.5: [TMCH] functions will be performed in accordance with a limited charter, and will not have any discretionary powers other than what will be set out in the charter with respect to authentication and validation. The Clearinghouse administrator(s) cannot create policy. Before material changes are made to the Clearinghouse functions, they will be reviewed through the ICANN public participation model</w:t>
      </w:r>
      <w:r>
        <w:rPr>
          <w:sz w:val="22"/>
          <w:szCs w:val="22"/>
        </w:rPr>
        <w:t>.</w:t>
      </w:r>
    </w:p>
    <w:sectPr w:rsidR="00CC2700" w:rsidRPr="00310C40" w:rsidSect="001856CA">
      <w:footerReference w:type="even" r:id="rId12"/>
      <w:footerReference w:type="default" r:id="rId1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99823" w14:textId="77777777" w:rsidR="003B3B5F" w:rsidRDefault="003B3B5F" w:rsidP="00BA7973">
      <w:r>
        <w:separator/>
      </w:r>
    </w:p>
  </w:endnote>
  <w:endnote w:type="continuationSeparator" w:id="0">
    <w:p w14:paraId="41DADE99" w14:textId="77777777" w:rsidR="003B3B5F" w:rsidRDefault="003B3B5F" w:rsidP="00BA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B57E" w14:textId="77777777" w:rsidR="00DE2CB1" w:rsidRDefault="009E6D13" w:rsidP="009A6D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14B89" w14:textId="77777777" w:rsidR="00DE2CB1" w:rsidRDefault="003B3B5F" w:rsidP="00DE2C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C47D" w14:textId="77777777" w:rsidR="009A6DAE" w:rsidRDefault="009A6DAE" w:rsidP="007655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A54">
      <w:rPr>
        <w:rStyle w:val="PageNumber"/>
        <w:noProof/>
      </w:rPr>
      <w:t>10</w:t>
    </w:r>
    <w:r>
      <w:rPr>
        <w:rStyle w:val="PageNumber"/>
      </w:rPr>
      <w:fldChar w:fldCharType="end"/>
    </w:r>
  </w:p>
  <w:p w14:paraId="7EB51DDA" w14:textId="77777777" w:rsidR="00DE2CB1" w:rsidRPr="00230F63" w:rsidRDefault="003B3B5F" w:rsidP="00DE2C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FAEAC" w14:textId="77777777" w:rsidR="003B3B5F" w:rsidRDefault="003B3B5F" w:rsidP="00BA7973">
      <w:pPr>
        <w:rPr>
          <w:noProof/>
        </w:rPr>
      </w:pPr>
      <w:r>
        <w:rPr>
          <w:noProof/>
        </w:rPr>
        <w:separator/>
      </w:r>
    </w:p>
  </w:footnote>
  <w:footnote w:type="continuationSeparator" w:id="0">
    <w:p w14:paraId="2F0E900D" w14:textId="77777777" w:rsidR="003B3B5F" w:rsidRDefault="003B3B5F" w:rsidP="00BA7973">
      <w:r>
        <w:continuationSeparator/>
      </w:r>
    </w:p>
  </w:footnote>
  <w:footnote w:id="1">
    <w:p w14:paraId="2A2487FF" w14:textId="41CA1FD5" w:rsidR="007B3696" w:rsidRPr="007B3696" w:rsidRDefault="007B3696">
      <w:pPr>
        <w:pStyle w:val="FootnoteText"/>
        <w:rPr>
          <w:sz w:val="20"/>
          <w:szCs w:val="20"/>
        </w:rPr>
      </w:pPr>
      <w:r w:rsidRPr="007B3696">
        <w:rPr>
          <w:rStyle w:val="FootnoteReference"/>
          <w:sz w:val="20"/>
          <w:szCs w:val="20"/>
        </w:rPr>
        <w:footnoteRef/>
      </w:r>
      <w:r w:rsidRPr="007B3696">
        <w:rPr>
          <w:sz w:val="20"/>
          <w:szCs w:val="20"/>
        </w:rPr>
        <w:t xml:space="preserve"> </w:t>
      </w:r>
      <w:r>
        <w:rPr>
          <w:sz w:val="20"/>
          <w:szCs w:val="20"/>
        </w:rPr>
        <w:t>This recommendation achieved u</w:t>
      </w:r>
      <w:r w:rsidRPr="007B3696">
        <w:rPr>
          <w:sz w:val="20"/>
          <w:szCs w:val="20"/>
        </w:rPr>
        <w:t>nanimous consensus among the STI.</w:t>
      </w:r>
    </w:p>
  </w:footnote>
  <w:footnote w:id="2">
    <w:p w14:paraId="08FDD040" w14:textId="77777777" w:rsidR="007B3696" w:rsidRPr="00717618" w:rsidRDefault="007B3696" w:rsidP="007B3696">
      <w:pPr>
        <w:pStyle w:val="FootnoteText"/>
        <w:rPr>
          <w:sz w:val="20"/>
          <w:szCs w:val="20"/>
        </w:rPr>
      </w:pPr>
      <w:r>
        <w:rPr>
          <w:rStyle w:val="FootnoteReference"/>
        </w:rPr>
        <w:footnoteRef/>
      </w:r>
      <w:r>
        <w:t xml:space="preserve"> </w:t>
      </w:r>
      <w:r>
        <w:rPr>
          <w:sz w:val="20"/>
          <w:szCs w:val="20"/>
        </w:rPr>
        <w:t>Note that the TMCH Dispute Resolution Procedures contemplate third party challenges, e.g. to the provider’s decision that a trademark record was valid because it was incorrectly verified, or to the validity of a trademark record based on information not available to the provider at the time the trademark record was verified (</w:t>
      </w:r>
      <w:hyperlink r:id="rId1" w:history="1">
        <w:r w:rsidRPr="0015201E">
          <w:rPr>
            <w:rStyle w:val="Hyperlink"/>
            <w:sz w:val="20"/>
            <w:szCs w:val="20"/>
          </w:rPr>
          <w:t>http://trademark-clearinghouse.com/dispute)</w:t>
        </w:r>
      </w:hyperlink>
      <w:r>
        <w:rPr>
          <w:sz w:val="20"/>
          <w:szCs w:val="20"/>
        </w:rPr>
        <w:t xml:space="preserve">. </w:t>
      </w:r>
    </w:p>
  </w:footnote>
  <w:footnote w:id="3">
    <w:p w14:paraId="7285ACEF" w14:textId="20C85CCB" w:rsidR="00BE566D" w:rsidRPr="00BE566D" w:rsidRDefault="00BE566D">
      <w:pPr>
        <w:pStyle w:val="FootnoteText"/>
        <w:rPr>
          <w:sz w:val="20"/>
          <w:szCs w:val="20"/>
        </w:rPr>
      </w:pPr>
      <w:r w:rsidRPr="00BE566D">
        <w:rPr>
          <w:rStyle w:val="FootnoteReference"/>
          <w:sz w:val="20"/>
          <w:szCs w:val="20"/>
        </w:rPr>
        <w:footnoteRef/>
      </w:r>
      <w:r w:rsidRPr="00BE566D">
        <w:rPr>
          <w:sz w:val="20"/>
          <w:szCs w:val="20"/>
        </w:rPr>
        <w:t xml:space="preserve"> This recommendation achieved Rough Consensus amongst the STI, with the BC submitting a Minority Statement.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6987"/>
    <w:multiLevelType w:val="hybridMultilevel"/>
    <w:tmpl w:val="81E4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863CD"/>
    <w:multiLevelType w:val="hybridMultilevel"/>
    <w:tmpl w:val="2AF0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643B"/>
    <w:multiLevelType w:val="hybridMultilevel"/>
    <w:tmpl w:val="BB740B4A"/>
    <w:lvl w:ilvl="0" w:tplc="11EA8A80">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C616D"/>
    <w:multiLevelType w:val="hybridMultilevel"/>
    <w:tmpl w:val="B2BE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17A74"/>
    <w:multiLevelType w:val="hybridMultilevel"/>
    <w:tmpl w:val="1EC4A912"/>
    <w:lvl w:ilvl="0" w:tplc="316678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2A6E77"/>
    <w:multiLevelType w:val="hybridMultilevel"/>
    <w:tmpl w:val="CFF0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B1004"/>
    <w:multiLevelType w:val="hybridMultilevel"/>
    <w:tmpl w:val="CBD091A8"/>
    <w:lvl w:ilvl="0" w:tplc="B2C00A62">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4369E"/>
    <w:multiLevelType w:val="hybridMultilevel"/>
    <w:tmpl w:val="9D2E8736"/>
    <w:lvl w:ilvl="0" w:tplc="0409000F">
      <w:start w:val="1"/>
      <w:numFmt w:val="decimal"/>
      <w:lvlText w:val="%1."/>
      <w:lvlJc w:val="left"/>
      <w:pPr>
        <w:ind w:left="720" w:hanging="360"/>
      </w:pPr>
    </w:lvl>
    <w:lvl w:ilvl="1" w:tplc="316678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96C77"/>
    <w:multiLevelType w:val="hybridMultilevel"/>
    <w:tmpl w:val="1DFA5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0B5D32"/>
    <w:multiLevelType w:val="hybridMultilevel"/>
    <w:tmpl w:val="3C2E0146"/>
    <w:lvl w:ilvl="0" w:tplc="B2C00A62">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11D1E"/>
    <w:multiLevelType w:val="hybridMultilevel"/>
    <w:tmpl w:val="C478BD80"/>
    <w:lvl w:ilvl="0" w:tplc="77FECBD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D11E17"/>
    <w:multiLevelType w:val="hybridMultilevel"/>
    <w:tmpl w:val="D93C8FF4"/>
    <w:lvl w:ilvl="0" w:tplc="B8BECF86">
      <w:start w:val="7"/>
      <w:numFmt w:val="decimal"/>
      <w:lvlText w:val="%1."/>
      <w:lvlJc w:val="left"/>
      <w:pPr>
        <w:ind w:left="360" w:hanging="360"/>
      </w:pPr>
      <w:rPr>
        <w:rFonts w:hint="default"/>
      </w:rPr>
    </w:lvl>
    <w:lvl w:ilvl="1" w:tplc="316678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566419"/>
    <w:multiLevelType w:val="hybridMultilevel"/>
    <w:tmpl w:val="6DE8BA60"/>
    <w:lvl w:ilvl="0" w:tplc="CAD4CB38">
      <w:start w:val="17"/>
      <w:numFmt w:val="bullet"/>
      <w:lvlText w:val="-"/>
      <w:lvlJc w:val="left"/>
      <w:pPr>
        <w:ind w:left="360" w:hanging="360"/>
      </w:pPr>
      <w:rPr>
        <w:rFonts w:ascii="Calibri" w:eastAsiaTheme="minorEastAsia"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D84D91"/>
    <w:multiLevelType w:val="hybridMultilevel"/>
    <w:tmpl w:val="92A41ECA"/>
    <w:lvl w:ilvl="0" w:tplc="DF2A0C6A">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F5AA7"/>
    <w:multiLevelType w:val="hybridMultilevel"/>
    <w:tmpl w:val="4CACC0BC"/>
    <w:lvl w:ilvl="0" w:tplc="5A5CFCE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C20A0D"/>
    <w:multiLevelType w:val="hybridMultilevel"/>
    <w:tmpl w:val="D13473DA"/>
    <w:lvl w:ilvl="0" w:tplc="80A8253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EC76A7"/>
    <w:multiLevelType w:val="hybridMultilevel"/>
    <w:tmpl w:val="7CDEF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B712D0"/>
    <w:multiLevelType w:val="multilevel"/>
    <w:tmpl w:val="AF6A1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463179"/>
    <w:multiLevelType w:val="hybridMultilevel"/>
    <w:tmpl w:val="6376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563D8C"/>
    <w:multiLevelType w:val="hybridMultilevel"/>
    <w:tmpl w:val="6542F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6B3994"/>
    <w:multiLevelType w:val="hybridMultilevel"/>
    <w:tmpl w:val="2BEEB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EC1248"/>
    <w:multiLevelType w:val="hybridMultilevel"/>
    <w:tmpl w:val="9D74F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6"/>
  </w:num>
  <w:num w:numId="4">
    <w:abstractNumId w:val="7"/>
  </w:num>
  <w:num w:numId="5">
    <w:abstractNumId w:val="20"/>
  </w:num>
  <w:num w:numId="6">
    <w:abstractNumId w:val="6"/>
  </w:num>
  <w:num w:numId="7">
    <w:abstractNumId w:val="9"/>
  </w:num>
  <w:num w:numId="8">
    <w:abstractNumId w:val="12"/>
  </w:num>
  <w:num w:numId="9">
    <w:abstractNumId w:val="8"/>
  </w:num>
  <w:num w:numId="10">
    <w:abstractNumId w:val="3"/>
  </w:num>
  <w:num w:numId="11">
    <w:abstractNumId w:val="1"/>
  </w:num>
  <w:num w:numId="12">
    <w:abstractNumId w:val="21"/>
  </w:num>
  <w:num w:numId="13">
    <w:abstractNumId w:val="0"/>
  </w:num>
  <w:num w:numId="14">
    <w:abstractNumId w:val="5"/>
  </w:num>
  <w:num w:numId="15">
    <w:abstractNumId w:val="18"/>
  </w:num>
  <w:num w:numId="16">
    <w:abstractNumId w:val="15"/>
  </w:num>
  <w:num w:numId="17">
    <w:abstractNumId w:val="14"/>
  </w:num>
  <w:num w:numId="18">
    <w:abstractNumId w:val="2"/>
  </w:num>
  <w:num w:numId="19">
    <w:abstractNumId w:val="13"/>
  </w:num>
  <w:num w:numId="20">
    <w:abstractNumId w:val="10"/>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FD"/>
    <w:rsid w:val="00005CBD"/>
    <w:rsid w:val="00050A41"/>
    <w:rsid w:val="000930F3"/>
    <w:rsid w:val="000944AA"/>
    <w:rsid w:val="000944E6"/>
    <w:rsid w:val="000A2AAC"/>
    <w:rsid w:val="000C6816"/>
    <w:rsid w:val="000D5ADA"/>
    <w:rsid w:val="000E5C28"/>
    <w:rsid w:val="00101BF9"/>
    <w:rsid w:val="001221AE"/>
    <w:rsid w:val="001346DB"/>
    <w:rsid w:val="00136522"/>
    <w:rsid w:val="001752AB"/>
    <w:rsid w:val="001856CA"/>
    <w:rsid w:val="00186F1B"/>
    <w:rsid w:val="001A155B"/>
    <w:rsid w:val="001A5E59"/>
    <w:rsid w:val="001B03DC"/>
    <w:rsid w:val="001D467B"/>
    <w:rsid w:val="00226078"/>
    <w:rsid w:val="00230F63"/>
    <w:rsid w:val="00273632"/>
    <w:rsid w:val="00273856"/>
    <w:rsid w:val="00291EEC"/>
    <w:rsid w:val="002C47AE"/>
    <w:rsid w:val="002D71A8"/>
    <w:rsid w:val="00300B2C"/>
    <w:rsid w:val="00310C40"/>
    <w:rsid w:val="00314F3E"/>
    <w:rsid w:val="00326516"/>
    <w:rsid w:val="003561CE"/>
    <w:rsid w:val="00392437"/>
    <w:rsid w:val="003B3B5F"/>
    <w:rsid w:val="003C28BA"/>
    <w:rsid w:val="003E706B"/>
    <w:rsid w:val="00402F6A"/>
    <w:rsid w:val="00414CCE"/>
    <w:rsid w:val="00417CD7"/>
    <w:rsid w:val="00420831"/>
    <w:rsid w:val="00435BDF"/>
    <w:rsid w:val="004648EC"/>
    <w:rsid w:val="00485541"/>
    <w:rsid w:val="00485F37"/>
    <w:rsid w:val="00491A54"/>
    <w:rsid w:val="004C0E2C"/>
    <w:rsid w:val="004C2C15"/>
    <w:rsid w:val="004E0066"/>
    <w:rsid w:val="005304AD"/>
    <w:rsid w:val="005B17F3"/>
    <w:rsid w:val="006024EB"/>
    <w:rsid w:val="006F681C"/>
    <w:rsid w:val="006F6CFD"/>
    <w:rsid w:val="00710022"/>
    <w:rsid w:val="00711050"/>
    <w:rsid w:val="00711650"/>
    <w:rsid w:val="00712C1C"/>
    <w:rsid w:val="00733BDF"/>
    <w:rsid w:val="00741E26"/>
    <w:rsid w:val="00742DF5"/>
    <w:rsid w:val="007732BF"/>
    <w:rsid w:val="007908A9"/>
    <w:rsid w:val="00796B8F"/>
    <w:rsid w:val="007B2AC8"/>
    <w:rsid w:val="007B3696"/>
    <w:rsid w:val="007C03DD"/>
    <w:rsid w:val="008005A9"/>
    <w:rsid w:val="008013A3"/>
    <w:rsid w:val="0082758F"/>
    <w:rsid w:val="00857CEA"/>
    <w:rsid w:val="00863301"/>
    <w:rsid w:val="008759AB"/>
    <w:rsid w:val="0089452E"/>
    <w:rsid w:val="00896F4A"/>
    <w:rsid w:val="008E3316"/>
    <w:rsid w:val="00902DAC"/>
    <w:rsid w:val="009A6DAE"/>
    <w:rsid w:val="009D7ECE"/>
    <w:rsid w:val="009E6D13"/>
    <w:rsid w:val="00A248A0"/>
    <w:rsid w:val="00A800BE"/>
    <w:rsid w:val="00B01FA6"/>
    <w:rsid w:val="00B02F40"/>
    <w:rsid w:val="00B04DDA"/>
    <w:rsid w:val="00B47A82"/>
    <w:rsid w:val="00B6353C"/>
    <w:rsid w:val="00B7434D"/>
    <w:rsid w:val="00B86087"/>
    <w:rsid w:val="00BA7973"/>
    <w:rsid w:val="00BB6A49"/>
    <w:rsid w:val="00BB74C8"/>
    <w:rsid w:val="00BC266C"/>
    <w:rsid w:val="00BE566D"/>
    <w:rsid w:val="00C204F8"/>
    <w:rsid w:val="00C50EB8"/>
    <w:rsid w:val="00C9790C"/>
    <w:rsid w:val="00CC2700"/>
    <w:rsid w:val="00CE64A0"/>
    <w:rsid w:val="00D7026C"/>
    <w:rsid w:val="00DC4E46"/>
    <w:rsid w:val="00DE37FD"/>
    <w:rsid w:val="00DE532A"/>
    <w:rsid w:val="00E22160"/>
    <w:rsid w:val="00E23D73"/>
    <w:rsid w:val="00E35154"/>
    <w:rsid w:val="00E5512A"/>
    <w:rsid w:val="00E83B1F"/>
    <w:rsid w:val="00E91CC8"/>
    <w:rsid w:val="00EA32E8"/>
    <w:rsid w:val="00EB7F8E"/>
    <w:rsid w:val="00EF59DA"/>
    <w:rsid w:val="00EF7B8B"/>
    <w:rsid w:val="00F051DA"/>
    <w:rsid w:val="00F07ED6"/>
    <w:rsid w:val="00F743F3"/>
    <w:rsid w:val="00F850C0"/>
    <w:rsid w:val="00F87D44"/>
    <w:rsid w:val="00F91B13"/>
    <w:rsid w:val="00F96DED"/>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D8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7973"/>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A7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7973"/>
    <w:pPr>
      <w:ind w:left="720"/>
      <w:contextualSpacing/>
    </w:pPr>
  </w:style>
  <w:style w:type="paragraph" w:styleId="FootnoteText">
    <w:name w:val="footnote text"/>
    <w:basedOn w:val="Normal"/>
    <w:link w:val="FootnoteTextChar"/>
    <w:uiPriority w:val="99"/>
    <w:unhideWhenUsed/>
    <w:rsid w:val="00BA7973"/>
  </w:style>
  <w:style w:type="character" w:customStyle="1" w:styleId="FootnoteTextChar">
    <w:name w:val="Footnote Text Char"/>
    <w:basedOn w:val="DefaultParagraphFont"/>
    <w:link w:val="FootnoteText"/>
    <w:uiPriority w:val="99"/>
    <w:rsid w:val="00BA7973"/>
  </w:style>
  <w:style w:type="character" w:styleId="FootnoteReference">
    <w:name w:val="footnote reference"/>
    <w:basedOn w:val="DefaultParagraphFont"/>
    <w:uiPriority w:val="99"/>
    <w:unhideWhenUsed/>
    <w:rsid w:val="00BA7973"/>
    <w:rPr>
      <w:vertAlign w:val="superscript"/>
    </w:rPr>
  </w:style>
  <w:style w:type="paragraph" w:styleId="Footer">
    <w:name w:val="footer"/>
    <w:basedOn w:val="Normal"/>
    <w:link w:val="FooterChar"/>
    <w:uiPriority w:val="99"/>
    <w:unhideWhenUsed/>
    <w:rsid w:val="00BA7973"/>
    <w:pPr>
      <w:tabs>
        <w:tab w:val="center" w:pos="4680"/>
        <w:tab w:val="right" w:pos="9360"/>
      </w:tabs>
    </w:pPr>
  </w:style>
  <w:style w:type="character" w:customStyle="1" w:styleId="FooterChar">
    <w:name w:val="Footer Char"/>
    <w:basedOn w:val="DefaultParagraphFont"/>
    <w:link w:val="Footer"/>
    <w:uiPriority w:val="99"/>
    <w:rsid w:val="00BA7973"/>
  </w:style>
  <w:style w:type="character" w:styleId="PageNumber">
    <w:name w:val="page number"/>
    <w:basedOn w:val="DefaultParagraphFont"/>
    <w:uiPriority w:val="99"/>
    <w:semiHidden/>
    <w:unhideWhenUsed/>
    <w:rsid w:val="00BA7973"/>
  </w:style>
  <w:style w:type="paragraph" w:styleId="BalloonText">
    <w:name w:val="Balloon Text"/>
    <w:basedOn w:val="Normal"/>
    <w:link w:val="BalloonTextChar"/>
    <w:uiPriority w:val="99"/>
    <w:semiHidden/>
    <w:unhideWhenUsed/>
    <w:rsid w:val="00B743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434D"/>
    <w:rPr>
      <w:rFonts w:ascii="Times New Roman" w:hAnsi="Times New Roman" w:cs="Times New Roman"/>
      <w:sz w:val="18"/>
      <w:szCs w:val="18"/>
    </w:rPr>
  </w:style>
  <w:style w:type="paragraph" w:styleId="Header">
    <w:name w:val="header"/>
    <w:basedOn w:val="Normal"/>
    <w:link w:val="HeaderChar"/>
    <w:uiPriority w:val="99"/>
    <w:unhideWhenUsed/>
    <w:rsid w:val="00230F63"/>
    <w:pPr>
      <w:tabs>
        <w:tab w:val="center" w:pos="4680"/>
        <w:tab w:val="right" w:pos="9360"/>
      </w:tabs>
    </w:pPr>
  </w:style>
  <w:style w:type="character" w:customStyle="1" w:styleId="HeaderChar">
    <w:name w:val="Header Char"/>
    <w:basedOn w:val="DefaultParagraphFont"/>
    <w:link w:val="Header"/>
    <w:uiPriority w:val="99"/>
    <w:rsid w:val="00230F63"/>
  </w:style>
  <w:style w:type="character" w:styleId="Hyperlink">
    <w:name w:val="Hyperlink"/>
    <w:basedOn w:val="DefaultParagraphFont"/>
    <w:uiPriority w:val="99"/>
    <w:rsid w:val="00BB7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6477">
      <w:bodyDiv w:val="1"/>
      <w:marLeft w:val="0"/>
      <w:marRight w:val="0"/>
      <w:marTop w:val="0"/>
      <w:marBottom w:val="0"/>
      <w:divBdr>
        <w:top w:val="none" w:sz="0" w:space="0" w:color="auto"/>
        <w:left w:val="none" w:sz="0" w:space="0" w:color="auto"/>
        <w:bottom w:val="none" w:sz="0" w:space="0" w:color="auto"/>
        <w:right w:val="none" w:sz="0" w:space="0" w:color="auto"/>
      </w:divBdr>
    </w:div>
    <w:div w:id="232544990">
      <w:bodyDiv w:val="1"/>
      <w:marLeft w:val="0"/>
      <w:marRight w:val="0"/>
      <w:marTop w:val="0"/>
      <w:marBottom w:val="0"/>
      <w:divBdr>
        <w:top w:val="none" w:sz="0" w:space="0" w:color="auto"/>
        <w:left w:val="none" w:sz="0" w:space="0" w:color="auto"/>
        <w:bottom w:val="none" w:sz="0" w:space="0" w:color="auto"/>
        <w:right w:val="none" w:sz="0" w:space="0" w:color="auto"/>
      </w:divBdr>
    </w:div>
    <w:div w:id="251015835">
      <w:bodyDiv w:val="1"/>
      <w:marLeft w:val="0"/>
      <w:marRight w:val="0"/>
      <w:marTop w:val="0"/>
      <w:marBottom w:val="0"/>
      <w:divBdr>
        <w:top w:val="none" w:sz="0" w:space="0" w:color="auto"/>
        <w:left w:val="none" w:sz="0" w:space="0" w:color="auto"/>
        <w:bottom w:val="none" w:sz="0" w:space="0" w:color="auto"/>
        <w:right w:val="none" w:sz="0" w:space="0" w:color="auto"/>
      </w:divBdr>
    </w:div>
    <w:div w:id="270749886">
      <w:bodyDiv w:val="1"/>
      <w:marLeft w:val="0"/>
      <w:marRight w:val="0"/>
      <w:marTop w:val="0"/>
      <w:marBottom w:val="0"/>
      <w:divBdr>
        <w:top w:val="none" w:sz="0" w:space="0" w:color="auto"/>
        <w:left w:val="none" w:sz="0" w:space="0" w:color="auto"/>
        <w:bottom w:val="none" w:sz="0" w:space="0" w:color="auto"/>
        <w:right w:val="none" w:sz="0" w:space="0" w:color="auto"/>
      </w:divBdr>
    </w:div>
    <w:div w:id="445466756">
      <w:bodyDiv w:val="1"/>
      <w:marLeft w:val="0"/>
      <w:marRight w:val="0"/>
      <w:marTop w:val="0"/>
      <w:marBottom w:val="0"/>
      <w:divBdr>
        <w:top w:val="none" w:sz="0" w:space="0" w:color="auto"/>
        <w:left w:val="none" w:sz="0" w:space="0" w:color="auto"/>
        <w:bottom w:val="none" w:sz="0" w:space="0" w:color="auto"/>
        <w:right w:val="none" w:sz="0" w:space="0" w:color="auto"/>
      </w:divBdr>
    </w:div>
    <w:div w:id="492914072">
      <w:bodyDiv w:val="1"/>
      <w:marLeft w:val="0"/>
      <w:marRight w:val="0"/>
      <w:marTop w:val="0"/>
      <w:marBottom w:val="0"/>
      <w:divBdr>
        <w:top w:val="none" w:sz="0" w:space="0" w:color="auto"/>
        <w:left w:val="none" w:sz="0" w:space="0" w:color="auto"/>
        <w:bottom w:val="none" w:sz="0" w:space="0" w:color="auto"/>
        <w:right w:val="none" w:sz="0" w:space="0" w:color="auto"/>
      </w:divBdr>
    </w:div>
    <w:div w:id="703529690">
      <w:bodyDiv w:val="1"/>
      <w:marLeft w:val="0"/>
      <w:marRight w:val="0"/>
      <w:marTop w:val="0"/>
      <w:marBottom w:val="0"/>
      <w:divBdr>
        <w:top w:val="none" w:sz="0" w:space="0" w:color="auto"/>
        <w:left w:val="none" w:sz="0" w:space="0" w:color="auto"/>
        <w:bottom w:val="none" w:sz="0" w:space="0" w:color="auto"/>
        <w:right w:val="none" w:sz="0" w:space="0" w:color="auto"/>
      </w:divBdr>
    </w:div>
    <w:div w:id="710688083">
      <w:bodyDiv w:val="1"/>
      <w:marLeft w:val="0"/>
      <w:marRight w:val="0"/>
      <w:marTop w:val="0"/>
      <w:marBottom w:val="0"/>
      <w:divBdr>
        <w:top w:val="none" w:sz="0" w:space="0" w:color="auto"/>
        <w:left w:val="none" w:sz="0" w:space="0" w:color="auto"/>
        <w:bottom w:val="none" w:sz="0" w:space="0" w:color="auto"/>
        <w:right w:val="none" w:sz="0" w:space="0" w:color="auto"/>
      </w:divBdr>
    </w:div>
    <w:div w:id="818156063">
      <w:bodyDiv w:val="1"/>
      <w:marLeft w:val="0"/>
      <w:marRight w:val="0"/>
      <w:marTop w:val="0"/>
      <w:marBottom w:val="0"/>
      <w:divBdr>
        <w:top w:val="none" w:sz="0" w:space="0" w:color="auto"/>
        <w:left w:val="none" w:sz="0" w:space="0" w:color="auto"/>
        <w:bottom w:val="none" w:sz="0" w:space="0" w:color="auto"/>
        <w:right w:val="none" w:sz="0" w:space="0" w:color="auto"/>
      </w:divBdr>
    </w:div>
    <w:div w:id="843861382">
      <w:bodyDiv w:val="1"/>
      <w:marLeft w:val="0"/>
      <w:marRight w:val="0"/>
      <w:marTop w:val="0"/>
      <w:marBottom w:val="0"/>
      <w:divBdr>
        <w:top w:val="none" w:sz="0" w:space="0" w:color="auto"/>
        <w:left w:val="none" w:sz="0" w:space="0" w:color="auto"/>
        <w:bottom w:val="none" w:sz="0" w:space="0" w:color="auto"/>
        <w:right w:val="none" w:sz="0" w:space="0" w:color="auto"/>
      </w:divBdr>
    </w:div>
    <w:div w:id="929197621">
      <w:bodyDiv w:val="1"/>
      <w:marLeft w:val="0"/>
      <w:marRight w:val="0"/>
      <w:marTop w:val="0"/>
      <w:marBottom w:val="0"/>
      <w:divBdr>
        <w:top w:val="none" w:sz="0" w:space="0" w:color="auto"/>
        <w:left w:val="none" w:sz="0" w:space="0" w:color="auto"/>
        <w:bottom w:val="none" w:sz="0" w:space="0" w:color="auto"/>
        <w:right w:val="none" w:sz="0" w:space="0" w:color="auto"/>
      </w:divBdr>
    </w:div>
    <w:div w:id="957416125">
      <w:bodyDiv w:val="1"/>
      <w:marLeft w:val="0"/>
      <w:marRight w:val="0"/>
      <w:marTop w:val="0"/>
      <w:marBottom w:val="0"/>
      <w:divBdr>
        <w:top w:val="none" w:sz="0" w:space="0" w:color="auto"/>
        <w:left w:val="none" w:sz="0" w:space="0" w:color="auto"/>
        <w:bottom w:val="none" w:sz="0" w:space="0" w:color="auto"/>
        <w:right w:val="none" w:sz="0" w:space="0" w:color="auto"/>
      </w:divBdr>
    </w:div>
    <w:div w:id="1041393518">
      <w:bodyDiv w:val="1"/>
      <w:marLeft w:val="0"/>
      <w:marRight w:val="0"/>
      <w:marTop w:val="0"/>
      <w:marBottom w:val="0"/>
      <w:divBdr>
        <w:top w:val="none" w:sz="0" w:space="0" w:color="auto"/>
        <w:left w:val="none" w:sz="0" w:space="0" w:color="auto"/>
        <w:bottom w:val="none" w:sz="0" w:space="0" w:color="auto"/>
        <w:right w:val="none" w:sz="0" w:space="0" w:color="auto"/>
      </w:divBdr>
    </w:div>
    <w:div w:id="1151171474">
      <w:bodyDiv w:val="1"/>
      <w:marLeft w:val="0"/>
      <w:marRight w:val="0"/>
      <w:marTop w:val="0"/>
      <w:marBottom w:val="0"/>
      <w:divBdr>
        <w:top w:val="none" w:sz="0" w:space="0" w:color="auto"/>
        <w:left w:val="none" w:sz="0" w:space="0" w:color="auto"/>
        <w:bottom w:val="none" w:sz="0" w:space="0" w:color="auto"/>
        <w:right w:val="none" w:sz="0" w:space="0" w:color="auto"/>
      </w:divBdr>
    </w:div>
    <w:div w:id="1301106230">
      <w:bodyDiv w:val="1"/>
      <w:marLeft w:val="0"/>
      <w:marRight w:val="0"/>
      <w:marTop w:val="0"/>
      <w:marBottom w:val="0"/>
      <w:divBdr>
        <w:top w:val="none" w:sz="0" w:space="0" w:color="auto"/>
        <w:left w:val="none" w:sz="0" w:space="0" w:color="auto"/>
        <w:bottom w:val="none" w:sz="0" w:space="0" w:color="auto"/>
        <w:right w:val="none" w:sz="0" w:space="0" w:color="auto"/>
      </w:divBdr>
    </w:div>
    <w:div w:id="1307663978">
      <w:bodyDiv w:val="1"/>
      <w:marLeft w:val="0"/>
      <w:marRight w:val="0"/>
      <w:marTop w:val="0"/>
      <w:marBottom w:val="0"/>
      <w:divBdr>
        <w:top w:val="none" w:sz="0" w:space="0" w:color="auto"/>
        <w:left w:val="none" w:sz="0" w:space="0" w:color="auto"/>
        <w:bottom w:val="none" w:sz="0" w:space="0" w:color="auto"/>
        <w:right w:val="none" w:sz="0" w:space="0" w:color="auto"/>
      </w:divBdr>
    </w:div>
    <w:div w:id="1370882400">
      <w:bodyDiv w:val="1"/>
      <w:marLeft w:val="0"/>
      <w:marRight w:val="0"/>
      <w:marTop w:val="0"/>
      <w:marBottom w:val="0"/>
      <w:divBdr>
        <w:top w:val="none" w:sz="0" w:space="0" w:color="auto"/>
        <w:left w:val="none" w:sz="0" w:space="0" w:color="auto"/>
        <w:bottom w:val="none" w:sz="0" w:space="0" w:color="auto"/>
        <w:right w:val="none" w:sz="0" w:space="0" w:color="auto"/>
      </w:divBdr>
    </w:div>
    <w:div w:id="1374117328">
      <w:bodyDiv w:val="1"/>
      <w:marLeft w:val="0"/>
      <w:marRight w:val="0"/>
      <w:marTop w:val="0"/>
      <w:marBottom w:val="0"/>
      <w:divBdr>
        <w:top w:val="none" w:sz="0" w:space="0" w:color="auto"/>
        <w:left w:val="none" w:sz="0" w:space="0" w:color="auto"/>
        <w:bottom w:val="none" w:sz="0" w:space="0" w:color="auto"/>
        <w:right w:val="none" w:sz="0" w:space="0" w:color="auto"/>
      </w:divBdr>
    </w:div>
    <w:div w:id="1477530141">
      <w:bodyDiv w:val="1"/>
      <w:marLeft w:val="0"/>
      <w:marRight w:val="0"/>
      <w:marTop w:val="0"/>
      <w:marBottom w:val="0"/>
      <w:divBdr>
        <w:top w:val="none" w:sz="0" w:space="0" w:color="auto"/>
        <w:left w:val="none" w:sz="0" w:space="0" w:color="auto"/>
        <w:bottom w:val="none" w:sz="0" w:space="0" w:color="auto"/>
        <w:right w:val="none" w:sz="0" w:space="0" w:color="auto"/>
      </w:divBdr>
    </w:div>
    <w:div w:id="1498377067">
      <w:bodyDiv w:val="1"/>
      <w:marLeft w:val="0"/>
      <w:marRight w:val="0"/>
      <w:marTop w:val="0"/>
      <w:marBottom w:val="0"/>
      <w:divBdr>
        <w:top w:val="none" w:sz="0" w:space="0" w:color="auto"/>
        <w:left w:val="none" w:sz="0" w:space="0" w:color="auto"/>
        <w:bottom w:val="none" w:sz="0" w:space="0" w:color="auto"/>
        <w:right w:val="none" w:sz="0" w:space="0" w:color="auto"/>
      </w:divBdr>
    </w:div>
    <w:div w:id="1514109075">
      <w:bodyDiv w:val="1"/>
      <w:marLeft w:val="0"/>
      <w:marRight w:val="0"/>
      <w:marTop w:val="0"/>
      <w:marBottom w:val="0"/>
      <w:divBdr>
        <w:top w:val="none" w:sz="0" w:space="0" w:color="auto"/>
        <w:left w:val="none" w:sz="0" w:space="0" w:color="auto"/>
        <w:bottom w:val="none" w:sz="0" w:space="0" w:color="auto"/>
        <w:right w:val="none" w:sz="0" w:space="0" w:color="auto"/>
      </w:divBdr>
    </w:div>
    <w:div w:id="1608610614">
      <w:bodyDiv w:val="1"/>
      <w:marLeft w:val="0"/>
      <w:marRight w:val="0"/>
      <w:marTop w:val="0"/>
      <w:marBottom w:val="0"/>
      <w:divBdr>
        <w:top w:val="none" w:sz="0" w:space="0" w:color="auto"/>
        <w:left w:val="none" w:sz="0" w:space="0" w:color="auto"/>
        <w:bottom w:val="none" w:sz="0" w:space="0" w:color="auto"/>
        <w:right w:val="none" w:sz="0" w:space="0" w:color="auto"/>
      </w:divBdr>
    </w:div>
    <w:div w:id="1821724370">
      <w:bodyDiv w:val="1"/>
      <w:marLeft w:val="0"/>
      <w:marRight w:val="0"/>
      <w:marTop w:val="0"/>
      <w:marBottom w:val="0"/>
      <w:divBdr>
        <w:top w:val="none" w:sz="0" w:space="0" w:color="auto"/>
        <w:left w:val="none" w:sz="0" w:space="0" w:color="auto"/>
        <w:bottom w:val="none" w:sz="0" w:space="0" w:color="auto"/>
        <w:right w:val="none" w:sz="0" w:space="0" w:color="auto"/>
      </w:divBdr>
    </w:div>
    <w:div w:id="1832014971">
      <w:bodyDiv w:val="1"/>
      <w:marLeft w:val="0"/>
      <w:marRight w:val="0"/>
      <w:marTop w:val="0"/>
      <w:marBottom w:val="0"/>
      <w:divBdr>
        <w:top w:val="none" w:sz="0" w:space="0" w:color="auto"/>
        <w:left w:val="none" w:sz="0" w:space="0" w:color="auto"/>
        <w:bottom w:val="none" w:sz="0" w:space="0" w:color="auto"/>
        <w:right w:val="none" w:sz="0" w:space="0" w:color="auto"/>
      </w:divBdr>
    </w:div>
    <w:div w:id="1953973634">
      <w:bodyDiv w:val="1"/>
      <w:marLeft w:val="0"/>
      <w:marRight w:val="0"/>
      <w:marTop w:val="0"/>
      <w:marBottom w:val="0"/>
      <w:divBdr>
        <w:top w:val="none" w:sz="0" w:space="0" w:color="auto"/>
        <w:left w:val="none" w:sz="0" w:space="0" w:color="auto"/>
        <w:bottom w:val="none" w:sz="0" w:space="0" w:color="auto"/>
        <w:right w:val="none" w:sz="0" w:space="0" w:color="auto"/>
      </w:divBdr>
    </w:div>
    <w:div w:id="1984583409">
      <w:bodyDiv w:val="1"/>
      <w:marLeft w:val="0"/>
      <w:marRight w:val="0"/>
      <w:marTop w:val="0"/>
      <w:marBottom w:val="0"/>
      <w:divBdr>
        <w:top w:val="none" w:sz="0" w:space="0" w:color="auto"/>
        <w:left w:val="none" w:sz="0" w:space="0" w:color="auto"/>
        <w:bottom w:val="none" w:sz="0" w:space="0" w:color="auto"/>
        <w:right w:val="none" w:sz="0" w:space="0" w:color="auto"/>
      </w:divBdr>
    </w:div>
    <w:div w:id="2006975198">
      <w:bodyDiv w:val="1"/>
      <w:marLeft w:val="0"/>
      <w:marRight w:val="0"/>
      <w:marTop w:val="0"/>
      <w:marBottom w:val="0"/>
      <w:divBdr>
        <w:top w:val="none" w:sz="0" w:space="0" w:color="auto"/>
        <w:left w:val="none" w:sz="0" w:space="0" w:color="auto"/>
        <w:bottom w:val="none" w:sz="0" w:space="0" w:color="auto"/>
        <w:right w:val="none" w:sz="0" w:space="0" w:color="auto"/>
      </w:divBdr>
    </w:div>
    <w:div w:id="2095517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demark-clearinghouse.com/sites/default/files/files/downloads/TMCH%20terms%20and%20conditions%20-%20Trademark%20Agent%20-%201.1.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rademark-clearinghouse.com/sites/default/files/files/downloads/TMCH%20guidelines%20v1.2_0.pdf" TargetMode="External"/><Relationship Id="rId8" Type="http://schemas.openxmlformats.org/officeDocument/2006/relationships/hyperlink" Target="http://trademark-clearinghouse.com/dispute" TargetMode="External"/><Relationship Id="rId9" Type="http://schemas.openxmlformats.org/officeDocument/2006/relationships/hyperlink" Target="http://trademark-clearinghouse.com/dispute" TargetMode="External"/><Relationship Id="rId10" Type="http://schemas.openxmlformats.org/officeDocument/2006/relationships/hyperlink" Target="http://www.trademark-clearinghouse.com/sites/default/files/files/downloads/Terms%20and%20Conditions%20for%20Trademark%20Holder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rademark-clearinghouse.com/disp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2153</Words>
  <Characters>12274</Characters>
  <Application>Microsoft Macintosh Word</Application>
  <DocSecurity>0</DocSecurity>
  <PresentationFormat/>
  <Lines>102</Lines>
  <Paragraphs>28</Paragraphs>
  <ScaleCrop>false</ScaleCrop>
  <HeadingPairs>
    <vt:vector size="2" baseType="variant">
      <vt:variant>
        <vt:lpstr>Title</vt:lpstr>
      </vt:variant>
      <vt:variant>
        <vt:i4>1</vt:i4>
      </vt:variant>
    </vt:vector>
  </HeadingPairs>
  <TitlesOfParts>
    <vt:vector size="1" baseType="lpstr">
      <vt:lpstr>Category 3 -- TMCH Charter Questions - Document review V. 2 (01022970).DOCX</vt:lpstr>
    </vt:vector>
  </TitlesOfParts>
  <Company>Hewlett-Packard Company</Company>
  <LinksUpToDate>false</LinksUpToDate>
  <CharactersWithSpaces>14399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3 -- TMCH Charter Questions - Document review V. 2 (01022970).DOCX</dc:title>
  <dc:subject>01022970-1 /font=6</dc:subject>
  <dc:creator>Mary Wong</dc:creator>
  <cp:keywords/>
  <dc:description/>
  <cp:lastModifiedBy>Mary Wong</cp:lastModifiedBy>
  <cp:revision>4</cp:revision>
  <cp:lastPrinted>2017-02-28T17:12:00Z</cp:lastPrinted>
  <dcterms:created xsi:type="dcterms:W3CDTF">2017-03-05T21:09:00Z</dcterms:created>
  <dcterms:modified xsi:type="dcterms:W3CDTF">2017-03-05T22:17:00Z</dcterms:modified>
</cp:coreProperties>
</file>