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2279" w14:textId="531CA1C2" w:rsidR="000944E6" w:rsidRPr="00101BF9" w:rsidRDefault="00291EEC" w:rsidP="000944E6">
      <w:pPr>
        <w:jc w:val="center"/>
        <w:rPr>
          <w:b/>
          <w:sz w:val="22"/>
          <w:szCs w:val="22"/>
        </w:rPr>
      </w:pPr>
      <w:r>
        <w:rPr>
          <w:b/>
          <w:sz w:val="22"/>
          <w:szCs w:val="22"/>
        </w:rPr>
        <w:t>REMAINING</w:t>
      </w:r>
      <w:r w:rsidR="00101BF9" w:rsidRPr="00101BF9">
        <w:rPr>
          <w:b/>
          <w:sz w:val="22"/>
          <w:szCs w:val="22"/>
        </w:rPr>
        <w:t xml:space="preserve"> </w:t>
      </w:r>
      <w:r w:rsidR="000944E6" w:rsidRPr="00101BF9">
        <w:rPr>
          <w:b/>
          <w:sz w:val="22"/>
          <w:szCs w:val="22"/>
        </w:rPr>
        <w:t xml:space="preserve">TMCH CHARTER QUESTIONS </w:t>
      </w:r>
      <w:r w:rsidR="00101BF9" w:rsidRPr="00101BF9">
        <w:rPr>
          <w:b/>
          <w:sz w:val="22"/>
          <w:szCs w:val="22"/>
        </w:rPr>
        <w:t xml:space="preserve">MATCHED WITH DOCUMENTATION FROM THE APPLICANT GUIDEBOOK AND OTHER MATERIALS DEVELOPED FOR THE 2012 NEW </w:t>
      </w:r>
      <w:proofErr w:type="spellStart"/>
      <w:r w:rsidR="00101BF9" w:rsidRPr="00101BF9">
        <w:rPr>
          <w:b/>
          <w:sz w:val="22"/>
          <w:szCs w:val="22"/>
        </w:rPr>
        <w:t>gTLD</w:t>
      </w:r>
      <w:proofErr w:type="spellEnd"/>
      <w:r w:rsidR="00101BF9" w:rsidRPr="00101BF9">
        <w:rPr>
          <w:b/>
          <w:sz w:val="22"/>
          <w:szCs w:val="22"/>
        </w:rPr>
        <w:t xml:space="preserve"> PROGRAM</w:t>
      </w:r>
      <w:r w:rsidR="003873F5">
        <w:rPr>
          <w:b/>
          <w:sz w:val="22"/>
          <w:szCs w:val="22"/>
        </w:rPr>
        <w:t xml:space="preserve"> – CATEGORIES 4, 5</w:t>
      </w:r>
      <w:r w:rsidR="008013A3">
        <w:rPr>
          <w:b/>
          <w:sz w:val="22"/>
          <w:szCs w:val="22"/>
        </w:rPr>
        <w:t xml:space="preserve"> &amp; </w:t>
      </w:r>
      <w:r w:rsidR="003873F5">
        <w:rPr>
          <w:b/>
          <w:sz w:val="22"/>
          <w:szCs w:val="22"/>
        </w:rPr>
        <w:t>6</w:t>
      </w:r>
    </w:p>
    <w:p w14:paraId="003AB9DE" w14:textId="6B8C54B2" w:rsidR="000944E6" w:rsidRPr="00101BF9" w:rsidRDefault="00291EEC" w:rsidP="000944E6">
      <w:pPr>
        <w:jc w:val="center"/>
        <w:rPr>
          <w:b/>
          <w:sz w:val="22"/>
          <w:szCs w:val="22"/>
        </w:rPr>
      </w:pPr>
      <w:r>
        <w:rPr>
          <w:b/>
          <w:sz w:val="22"/>
          <w:szCs w:val="22"/>
        </w:rPr>
        <w:t>5 March</w:t>
      </w:r>
      <w:r w:rsidR="000944E6" w:rsidRPr="00101BF9">
        <w:rPr>
          <w:b/>
          <w:sz w:val="22"/>
          <w:szCs w:val="22"/>
        </w:rPr>
        <w:t xml:space="preserve"> 2017</w:t>
      </w:r>
    </w:p>
    <w:p w14:paraId="72534994" w14:textId="77777777" w:rsidR="000944E6" w:rsidRPr="00101BF9" w:rsidRDefault="000944E6" w:rsidP="00BA7973">
      <w:pPr>
        <w:rPr>
          <w:b/>
          <w:sz w:val="22"/>
          <w:szCs w:val="22"/>
        </w:rPr>
      </w:pPr>
    </w:p>
    <w:p w14:paraId="0F06E053" w14:textId="2E7B940C" w:rsidR="00BA7973" w:rsidRPr="00101BF9" w:rsidRDefault="00291EEC" w:rsidP="00BA7973">
      <w:pPr>
        <w:rPr>
          <w:b/>
          <w:sz w:val="22"/>
          <w:szCs w:val="22"/>
        </w:rPr>
      </w:pPr>
      <w:r>
        <w:rPr>
          <w:b/>
          <w:sz w:val="22"/>
          <w:szCs w:val="22"/>
        </w:rPr>
        <w:t xml:space="preserve">CATEGORY </w:t>
      </w:r>
      <w:r w:rsidR="003873F5">
        <w:rPr>
          <w:b/>
          <w:sz w:val="22"/>
          <w:szCs w:val="22"/>
        </w:rPr>
        <w:t>4 – COSTS &amp; OTHER FUNDAMENTAL FEATURES</w:t>
      </w:r>
    </w:p>
    <w:p w14:paraId="15D88CC6" w14:textId="77777777" w:rsidR="00BA7973" w:rsidRPr="00101BF9" w:rsidRDefault="00BA7973" w:rsidP="00BA7973">
      <w:pPr>
        <w:rPr>
          <w:sz w:val="22"/>
          <w:szCs w:val="22"/>
        </w:rPr>
      </w:pPr>
    </w:p>
    <w:tbl>
      <w:tblPr>
        <w:tblStyle w:val="TableGrid"/>
        <w:tblW w:w="0" w:type="auto"/>
        <w:tblCellMar>
          <w:left w:w="115" w:type="dxa"/>
          <w:right w:w="115" w:type="dxa"/>
        </w:tblCellMar>
        <w:tblLook w:val="04A0" w:firstRow="1" w:lastRow="0" w:firstColumn="1" w:lastColumn="0" w:noHBand="0" w:noVBand="1"/>
      </w:tblPr>
      <w:tblGrid>
        <w:gridCol w:w="2173"/>
        <w:gridCol w:w="3632"/>
        <w:gridCol w:w="3533"/>
        <w:gridCol w:w="1964"/>
        <w:gridCol w:w="1648"/>
      </w:tblGrid>
      <w:tr w:rsidR="00EA0FF3" w:rsidRPr="00101BF9" w14:paraId="3886C7E2" w14:textId="7C9A412E" w:rsidTr="00B03B29">
        <w:trPr>
          <w:trHeight w:val="269"/>
        </w:trPr>
        <w:tc>
          <w:tcPr>
            <w:tcW w:w="0" w:type="auto"/>
            <w:shd w:val="clear" w:color="auto" w:fill="D9E2F3" w:themeFill="accent1" w:themeFillTint="33"/>
          </w:tcPr>
          <w:p w14:paraId="23751F5A" w14:textId="77777777" w:rsidR="00EA0FF3" w:rsidRPr="00EA0FF3" w:rsidRDefault="00EA0FF3" w:rsidP="001E50DC">
            <w:pPr>
              <w:rPr>
                <w:b/>
                <w:sz w:val="22"/>
                <w:szCs w:val="22"/>
              </w:rPr>
            </w:pPr>
            <w:r w:rsidRPr="00EA0FF3">
              <w:rPr>
                <w:b/>
                <w:sz w:val="22"/>
                <w:szCs w:val="22"/>
              </w:rPr>
              <w:t>Charter Questions</w:t>
            </w:r>
          </w:p>
          <w:p w14:paraId="141A6731" w14:textId="77777777" w:rsidR="00EA0FF3" w:rsidRPr="00EA0FF3" w:rsidRDefault="00EA0FF3" w:rsidP="00101BF9">
            <w:pPr>
              <w:rPr>
                <w:b/>
                <w:sz w:val="22"/>
                <w:szCs w:val="22"/>
              </w:rPr>
            </w:pPr>
          </w:p>
        </w:tc>
        <w:tc>
          <w:tcPr>
            <w:tcW w:w="0" w:type="auto"/>
            <w:shd w:val="clear" w:color="auto" w:fill="D9E2F3" w:themeFill="accent1" w:themeFillTint="33"/>
          </w:tcPr>
          <w:p w14:paraId="064ECE7C" w14:textId="5A15DF0A" w:rsidR="00EA0FF3" w:rsidRPr="00101BF9" w:rsidRDefault="00EA0FF3" w:rsidP="00101BF9">
            <w:pPr>
              <w:rPr>
                <w:b/>
                <w:sz w:val="22"/>
                <w:szCs w:val="22"/>
              </w:rPr>
            </w:pPr>
            <w:r w:rsidRPr="00101BF9">
              <w:rPr>
                <w:b/>
                <w:sz w:val="22"/>
                <w:szCs w:val="22"/>
              </w:rPr>
              <w:t>STI Recommendations (approved by GNSO Council &amp; ICANN Board)</w:t>
            </w:r>
          </w:p>
        </w:tc>
        <w:tc>
          <w:tcPr>
            <w:tcW w:w="0" w:type="auto"/>
            <w:shd w:val="clear" w:color="auto" w:fill="D9E2F3" w:themeFill="accent1" w:themeFillTint="33"/>
          </w:tcPr>
          <w:p w14:paraId="70A1EFA3" w14:textId="390E3EBD" w:rsidR="00EA0FF3" w:rsidRPr="00101BF9" w:rsidRDefault="00EA0FF3" w:rsidP="00896F4A">
            <w:pPr>
              <w:rPr>
                <w:b/>
                <w:sz w:val="22"/>
                <w:szCs w:val="22"/>
              </w:rPr>
            </w:pPr>
            <w:r w:rsidRPr="00101BF9">
              <w:rPr>
                <w:b/>
                <w:sz w:val="22"/>
                <w:szCs w:val="22"/>
              </w:rPr>
              <w:t>Applicant Guidebook</w:t>
            </w:r>
          </w:p>
        </w:tc>
        <w:tc>
          <w:tcPr>
            <w:tcW w:w="0" w:type="auto"/>
            <w:shd w:val="clear" w:color="auto" w:fill="D9E2F3" w:themeFill="accent1" w:themeFillTint="33"/>
          </w:tcPr>
          <w:p w14:paraId="0F7345D1" w14:textId="034450A9" w:rsidR="00EA0FF3" w:rsidRPr="00101BF9" w:rsidRDefault="00EA0FF3" w:rsidP="00101BF9">
            <w:pPr>
              <w:rPr>
                <w:b/>
                <w:sz w:val="22"/>
                <w:szCs w:val="22"/>
              </w:rPr>
            </w:pPr>
            <w:r w:rsidRPr="00101BF9">
              <w:rPr>
                <w:b/>
                <w:sz w:val="22"/>
                <w:szCs w:val="22"/>
              </w:rPr>
              <w:t>Deloitte Guidelines/Other Materials Developed for the Program</w:t>
            </w:r>
          </w:p>
        </w:tc>
        <w:tc>
          <w:tcPr>
            <w:tcW w:w="0" w:type="auto"/>
            <w:shd w:val="clear" w:color="auto" w:fill="D9E2F3" w:themeFill="accent1" w:themeFillTint="33"/>
          </w:tcPr>
          <w:p w14:paraId="692CCCA4" w14:textId="156BDE31" w:rsidR="00EA0FF3" w:rsidRPr="00EA0FF3" w:rsidRDefault="00EA0FF3" w:rsidP="00101BF9">
            <w:pPr>
              <w:rPr>
                <w:b/>
                <w:sz w:val="22"/>
                <w:szCs w:val="22"/>
              </w:rPr>
            </w:pPr>
            <w:r w:rsidRPr="00EA0FF3">
              <w:rPr>
                <w:b/>
                <w:sz w:val="22"/>
                <w:szCs w:val="22"/>
              </w:rPr>
              <w:t>WG Discussion</w:t>
            </w:r>
            <w:r w:rsidR="007226AF">
              <w:rPr>
                <w:b/>
                <w:sz w:val="22"/>
                <w:szCs w:val="22"/>
              </w:rPr>
              <w:t xml:space="preserve"> to Date</w:t>
            </w:r>
          </w:p>
        </w:tc>
      </w:tr>
      <w:tr w:rsidR="00EA0FF3" w:rsidRPr="00101BF9" w14:paraId="37D06C41" w14:textId="1C757315" w:rsidTr="00B03B29">
        <w:trPr>
          <w:trHeight w:val="269"/>
        </w:trPr>
        <w:tc>
          <w:tcPr>
            <w:tcW w:w="0" w:type="auto"/>
          </w:tcPr>
          <w:p w14:paraId="0968A33F" w14:textId="7A47D507" w:rsidR="00EA0FF3" w:rsidRPr="00463EBF" w:rsidRDefault="00673D0E" w:rsidP="00F850C0">
            <w:pPr>
              <w:rPr>
                <w:sz w:val="22"/>
                <w:szCs w:val="22"/>
                <w:u w:val="single"/>
              </w:rPr>
            </w:pPr>
            <w:r>
              <w:rPr>
                <w:sz w:val="22"/>
                <w:szCs w:val="22"/>
              </w:rPr>
              <w:t>12.</w:t>
            </w:r>
            <w:r w:rsidR="00463EBF" w:rsidRPr="00463EBF">
              <w:rPr>
                <w:sz w:val="22"/>
                <w:szCs w:val="22"/>
              </w:rPr>
              <w:t xml:space="preserve"> </w:t>
            </w:r>
            <w:r w:rsidR="00EA0FF3" w:rsidRPr="00463EBF">
              <w:rPr>
                <w:sz w:val="22"/>
                <w:szCs w:val="22"/>
              </w:rPr>
              <w:t>Are there concerns about operational considerations (such as cost, reliability, global reach, service diversity and consistency) due to the TMCH Database being provided by a single Provider? If so, how may they be addressed?</w:t>
            </w:r>
          </w:p>
        </w:tc>
        <w:tc>
          <w:tcPr>
            <w:tcW w:w="0" w:type="auto"/>
          </w:tcPr>
          <w:p w14:paraId="4E729E8B" w14:textId="19E16050" w:rsidR="00EA0FF3" w:rsidRPr="004C0E2C" w:rsidRDefault="007226AF" w:rsidP="00F850C0">
            <w:pPr>
              <w:rPr>
                <w:sz w:val="22"/>
                <w:szCs w:val="22"/>
                <w:u w:val="single"/>
              </w:rPr>
            </w:pPr>
            <w:r>
              <w:rPr>
                <w:sz w:val="22"/>
                <w:szCs w:val="22"/>
                <w:u w:val="single"/>
              </w:rPr>
              <w:t>2.1: Separation of Functions</w:t>
            </w:r>
            <w:r w:rsidR="00EA0FF3">
              <w:rPr>
                <w:rStyle w:val="FootnoteReference"/>
                <w:sz w:val="22"/>
                <w:szCs w:val="22"/>
                <w:u w:val="single"/>
              </w:rPr>
              <w:footnoteReference w:id="1"/>
            </w:r>
          </w:p>
          <w:p w14:paraId="46325916" w14:textId="77777777" w:rsidR="007226AF" w:rsidRPr="007226AF" w:rsidRDefault="007226AF" w:rsidP="007226AF">
            <w:pPr>
              <w:rPr>
                <w:sz w:val="22"/>
                <w:szCs w:val="22"/>
              </w:rPr>
            </w:pPr>
            <w:r w:rsidRPr="007226AF">
              <w:rPr>
                <w:sz w:val="22"/>
                <w:szCs w:val="22"/>
              </w:rPr>
              <w:t xml:space="preserve">Staff should have the discretion to determine whether the same provider could serve both functions, or whether two providers would be more appropriate. </w:t>
            </w:r>
          </w:p>
          <w:p w14:paraId="0F4B00BC" w14:textId="77777777" w:rsidR="00EA0FF3" w:rsidRDefault="00EA0FF3" w:rsidP="00F850C0">
            <w:pPr>
              <w:rPr>
                <w:sz w:val="22"/>
                <w:szCs w:val="22"/>
              </w:rPr>
            </w:pPr>
          </w:p>
          <w:p w14:paraId="73D706C0" w14:textId="2F510A52" w:rsidR="007226AF" w:rsidRPr="007226AF" w:rsidRDefault="007226AF" w:rsidP="00F850C0">
            <w:pPr>
              <w:rPr>
                <w:sz w:val="22"/>
                <w:szCs w:val="22"/>
                <w:u w:val="single"/>
              </w:rPr>
            </w:pPr>
            <w:r w:rsidRPr="007226AF">
              <w:rPr>
                <w:sz w:val="22"/>
                <w:szCs w:val="22"/>
                <w:u w:val="single"/>
              </w:rPr>
              <w:t>2.4 Global Submission of Data</w:t>
            </w:r>
            <w:r>
              <w:rPr>
                <w:rStyle w:val="FootnoteReference"/>
                <w:sz w:val="22"/>
                <w:szCs w:val="22"/>
                <w:u w:val="single"/>
              </w:rPr>
              <w:footnoteReference w:id="2"/>
            </w:r>
          </w:p>
          <w:p w14:paraId="47B76C11" w14:textId="77777777" w:rsidR="007226AF" w:rsidRDefault="007226AF" w:rsidP="00F850C0">
            <w:pPr>
              <w:rPr>
                <w:sz w:val="22"/>
                <w:szCs w:val="22"/>
              </w:rPr>
            </w:pPr>
            <w:r w:rsidRPr="007226AF">
              <w:rPr>
                <w:sz w:val="22"/>
                <w:szCs w:val="22"/>
              </w:rPr>
              <w:t xml:space="preserve">The TC should be able to accommodate submissions from all over the world.  To accommodate this principle, the entry point for trademark holders to submit their data into the TC database could be regional entities or one entity (provided that can demonstrate it can accommodate language/currency/cultural issues globally). The system to be adopted by the TC Service Provider for </w:t>
            </w:r>
            <w:r w:rsidRPr="007226AF">
              <w:rPr>
                <w:sz w:val="22"/>
                <w:szCs w:val="22"/>
              </w:rPr>
              <w:lastRenderedPageBreak/>
              <w:t>submissions from trademark holders should allow for different/local languages, with the exact implementation details to be left to Staff.</w:t>
            </w:r>
          </w:p>
          <w:p w14:paraId="62B9AAB4" w14:textId="77777777" w:rsidR="00CD6449" w:rsidRDefault="00CD6449" w:rsidP="00F850C0">
            <w:pPr>
              <w:rPr>
                <w:sz w:val="22"/>
                <w:szCs w:val="22"/>
              </w:rPr>
            </w:pPr>
          </w:p>
          <w:p w14:paraId="0240DD34" w14:textId="68B6871C" w:rsidR="00CD6449" w:rsidRPr="00CD6449" w:rsidRDefault="00CD6449" w:rsidP="00F850C0">
            <w:pPr>
              <w:rPr>
                <w:sz w:val="22"/>
                <w:szCs w:val="22"/>
                <w:u w:val="single"/>
              </w:rPr>
            </w:pPr>
            <w:r w:rsidRPr="00CD6449">
              <w:rPr>
                <w:sz w:val="22"/>
                <w:szCs w:val="22"/>
                <w:u w:val="single"/>
              </w:rPr>
              <w:t>2.6 One Centralized Database</w:t>
            </w:r>
            <w:r>
              <w:rPr>
                <w:rStyle w:val="FootnoteReference"/>
                <w:sz w:val="22"/>
                <w:szCs w:val="22"/>
                <w:u w:val="single"/>
              </w:rPr>
              <w:footnoteReference w:id="3"/>
            </w:r>
          </w:p>
          <w:p w14:paraId="07D6B620" w14:textId="77777777" w:rsidR="00CD6449" w:rsidRDefault="00CD6449" w:rsidP="00CD6449">
            <w:pPr>
              <w:rPr>
                <w:sz w:val="22"/>
                <w:szCs w:val="22"/>
                <w:lang w:val="en-GB"/>
              </w:rPr>
            </w:pPr>
            <w:r w:rsidRPr="00CD6449">
              <w:rPr>
                <w:sz w:val="22"/>
                <w:szCs w:val="22"/>
              </w:rPr>
              <w:t>Registry should only need to connect with one centralized database to obtain the information it needs to conduct its sunrise processes or TM Claims Services (TM Claims), regardless of</w:t>
            </w:r>
            <w:r w:rsidRPr="00CD6449">
              <w:rPr>
                <w:sz w:val="22"/>
                <w:szCs w:val="22"/>
                <w:lang w:val="en-GB"/>
              </w:rPr>
              <w:t xml:space="preserve"> the details of the TC service provider and its contract(s) with ICANN.</w:t>
            </w:r>
          </w:p>
          <w:p w14:paraId="7F86A7B4" w14:textId="77777777" w:rsidR="00E7075D" w:rsidRDefault="00E7075D" w:rsidP="00CD6449">
            <w:pPr>
              <w:rPr>
                <w:sz w:val="22"/>
                <w:szCs w:val="22"/>
                <w:lang w:val="en-GB"/>
              </w:rPr>
            </w:pPr>
          </w:p>
          <w:p w14:paraId="6BDCA39E" w14:textId="2BA4E2A2" w:rsidR="00E7075D" w:rsidRPr="00E7075D" w:rsidRDefault="00E7075D" w:rsidP="00CD6449">
            <w:pPr>
              <w:rPr>
                <w:sz w:val="22"/>
                <w:szCs w:val="22"/>
                <w:u w:val="single"/>
                <w:lang w:val="en-GB"/>
              </w:rPr>
            </w:pPr>
            <w:r w:rsidRPr="00E7075D">
              <w:rPr>
                <w:sz w:val="22"/>
                <w:szCs w:val="22"/>
                <w:u w:val="single"/>
                <w:lang w:val="en-GB"/>
              </w:rPr>
              <w:t>3.1 ICANN Accreditation Agreement for Validation Services</w:t>
            </w:r>
            <w:r>
              <w:rPr>
                <w:rStyle w:val="FootnoteReference"/>
                <w:sz w:val="22"/>
                <w:szCs w:val="22"/>
                <w:u w:val="single"/>
                <w:lang w:val="en-GB"/>
              </w:rPr>
              <w:footnoteReference w:id="4"/>
            </w:r>
          </w:p>
          <w:p w14:paraId="0A7DCEBA" w14:textId="74723643" w:rsidR="00E7075D" w:rsidRPr="00CD6449" w:rsidRDefault="00E7075D" w:rsidP="00CD6449">
            <w:pPr>
              <w:rPr>
                <w:sz w:val="22"/>
                <w:szCs w:val="22"/>
                <w:lang w:val="en-GB"/>
              </w:rPr>
            </w:pPr>
            <w:r w:rsidRPr="00E7075D">
              <w:rPr>
                <w:sz w:val="22"/>
                <w:szCs w:val="22"/>
              </w:rPr>
              <w:t xml:space="preserve">The Service Provider(s) providing the validation of the trademarks submitted into the TC should adhere to rigorous standards and requirements that would be specified in an ICANN contractual agreement.  The model to be suggested for this contractual relationship would be </w:t>
            </w:r>
            <w:proofErr w:type="gramStart"/>
            <w:r w:rsidRPr="00E7075D">
              <w:rPr>
                <w:sz w:val="22"/>
                <w:szCs w:val="22"/>
              </w:rPr>
              <w:t>similar to</w:t>
            </w:r>
            <w:proofErr w:type="gramEnd"/>
            <w:r w:rsidRPr="00E7075D">
              <w:rPr>
                <w:sz w:val="22"/>
                <w:szCs w:val="22"/>
              </w:rPr>
              <w:t xml:space="preserve"> the detailed registrar accreditation agreement, rather than the minimal accreditation practice adopted by ICANN for UDRP </w:t>
            </w:r>
            <w:r w:rsidRPr="00E7075D">
              <w:rPr>
                <w:sz w:val="22"/>
                <w:szCs w:val="22"/>
              </w:rPr>
              <w:lastRenderedPageBreak/>
              <w:t>providers (e.g., WIPO, NAF, and others</w:t>
            </w:r>
            <w:r>
              <w:rPr>
                <w:sz w:val="22"/>
                <w:szCs w:val="22"/>
              </w:rPr>
              <w:t>).</w:t>
            </w:r>
          </w:p>
          <w:p w14:paraId="145A9E1E" w14:textId="77777777" w:rsidR="00CD6449" w:rsidRDefault="00CD6449" w:rsidP="00F850C0">
            <w:pPr>
              <w:rPr>
                <w:sz w:val="22"/>
                <w:szCs w:val="22"/>
                <w:lang w:val="en-GB"/>
              </w:rPr>
            </w:pPr>
          </w:p>
          <w:p w14:paraId="1DAADE36" w14:textId="73F32F46" w:rsidR="00E7075D" w:rsidRPr="00E7075D" w:rsidRDefault="00E7075D" w:rsidP="00F850C0">
            <w:pPr>
              <w:rPr>
                <w:sz w:val="22"/>
                <w:szCs w:val="22"/>
                <w:u w:val="single"/>
                <w:lang w:val="en-GB"/>
              </w:rPr>
            </w:pPr>
            <w:r w:rsidRPr="00E7075D">
              <w:rPr>
                <w:sz w:val="22"/>
                <w:szCs w:val="22"/>
                <w:u w:val="single"/>
                <w:lang w:val="en-GB"/>
              </w:rPr>
              <w:t>3.2 ICANN Agreement for Database Services</w:t>
            </w:r>
            <w:r>
              <w:rPr>
                <w:rStyle w:val="FootnoteReference"/>
                <w:sz w:val="22"/>
                <w:szCs w:val="22"/>
                <w:u w:val="single"/>
                <w:lang w:val="en-GB"/>
              </w:rPr>
              <w:footnoteReference w:id="5"/>
            </w:r>
          </w:p>
          <w:p w14:paraId="1BE54AD9" w14:textId="18C394BD" w:rsidR="00E7075D" w:rsidRDefault="00E7075D" w:rsidP="00F850C0">
            <w:pPr>
              <w:rPr>
                <w:sz w:val="22"/>
                <w:szCs w:val="22"/>
                <w:lang w:val="en-GB"/>
              </w:rPr>
            </w:pPr>
            <w:r w:rsidRPr="00E7075D">
              <w:rPr>
                <w:sz w:val="22"/>
                <w:szCs w:val="22"/>
              </w:rPr>
              <w:t xml:space="preserve">The TC Service Provider responsible for maintaining the centralized database should have formal, detailed contract with ICANN.  The contract should include service level agreement metrics, customer service availability (seven days per week, 24 hours per day, 365 days per year), data escrow requirements, and </w:t>
            </w:r>
            <w:r w:rsidRPr="00E7075D">
              <w:rPr>
                <w:sz w:val="22"/>
                <w:szCs w:val="22"/>
                <w:lang w:val="en-GB"/>
              </w:rPr>
              <w:t>equal access requirements for all persons and entities required to access the TC database</w:t>
            </w:r>
            <w:r>
              <w:rPr>
                <w:sz w:val="22"/>
                <w:szCs w:val="22"/>
                <w:lang w:val="en-GB"/>
              </w:rPr>
              <w:t>.</w:t>
            </w:r>
          </w:p>
          <w:p w14:paraId="55E0A226" w14:textId="77777777" w:rsidR="00E7075D" w:rsidRDefault="00E7075D" w:rsidP="00F850C0">
            <w:pPr>
              <w:rPr>
                <w:sz w:val="22"/>
                <w:szCs w:val="22"/>
                <w:lang w:val="en-GB"/>
              </w:rPr>
            </w:pPr>
          </w:p>
          <w:p w14:paraId="561276B9" w14:textId="00DADF7D" w:rsidR="00EE2EE3" w:rsidRPr="00EE2EE3" w:rsidRDefault="00EE2EE3" w:rsidP="00F850C0">
            <w:pPr>
              <w:rPr>
                <w:sz w:val="22"/>
                <w:szCs w:val="22"/>
                <w:u w:val="single"/>
              </w:rPr>
            </w:pPr>
            <w:r w:rsidRPr="00EE2EE3">
              <w:rPr>
                <w:sz w:val="22"/>
                <w:szCs w:val="22"/>
                <w:u w:val="single"/>
              </w:rPr>
              <w:t>10.1 Costs of Operating Clearinghouse</w:t>
            </w:r>
            <w:r>
              <w:rPr>
                <w:rStyle w:val="FootnoteReference"/>
                <w:sz w:val="22"/>
                <w:szCs w:val="22"/>
                <w:u w:val="single"/>
              </w:rPr>
              <w:footnoteReference w:id="6"/>
            </w:r>
          </w:p>
          <w:p w14:paraId="1F42DDCE" w14:textId="7370AF73" w:rsidR="00EE2EE3" w:rsidRPr="00CD6449" w:rsidRDefault="00EE2EE3" w:rsidP="00F850C0">
            <w:pPr>
              <w:rPr>
                <w:sz w:val="22"/>
                <w:szCs w:val="22"/>
                <w:lang w:val="en-GB"/>
              </w:rPr>
            </w:pPr>
            <w:r w:rsidRPr="00EE2EE3">
              <w:rPr>
                <w:sz w:val="22"/>
                <w:szCs w:val="22"/>
              </w:rPr>
              <w:t xml:space="preserve">Costs should be completely borne by the parties utilizing the services.   </w:t>
            </w:r>
            <w:r w:rsidRPr="00EE2EE3">
              <w:rPr>
                <w:sz w:val="22"/>
                <w:szCs w:val="22"/>
                <w:lang w:val="en-GB"/>
              </w:rPr>
              <w:t>ICANN should not be expected to fund the costs of the operating the TC. The TC should not be expected to fund ICANN from its fees.</w:t>
            </w:r>
          </w:p>
        </w:tc>
        <w:tc>
          <w:tcPr>
            <w:tcW w:w="0" w:type="auto"/>
          </w:tcPr>
          <w:p w14:paraId="3450818A" w14:textId="77777777" w:rsidR="00EA0FF3" w:rsidRDefault="0038308A" w:rsidP="0038308A">
            <w:pPr>
              <w:rPr>
                <w:sz w:val="22"/>
                <w:szCs w:val="22"/>
              </w:rPr>
            </w:pPr>
            <w:r>
              <w:rPr>
                <w:sz w:val="22"/>
                <w:szCs w:val="22"/>
              </w:rPr>
              <w:lastRenderedPageBreak/>
              <w:t xml:space="preserve">1.2 </w:t>
            </w:r>
            <w:r w:rsidRPr="0038308A">
              <w:rPr>
                <w:sz w:val="22"/>
                <w:szCs w:val="22"/>
              </w:rPr>
              <w:t>The Clearinghouse will be required to separate its two primary functions</w:t>
            </w:r>
            <w:r>
              <w:rPr>
                <w:sz w:val="22"/>
                <w:szCs w:val="22"/>
              </w:rPr>
              <w:t xml:space="preserve"> … </w:t>
            </w:r>
            <w:r w:rsidRPr="0038308A">
              <w:rPr>
                <w:sz w:val="22"/>
                <w:szCs w:val="22"/>
              </w:rPr>
              <w:t>Whether the same provider could serve both functions or whether two providers will be determin</w:t>
            </w:r>
            <w:bookmarkStart w:id="0" w:name="_GoBack"/>
            <w:bookmarkEnd w:id="0"/>
            <w:r w:rsidRPr="0038308A">
              <w:rPr>
                <w:sz w:val="22"/>
                <w:szCs w:val="22"/>
              </w:rPr>
              <w:t>ed in the tender process</w:t>
            </w:r>
            <w:r>
              <w:rPr>
                <w:sz w:val="22"/>
                <w:szCs w:val="22"/>
              </w:rPr>
              <w:t>.</w:t>
            </w:r>
          </w:p>
          <w:p w14:paraId="0F8663ED" w14:textId="77777777" w:rsidR="0038308A" w:rsidRDefault="0038308A" w:rsidP="0038308A">
            <w:pPr>
              <w:rPr>
                <w:sz w:val="22"/>
                <w:szCs w:val="22"/>
              </w:rPr>
            </w:pPr>
          </w:p>
          <w:p w14:paraId="281A7AE7" w14:textId="77777777" w:rsidR="0038308A" w:rsidRDefault="0038308A" w:rsidP="0038308A">
            <w:pPr>
              <w:rPr>
                <w:sz w:val="22"/>
                <w:szCs w:val="22"/>
              </w:rPr>
            </w:pPr>
            <w:r>
              <w:rPr>
                <w:sz w:val="22"/>
                <w:szCs w:val="22"/>
              </w:rPr>
              <w:t xml:space="preserve">1.3 The </w:t>
            </w:r>
            <w:r w:rsidRPr="0038308A">
              <w:rPr>
                <w:sz w:val="22"/>
                <w:szCs w:val="22"/>
              </w:rPr>
              <w:t>Registry shall only need to connect with one centralized database to obtain the information it needs to conduct its Sunrise or Trademark Claims Services regardless of the details of the Trademark Clearinghouse Service Provider’s contract(s) with</w:t>
            </w:r>
            <w:r>
              <w:rPr>
                <w:sz w:val="22"/>
                <w:szCs w:val="22"/>
              </w:rPr>
              <w:t xml:space="preserve"> ICANN.</w:t>
            </w:r>
          </w:p>
          <w:p w14:paraId="12C06DC0" w14:textId="77777777" w:rsidR="0038308A" w:rsidRDefault="0038308A" w:rsidP="0038308A">
            <w:pPr>
              <w:rPr>
                <w:sz w:val="22"/>
                <w:szCs w:val="22"/>
              </w:rPr>
            </w:pPr>
          </w:p>
          <w:p w14:paraId="2D20515C" w14:textId="77777777" w:rsidR="00DF12A7" w:rsidRDefault="00DF12A7" w:rsidP="0038308A">
            <w:pPr>
              <w:rPr>
                <w:sz w:val="22"/>
                <w:szCs w:val="22"/>
              </w:rPr>
            </w:pPr>
            <w:r>
              <w:rPr>
                <w:sz w:val="22"/>
                <w:szCs w:val="22"/>
              </w:rPr>
              <w:t xml:space="preserve">2.2 </w:t>
            </w:r>
            <w:r w:rsidRPr="00DF12A7">
              <w:rPr>
                <w:sz w:val="22"/>
                <w:szCs w:val="22"/>
              </w:rPr>
              <w:t xml:space="preserve">Public commentary has suggested that the best way to protect the integrity of the data and to avoid concerns that arise through </w:t>
            </w:r>
            <w:r w:rsidRPr="00DF12A7">
              <w:rPr>
                <w:sz w:val="22"/>
                <w:szCs w:val="22"/>
              </w:rPr>
              <w:lastRenderedPageBreak/>
              <w:t>sole-source providers would be to separate the functions of database administration and data authentication/validation</w:t>
            </w:r>
            <w:r>
              <w:rPr>
                <w:sz w:val="22"/>
                <w:szCs w:val="22"/>
              </w:rPr>
              <w:t>.</w:t>
            </w:r>
          </w:p>
          <w:p w14:paraId="1D207A2F" w14:textId="77777777" w:rsidR="00DF12A7" w:rsidRDefault="00DF12A7" w:rsidP="0038308A">
            <w:pPr>
              <w:rPr>
                <w:sz w:val="22"/>
                <w:szCs w:val="22"/>
              </w:rPr>
            </w:pPr>
          </w:p>
          <w:p w14:paraId="380A8FF2" w14:textId="77777777" w:rsidR="00DF12A7" w:rsidRDefault="00DF12A7" w:rsidP="0038308A">
            <w:pPr>
              <w:rPr>
                <w:sz w:val="22"/>
                <w:szCs w:val="22"/>
              </w:rPr>
            </w:pPr>
            <w:r>
              <w:rPr>
                <w:sz w:val="22"/>
                <w:szCs w:val="22"/>
              </w:rPr>
              <w:t xml:space="preserve">2.3 </w:t>
            </w:r>
            <w:r w:rsidRPr="00DF12A7">
              <w:rPr>
                <w:sz w:val="22"/>
                <w:szCs w:val="22"/>
              </w:rPr>
              <w:t xml:space="preserve">Discretion will be used, balancing effectiveness, security and other important factors, to determine whether ICANN will contract with one or two entities - one to authenticate and validate, and the other to, administer </w:t>
            </w:r>
            <w:proofErr w:type="gramStart"/>
            <w:r w:rsidRPr="00DF12A7">
              <w:rPr>
                <w:sz w:val="22"/>
                <w:szCs w:val="22"/>
              </w:rPr>
              <w:t>in order to</w:t>
            </w:r>
            <w:proofErr w:type="gramEnd"/>
            <w:r w:rsidRPr="00DF12A7">
              <w:rPr>
                <w:sz w:val="22"/>
                <w:szCs w:val="22"/>
              </w:rPr>
              <w:t xml:space="preserve"> preserve integrity of the data</w:t>
            </w:r>
            <w:r>
              <w:rPr>
                <w:sz w:val="22"/>
                <w:szCs w:val="22"/>
              </w:rPr>
              <w:t>.</w:t>
            </w:r>
          </w:p>
          <w:p w14:paraId="41AE3EFC" w14:textId="77777777" w:rsidR="00DF12A7" w:rsidRDefault="00DF12A7" w:rsidP="0038308A">
            <w:pPr>
              <w:rPr>
                <w:sz w:val="22"/>
                <w:szCs w:val="22"/>
              </w:rPr>
            </w:pPr>
          </w:p>
          <w:p w14:paraId="5A1A485C" w14:textId="77777777" w:rsidR="0038308A" w:rsidRDefault="00DF12A7" w:rsidP="0038308A">
            <w:pPr>
              <w:rPr>
                <w:sz w:val="22"/>
                <w:szCs w:val="22"/>
              </w:rPr>
            </w:pPr>
            <w:r>
              <w:rPr>
                <w:sz w:val="22"/>
                <w:szCs w:val="22"/>
              </w:rPr>
              <w:t xml:space="preserve">2.4.2 [Providers] </w:t>
            </w:r>
            <w:r w:rsidRPr="00DF12A7">
              <w:rPr>
                <w:sz w:val="22"/>
                <w:szCs w:val="22"/>
              </w:rPr>
              <w:t>will be selected through an open and transparent process to ensure low costs and reliable, consistent service for all those utilizing the Clearinghouse service</w:t>
            </w:r>
            <w:r>
              <w:rPr>
                <w:sz w:val="22"/>
                <w:szCs w:val="22"/>
              </w:rPr>
              <w:t>s.</w:t>
            </w:r>
          </w:p>
          <w:p w14:paraId="3D56D334" w14:textId="77777777" w:rsidR="00DF12A7" w:rsidRDefault="00DF12A7" w:rsidP="0038308A">
            <w:pPr>
              <w:rPr>
                <w:sz w:val="22"/>
                <w:szCs w:val="22"/>
              </w:rPr>
            </w:pPr>
          </w:p>
          <w:p w14:paraId="1C5306C9" w14:textId="77777777" w:rsidR="00DF12A7" w:rsidRDefault="00DF12A7" w:rsidP="0038308A">
            <w:pPr>
              <w:rPr>
                <w:sz w:val="22"/>
                <w:szCs w:val="22"/>
              </w:rPr>
            </w:pPr>
            <w:r>
              <w:rPr>
                <w:sz w:val="22"/>
                <w:szCs w:val="22"/>
              </w:rPr>
              <w:t xml:space="preserve">2.4.4 The contract </w:t>
            </w:r>
            <w:r w:rsidRPr="00DF12A7">
              <w:rPr>
                <w:sz w:val="22"/>
                <w:szCs w:val="22"/>
              </w:rPr>
              <w:t>shall include service level requirements, customer service availability (with the goal of seven days per week, 24 hours per day, 365 days per year), data escrow requirements, and equal access requirements for all persons and entities required to access the Trademark Clearinghouse database</w:t>
            </w:r>
            <w:r>
              <w:rPr>
                <w:sz w:val="22"/>
                <w:szCs w:val="22"/>
              </w:rPr>
              <w:t>.</w:t>
            </w:r>
          </w:p>
          <w:p w14:paraId="38381CF8" w14:textId="77777777" w:rsidR="00DF12A7" w:rsidRDefault="00DF12A7" w:rsidP="0038308A">
            <w:pPr>
              <w:rPr>
                <w:sz w:val="22"/>
                <w:szCs w:val="22"/>
              </w:rPr>
            </w:pPr>
          </w:p>
          <w:p w14:paraId="16AEFF1B" w14:textId="35535EA0" w:rsidR="00DF12A7" w:rsidRDefault="00DF12A7" w:rsidP="0038308A">
            <w:pPr>
              <w:rPr>
                <w:sz w:val="22"/>
                <w:szCs w:val="22"/>
              </w:rPr>
            </w:pPr>
            <w:r>
              <w:rPr>
                <w:sz w:val="22"/>
                <w:szCs w:val="22"/>
              </w:rPr>
              <w:t xml:space="preserve">2.5 </w:t>
            </w:r>
            <w:r w:rsidRPr="00DF12A7">
              <w:rPr>
                <w:sz w:val="22"/>
                <w:szCs w:val="22"/>
              </w:rPr>
              <w:t>The Clearinghouse Service Provider(s) should utilize regional marks authentication service providers (whether directly or through sub- contractors) to take advantage of local experts who understand the nuances of the trademark in question</w:t>
            </w:r>
            <w:r>
              <w:rPr>
                <w:sz w:val="22"/>
                <w:szCs w:val="22"/>
              </w:rPr>
              <w:t>. [Non-exhaustive examples are also listed of performance criteria and SLA requirements]</w:t>
            </w:r>
          </w:p>
          <w:p w14:paraId="4260CEFC" w14:textId="77777777" w:rsidR="00364D81" w:rsidRDefault="00364D81" w:rsidP="0038308A">
            <w:pPr>
              <w:rPr>
                <w:sz w:val="22"/>
                <w:szCs w:val="22"/>
              </w:rPr>
            </w:pPr>
          </w:p>
          <w:p w14:paraId="16F16201" w14:textId="64FD29EA" w:rsidR="00364D81" w:rsidRDefault="00364D81" w:rsidP="0038308A">
            <w:pPr>
              <w:rPr>
                <w:sz w:val="22"/>
                <w:szCs w:val="22"/>
              </w:rPr>
            </w:pPr>
            <w:r>
              <w:rPr>
                <w:sz w:val="22"/>
                <w:szCs w:val="22"/>
              </w:rPr>
              <w:t xml:space="preserve">3.1 </w:t>
            </w:r>
            <w:r w:rsidRPr="00364D81">
              <w:rPr>
                <w:sz w:val="22"/>
                <w:szCs w:val="22"/>
              </w:rPr>
              <w:t>The trademark holder will submit to one entity – a single entity for entry will facilitate access to the entire Clearinghouse database.  If regional entry points are used, ICANN will publish an information page describing how to locate regional submission points. Regardless of the entry point into the Clearinghouse, the authentication procedures established will be uniform</w:t>
            </w:r>
            <w:r>
              <w:rPr>
                <w:sz w:val="22"/>
                <w:szCs w:val="22"/>
              </w:rPr>
              <w:t xml:space="preserve">. </w:t>
            </w:r>
          </w:p>
          <w:p w14:paraId="12F25D12" w14:textId="77777777" w:rsidR="005231BE" w:rsidRDefault="005231BE" w:rsidP="0038308A">
            <w:pPr>
              <w:rPr>
                <w:sz w:val="22"/>
                <w:szCs w:val="22"/>
              </w:rPr>
            </w:pPr>
          </w:p>
          <w:p w14:paraId="76E93408" w14:textId="49E060CC" w:rsidR="005231BE" w:rsidRDefault="005231BE" w:rsidP="0038308A">
            <w:pPr>
              <w:rPr>
                <w:sz w:val="22"/>
                <w:szCs w:val="22"/>
              </w:rPr>
            </w:pPr>
            <w:r>
              <w:rPr>
                <w:sz w:val="22"/>
                <w:szCs w:val="22"/>
              </w:rPr>
              <w:t xml:space="preserve">8. </w:t>
            </w:r>
            <w:r w:rsidRPr="005231BE">
              <w:rPr>
                <w:sz w:val="22"/>
                <w:szCs w:val="22"/>
              </w:rPr>
              <w:t xml:space="preserve">Costs should be completely borne by the parties utilizing the services. Trademark holders will pay to register the Clearinghouse, and </w:t>
            </w:r>
            <w:r w:rsidRPr="005231BE">
              <w:rPr>
                <w:sz w:val="22"/>
                <w:szCs w:val="22"/>
              </w:rPr>
              <w:lastRenderedPageBreak/>
              <w:t>registries will pay for Trademark Claims and Sunrise services. Registrars and others who avail themselves of Clearinghouse services will pay the Clearinghouse</w:t>
            </w:r>
            <w:r w:rsidR="00463EBF">
              <w:rPr>
                <w:sz w:val="22"/>
                <w:szCs w:val="22"/>
              </w:rPr>
              <w:t xml:space="preserve"> directly.</w:t>
            </w:r>
          </w:p>
          <w:p w14:paraId="6E298687" w14:textId="5C70E20A" w:rsidR="00DF12A7" w:rsidRPr="00101BF9" w:rsidRDefault="00DF12A7" w:rsidP="0038308A">
            <w:pPr>
              <w:rPr>
                <w:sz w:val="22"/>
                <w:szCs w:val="22"/>
              </w:rPr>
            </w:pPr>
          </w:p>
        </w:tc>
        <w:tc>
          <w:tcPr>
            <w:tcW w:w="0" w:type="auto"/>
          </w:tcPr>
          <w:p w14:paraId="4A1AEBDE" w14:textId="7DEE75A0" w:rsidR="00EA0FF3" w:rsidRPr="00101BF9" w:rsidRDefault="00EA0FF3" w:rsidP="006F681C">
            <w:pPr>
              <w:rPr>
                <w:sz w:val="22"/>
                <w:szCs w:val="22"/>
              </w:rPr>
            </w:pPr>
          </w:p>
        </w:tc>
        <w:tc>
          <w:tcPr>
            <w:tcW w:w="0" w:type="auto"/>
          </w:tcPr>
          <w:p w14:paraId="299D6888" w14:textId="6928D691" w:rsidR="00EA0FF3" w:rsidRPr="00EA0FF3" w:rsidRDefault="00EA0FF3" w:rsidP="001E50DC">
            <w:pPr>
              <w:rPr>
                <w:sz w:val="22"/>
                <w:szCs w:val="22"/>
              </w:rPr>
            </w:pPr>
            <w:r w:rsidRPr="00EA0FF3">
              <w:rPr>
                <w:sz w:val="22"/>
                <w:szCs w:val="22"/>
              </w:rPr>
              <w:t>No follow up needed with Deloitte; WG to discuss further.</w:t>
            </w:r>
          </w:p>
          <w:p w14:paraId="16BFE1FB" w14:textId="77777777" w:rsidR="00EA0FF3" w:rsidRPr="00EA0FF3" w:rsidRDefault="00EA0FF3" w:rsidP="001E50DC">
            <w:pPr>
              <w:rPr>
                <w:sz w:val="22"/>
                <w:szCs w:val="22"/>
              </w:rPr>
            </w:pPr>
          </w:p>
          <w:p w14:paraId="630D0420" w14:textId="5A4D12FA" w:rsidR="00EA0FF3" w:rsidRPr="00EA0FF3" w:rsidRDefault="00EA0FF3" w:rsidP="00C50EB8">
            <w:pPr>
              <w:rPr>
                <w:b/>
                <w:sz w:val="22"/>
                <w:szCs w:val="22"/>
              </w:rPr>
            </w:pPr>
            <w:r w:rsidRPr="00EA0FF3">
              <w:rPr>
                <w:sz w:val="22"/>
                <w:szCs w:val="22"/>
              </w:rPr>
              <w:t>WG to ask IBM if there are any cost, operational or technical concerns with the TM Database being maintained and serviced by one provider.</w:t>
            </w:r>
          </w:p>
        </w:tc>
      </w:tr>
      <w:tr w:rsidR="00EA0FF3" w:rsidRPr="00101BF9" w14:paraId="6B7B60AC" w14:textId="28D8B2EF" w:rsidTr="00B03B29">
        <w:trPr>
          <w:trHeight w:val="269"/>
        </w:trPr>
        <w:tc>
          <w:tcPr>
            <w:tcW w:w="0" w:type="auto"/>
          </w:tcPr>
          <w:p w14:paraId="76E23C9E" w14:textId="77777777" w:rsidR="00EA0FF3" w:rsidRDefault="00463EBF" w:rsidP="00F850C0">
            <w:pPr>
              <w:rPr>
                <w:sz w:val="22"/>
                <w:szCs w:val="22"/>
              </w:rPr>
            </w:pPr>
            <w:r w:rsidRPr="00463EBF">
              <w:rPr>
                <w:sz w:val="22"/>
                <w:szCs w:val="22"/>
              </w:rPr>
              <w:lastRenderedPageBreak/>
              <w:t xml:space="preserve">13. </w:t>
            </w:r>
            <w:r w:rsidR="00EA0FF3" w:rsidRPr="00463EBF">
              <w:rPr>
                <w:sz w:val="22"/>
                <w:szCs w:val="22"/>
              </w:rPr>
              <w:t>Are the costs and benefits of the TMCH reasonably proportionate amongst rights holders, registries, registrars, registrants, other members of the community and ICANN?</w:t>
            </w:r>
          </w:p>
          <w:p w14:paraId="7C86CA3F" w14:textId="41EB31CC" w:rsidR="00463EBF" w:rsidRPr="00463EBF" w:rsidRDefault="00463EBF" w:rsidP="00F850C0">
            <w:pPr>
              <w:rPr>
                <w:sz w:val="22"/>
                <w:szCs w:val="22"/>
              </w:rPr>
            </w:pPr>
          </w:p>
        </w:tc>
        <w:tc>
          <w:tcPr>
            <w:tcW w:w="0" w:type="auto"/>
          </w:tcPr>
          <w:p w14:paraId="74F8327A" w14:textId="555089A4" w:rsidR="00EA0FF3" w:rsidRDefault="00EA0FF3" w:rsidP="00F850C0">
            <w:pPr>
              <w:rPr>
                <w:sz w:val="22"/>
                <w:szCs w:val="22"/>
              </w:rPr>
            </w:pPr>
            <w:r>
              <w:rPr>
                <w:sz w:val="22"/>
                <w:szCs w:val="22"/>
              </w:rPr>
              <w:t>No specific recommendation</w:t>
            </w:r>
            <w:r w:rsidR="00463EBF">
              <w:rPr>
                <w:sz w:val="22"/>
                <w:szCs w:val="22"/>
              </w:rPr>
              <w:t>, though introductory comments to the report include the following:</w:t>
            </w:r>
          </w:p>
          <w:p w14:paraId="6583A061" w14:textId="77777777" w:rsidR="00463EBF" w:rsidRDefault="00463EBF" w:rsidP="00F850C0">
            <w:pPr>
              <w:rPr>
                <w:sz w:val="22"/>
                <w:szCs w:val="22"/>
              </w:rPr>
            </w:pPr>
          </w:p>
          <w:p w14:paraId="1C403024" w14:textId="77777777" w:rsidR="00463EBF" w:rsidRDefault="00463EBF" w:rsidP="00463EBF">
            <w:pPr>
              <w:rPr>
                <w:sz w:val="22"/>
                <w:szCs w:val="22"/>
                <w:lang w:val="en-GB"/>
              </w:rPr>
            </w:pPr>
            <w:r>
              <w:rPr>
                <w:sz w:val="22"/>
                <w:szCs w:val="22"/>
              </w:rPr>
              <w:t>“</w:t>
            </w:r>
            <w:r w:rsidRPr="00463EBF">
              <w:rPr>
                <w:sz w:val="22"/>
                <w:szCs w:val="22"/>
              </w:rPr>
              <w:t xml:space="preserve">The STI recognizes that a Trademark Clearinghouse could serve as a convenient location to store registered trademark information in a centralized location on behalf of trademark holders, and could create efficiencies for trademark owners, as well as registries which will benefit from having one centralized database from which to interact to obtain the necessary trademark information to support its pre-launch rights protections mechanisms.  </w:t>
            </w:r>
            <w:r w:rsidRPr="00463EBF">
              <w:rPr>
                <w:sz w:val="22"/>
                <w:szCs w:val="22"/>
                <w:lang w:val="en-GB"/>
              </w:rPr>
              <w:t xml:space="preserve">The Business Constituency has widespread concerns regarding the Trademark Clearinghouse as expressed in its minority </w:t>
            </w:r>
            <w:proofErr w:type="gramStart"/>
            <w:r w:rsidRPr="00463EBF">
              <w:rPr>
                <w:sz w:val="22"/>
                <w:szCs w:val="22"/>
                <w:lang w:val="en-GB"/>
              </w:rPr>
              <w:t xml:space="preserve">statement </w:t>
            </w:r>
            <w:r>
              <w:rPr>
                <w:sz w:val="22"/>
                <w:szCs w:val="22"/>
                <w:lang w:val="en-GB"/>
              </w:rPr>
              <w:t xml:space="preserve"> [</w:t>
            </w:r>
            <w:proofErr w:type="gramEnd"/>
            <w:r>
              <w:rPr>
                <w:sz w:val="22"/>
                <w:szCs w:val="22"/>
                <w:lang w:val="en-GB"/>
              </w:rPr>
              <w:t>and]</w:t>
            </w:r>
            <w:r w:rsidRPr="00463EBF">
              <w:rPr>
                <w:sz w:val="22"/>
                <w:szCs w:val="22"/>
                <w:lang w:val="en-GB"/>
              </w:rPr>
              <w:t xml:space="preserve"> </w:t>
            </w:r>
            <w:r>
              <w:rPr>
                <w:sz w:val="22"/>
                <w:szCs w:val="22"/>
                <w:lang w:val="en-GB"/>
              </w:rPr>
              <w:t>[o]</w:t>
            </w:r>
            <w:proofErr w:type="spellStart"/>
            <w:r w:rsidRPr="00463EBF">
              <w:rPr>
                <w:sz w:val="22"/>
                <w:szCs w:val="22"/>
                <w:lang w:val="en-GB"/>
              </w:rPr>
              <w:t>ther</w:t>
            </w:r>
            <w:proofErr w:type="spellEnd"/>
            <w:r w:rsidRPr="00463EBF">
              <w:rPr>
                <w:sz w:val="22"/>
                <w:szCs w:val="22"/>
                <w:lang w:val="en-GB"/>
              </w:rPr>
              <w:t xml:space="preserve"> minority opinions have been included </w:t>
            </w:r>
            <w:r>
              <w:rPr>
                <w:sz w:val="22"/>
                <w:szCs w:val="22"/>
                <w:lang w:val="en-GB"/>
              </w:rPr>
              <w:t>…</w:t>
            </w:r>
            <w:r w:rsidRPr="00463EBF">
              <w:rPr>
                <w:b/>
                <w:sz w:val="22"/>
                <w:szCs w:val="22"/>
                <w:lang w:val="en-GB"/>
              </w:rPr>
              <w:t xml:space="preserve"> </w:t>
            </w:r>
            <w:r w:rsidRPr="00463EBF">
              <w:rPr>
                <w:sz w:val="22"/>
                <w:szCs w:val="22"/>
                <w:lang w:val="en-GB"/>
              </w:rPr>
              <w:t>to address specific issues raised by the STI proposal</w:t>
            </w:r>
            <w:r>
              <w:rPr>
                <w:sz w:val="22"/>
                <w:szCs w:val="22"/>
                <w:lang w:val="en-GB"/>
              </w:rPr>
              <w:t>.”</w:t>
            </w:r>
          </w:p>
          <w:p w14:paraId="369EFCCB" w14:textId="78382068" w:rsidR="00463EBF" w:rsidRPr="00101BF9" w:rsidRDefault="00463EBF" w:rsidP="00463EBF">
            <w:pPr>
              <w:rPr>
                <w:sz w:val="22"/>
                <w:szCs w:val="22"/>
              </w:rPr>
            </w:pPr>
          </w:p>
        </w:tc>
        <w:tc>
          <w:tcPr>
            <w:tcW w:w="0" w:type="auto"/>
          </w:tcPr>
          <w:p w14:paraId="0C54CA9F" w14:textId="718EE5A4" w:rsidR="00EA0FF3" w:rsidRPr="00101BF9" w:rsidRDefault="00EA0FF3" w:rsidP="007B3696">
            <w:pPr>
              <w:rPr>
                <w:sz w:val="22"/>
                <w:szCs w:val="22"/>
              </w:rPr>
            </w:pPr>
            <w:r>
              <w:rPr>
                <w:sz w:val="22"/>
                <w:szCs w:val="22"/>
              </w:rPr>
              <w:t>No express provisions.</w:t>
            </w:r>
          </w:p>
        </w:tc>
        <w:tc>
          <w:tcPr>
            <w:tcW w:w="0" w:type="auto"/>
          </w:tcPr>
          <w:p w14:paraId="2BEDE531" w14:textId="624376DA" w:rsidR="00EA0FF3" w:rsidRPr="00101BF9" w:rsidRDefault="00EA0FF3" w:rsidP="00BE566D">
            <w:pPr>
              <w:rPr>
                <w:sz w:val="22"/>
                <w:szCs w:val="22"/>
              </w:rPr>
            </w:pPr>
          </w:p>
        </w:tc>
        <w:tc>
          <w:tcPr>
            <w:tcW w:w="0" w:type="auto"/>
          </w:tcPr>
          <w:p w14:paraId="6D73AD6A" w14:textId="59DDF4E2" w:rsidR="00EA0FF3" w:rsidRPr="00EA0FF3" w:rsidRDefault="00EA0FF3" w:rsidP="00BE566D">
            <w:pPr>
              <w:rPr>
                <w:sz w:val="22"/>
                <w:szCs w:val="22"/>
              </w:rPr>
            </w:pPr>
            <w:r w:rsidRPr="00EA0FF3">
              <w:rPr>
                <w:sz w:val="22"/>
                <w:szCs w:val="22"/>
              </w:rPr>
              <w:t xml:space="preserve">No follow up needed with Deloitte; WG to discuss further. </w:t>
            </w:r>
          </w:p>
        </w:tc>
      </w:tr>
    </w:tbl>
    <w:p w14:paraId="5AACCE9C" w14:textId="77777777" w:rsidR="00463EBF" w:rsidRDefault="00463EBF"/>
    <w:p w14:paraId="327F2B56" w14:textId="61FE4F96" w:rsidR="00463EBF" w:rsidRPr="00463EBF" w:rsidRDefault="00463EBF">
      <w:pPr>
        <w:rPr>
          <w:b/>
        </w:rPr>
      </w:pPr>
      <w:r w:rsidRPr="00463EBF">
        <w:rPr>
          <w:b/>
        </w:rPr>
        <w:t>CATEGORY 5: ACCESS &amp; ACCESSIBILITY</w:t>
      </w:r>
    </w:p>
    <w:p w14:paraId="53AE54F6" w14:textId="77777777" w:rsidR="00463EBF" w:rsidRDefault="00463EBF"/>
    <w:tbl>
      <w:tblPr>
        <w:tblStyle w:val="TableGrid"/>
        <w:tblW w:w="0" w:type="auto"/>
        <w:tblCellMar>
          <w:left w:w="115" w:type="dxa"/>
          <w:right w:w="115" w:type="dxa"/>
        </w:tblCellMar>
        <w:tblLook w:val="04A0" w:firstRow="1" w:lastRow="0" w:firstColumn="1" w:lastColumn="0" w:noHBand="0" w:noVBand="1"/>
      </w:tblPr>
      <w:tblGrid>
        <w:gridCol w:w="2364"/>
        <w:gridCol w:w="2639"/>
        <w:gridCol w:w="2908"/>
        <w:gridCol w:w="2936"/>
        <w:gridCol w:w="2103"/>
      </w:tblGrid>
      <w:tr w:rsidR="00463EBF" w:rsidRPr="00101BF9" w14:paraId="5B7FC664" w14:textId="7925FE37" w:rsidTr="00B03B29">
        <w:trPr>
          <w:trHeight w:val="269"/>
        </w:trPr>
        <w:tc>
          <w:tcPr>
            <w:tcW w:w="0" w:type="auto"/>
            <w:shd w:val="clear" w:color="auto" w:fill="D9E2F3" w:themeFill="accent1" w:themeFillTint="33"/>
          </w:tcPr>
          <w:p w14:paraId="07A40826" w14:textId="77777777" w:rsidR="00463EBF" w:rsidRPr="00463EBF" w:rsidRDefault="00463EBF" w:rsidP="005A78DF">
            <w:pPr>
              <w:rPr>
                <w:b/>
                <w:sz w:val="22"/>
                <w:szCs w:val="22"/>
              </w:rPr>
            </w:pPr>
            <w:r w:rsidRPr="00463EBF">
              <w:rPr>
                <w:b/>
                <w:sz w:val="22"/>
                <w:szCs w:val="22"/>
              </w:rPr>
              <w:t>Charter Questions</w:t>
            </w:r>
          </w:p>
          <w:p w14:paraId="15A35AB7" w14:textId="77777777" w:rsidR="00463EBF" w:rsidRPr="00463EBF" w:rsidRDefault="00463EBF" w:rsidP="009A6DAE">
            <w:pPr>
              <w:rPr>
                <w:b/>
                <w:sz w:val="22"/>
                <w:szCs w:val="22"/>
                <w:u w:val="single"/>
              </w:rPr>
            </w:pPr>
          </w:p>
        </w:tc>
        <w:tc>
          <w:tcPr>
            <w:tcW w:w="0" w:type="auto"/>
            <w:shd w:val="clear" w:color="auto" w:fill="D9E2F3" w:themeFill="accent1" w:themeFillTint="33"/>
          </w:tcPr>
          <w:p w14:paraId="04063580" w14:textId="06DF60FE" w:rsidR="00463EBF" w:rsidRPr="00463EBF" w:rsidRDefault="00463EBF" w:rsidP="009A6DAE">
            <w:pPr>
              <w:rPr>
                <w:b/>
                <w:sz w:val="22"/>
                <w:szCs w:val="22"/>
              </w:rPr>
            </w:pPr>
            <w:r w:rsidRPr="00463EBF">
              <w:rPr>
                <w:b/>
                <w:sz w:val="22"/>
                <w:szCs w:val="22"/>
              </w:rPr>
              <w:t>STI Recommendations</w:t>
            </w:r>
            <w:r w:rsidR="00ED1E19">
              <w:rPr>
                <w:b/>
                <w:sz w:val="22"/>
                <w:szCs w:val="22"/>
              </w:rPr>
              <w:t xml:space="preserve"> (approved by GNSO Council &amp; ICANN Board)</w:t>
            </w:r>
          </w:p>
        </w:tc>
        <w:tc>
          <w:tcPr>
            <w:tcW w:w="0" w:type="auto"/>
            <w:shd w:val="clear" w:color="auto" w:fill="D9E2F3" w:themeFill="accent1" w:themeFillTint="33"/>
          </w:tcPr>
          <w:p w14:paraId="7D3F0FCA" w14:textId="53FD1654" w:rsidR="00463EBF" w:rsidRPr="00463EBF" w:rsidRDefault="00463EBF" w:rsidP="00BE566D">
            <w:pPr>
              <w:rPr>
                <w:b/>
                <w:sz w:val="22"/>
                <w:szCs w:val="22"/>
              </w:rPr>
            </w:pPr>
            <w:r w:rsidRPr="00463EBF">
              <w:rPr>
                <w:b/>
                <w:sz w:val="22"/>
                <w:szCs w:val="22"/>
              </w:rPr>
              <w:t>Applicant Guidebook</w:t>
            </w:r>
          </w:p>
        </w:tc>
        <w:tc>
          <w:tcPr>
            <w:tcW w:w="0" w:type="auto"/>
            <w:shd w:val="clear" w:color="auto" w:fill="D9E2F3" w:themeFill="accent1" w:themeFillTint="33"/>
          </w:tcPr>
          <w:p w14:paraId="774DC399" w14:textId="2F4E7FAA" w:rsidR="00463EBF" w:rsidRPr="00463EBF" w:rsidRDefault="00463EBF" w:rsidP="00C50EB8">
            <w:pPr>
              <w:rPr>
                <w:b/>
                <w:sz w:val="22"/>
                <w:szCs w:val="22"/>
              </w:rPr>
            </w:pPr>
            <w:r w:rsidRPr="00463EBF">
              <w:rPr>
                <w:b/>
                <w:sz w:val="22"/>
                <w:szCs w:val="22"/>
              </w:rPr>
              <w:t>Other Program Documentation</w:t>
            </w:r>
          </w:p>
        </w:tc>
        <w:tc>
          <w:tcPr>
            <w:tcW w:w="0" w:type="auto"/>
            <w:shd w:val="clear" w:color="auto" w:fill="D9E2F3" w:themeFill="accent1" w:themeFillTint="33"/>
          </w:tcPr>
          <w:p w14:paraId="2F3F7185" w14:textId="056BDCB4" w:rsidR="00463EBF" w:rsidRPr="00463EBF" w:rsidRDefault="00463EBF" w:rsidP="00C50EB8">
            <w:pPr>
              <w:rPr>
                <w:b/>
                <w:sz w:val="22"/>
                <w:szCs w:val="22"/>
              </w:rPr>
            </w:pPr>
            <w:r w:rsidRPr="00463EBF">
              <w:rPr>
                <w:b/>
                <w:sz w:val="22"/>
                <w:szCs w:val="22"/>
              </w:rPr>
              <w:t>WG Discussion to Date</w:t>
            </w:r>
          </w:p>
        </w:tc>
      </w:tr>
      <w:tr w:rsidR="00463EBF" w:rsidRPr="00101BF9" w14:paraId="3562F221" w14:textId="47C6E079" w:rsidTr="00B03B29">
        <w:trPr>
          <w:trHeight w:val="269"/>
        </w:trPr>
        <w:tc>
          <w:tcPr>
            <w:tcW w:w="0" w:type="auto"/>
          </w:tcPr>
          <w:p w14:paraId="67C3341A" w14:textId="77777777" w:rsidR="00463EBF" w:rsidRDefault="00463EBF" w:rsidP="009A6DAE">
            <w:pPr>
              <w:rPr>
                <w:sz w:val="22"/>
                <w:szCs w:val="22"/>
              </w:rPr>
            </w:pPr>
            <w:r>
              <w:rPr>
                <w:sz w:val="22"/>
                <w:szCs w:val="22"/>
              </w:rPr>
              <w:t xml:space="preserve">14. </w:t>
            </w:r>
            <w:r w:rsidRPr="00463EBF">
              <w:rPr>
                <w:sz w:val="22"/>
                <w:szCs w:val="22"/>
              </w:rPr>
              <w:t>How accessible</w:t>
            </w:r>
            <w:r w:rsidRPr="00463EBF">
              <w:rPr>
                <w:sz w:val="22"/>
                <w:szCs w:val="22"/>
                <w:vertAlign w:val="superscript"/>
              </w:rPr>
              <w:footnoteReference w:id="7"/>
            </w:r>
            <w:r w:rsidRPr="00463EBF">
              <w:rPr>
                <w:sz w:val="22"/>
                <w:szCs w:val="22"/>
              </w:rPr>
              <w:t xml:space="preserve"> is the TMCH Database and RPM Rights Protection Actions and Defenses to individuals, organizations and rights-holders; as well as trademark agents in developing countries?</w:t>
            </w:r>
          </w:p>
          <w:p w14:paraId="2AB08E90" w14:textId="4CA28DFC" w:rsidR="00463EBF" w:rsidRPr="00463EBF" w:rsidRDefault="00463EBF" w:rsidP="009A6DAE">
            <w:pPr>
              <w:rPr>
                <w:b/>
                <w:sz w:val="22"/>
                <w:szCs w:val="22"/>
                <w:u w:val="single"/>
              </w:rPr>
            </w:pPr>
          </w:p>
        </w:tc>
        <w:tc>
          <w:tcPr>
            <w:tcW w:w="0" w:type="auto"/>
          </w:tcPr>
          <w:p w14:paraId="382719A9" w14:textId="6AF53712" w:rsidR="00463EBF" w:rsidRPr="00ED1E19" w:rsidRDefault="00ED1E19" w:rsidP="009A6DAE">
            <w:pPr>
              <w:rPr>
                <w:sz w:val="22"/>
                <w:szCs w:val="22"/>
              </w:rPr>
            </w:pPr>
            <w:r w:rsidRPr="00ED1E19">
              <w:rPr>
                <w:sz w:val="22"/>
                <w:szCs w:val="22"/>
              </w:rPr>
              <w:t>No specific recommendation</w:t>
            </w:r>
            <w:r w:rsidR="004C6C63">
              <w:rPr>
                <w:sz w:val="22"/>
                <w:szCs w:val="22"/>
              </w:rPr>
              <w:t>, although other recommendations contemplate submissions from all over the world, in multiple languages, and possibly capitalizing on regional entities with specialized knowledge</w:t>
            </w:r>
            <w:r w:rsidRPr="00ED1E19">
              <w:rPr>
                <w:sz w:val="22"/>
                <w:szCs w:val="22"/>
              </w:rPr>
              <w:t>.</w:t>
            </w:r>
          </w:p>
        </w:tc>
        <w:tc>
          <w:tcPr>
            <w:tcW w:w="0" w:type="auto"/>
          </w:tcPr>
          <w:p w14:paraId="4F10466E" w14:textId="41171756" w:rsidR="00463EBF" w:rsidRDefault="00ED1E19" w:rsidP="00BE566D">
            <w:pPr>
              <w:rPr>
                <w:sz w:val="22"/>
                <w:szCs w:val="22"/>
              </w:rPr>
            </w:pPr>
            <w:r>
              <w:rPr>
                <w:sz w:val="22"/>
                <w:szCs w:val="22"/>
              </w:rPr>
              <w:t>No express provisions</w:t>
            </w:r>
            <w:r w:rsidR="004C6C63">
              <w:rPr>
                <w:sz w:val="22"/>
                <w:szCs w:val="22"/>
              </w:rPr>
              <w:t xml:space="preserve">, although scope </w:t>
            </w:r>
            <w:r w:rsidR="004C6C63" w:rsidRPr="004C6C63">
              <w:rPr>
                <w:sz w:val="22"/>
                <w:szCs w:val="22"/>
              </w:rPr>
              <w:t>contemplate</w:t>
            </w:r>
            <w:r w:rsidR="004C6C63">
              <w:rPr>
                <w:sz w:val="22"/>
                <w:szCs w:val="22"/>
              </w:rPr>
              <w:t>s</w:t>
            </w:r>
            <w:r w:rsidR="004C6C63" w:rsidRPr="004C6C63">
              <w:rPr>
                <w:sz w:val="22"/>
                <w:szCs w:val="22"/>
              </w:rPr>
              <w:t xml:space="preserve"> submissions from all over the world, in multiple languages, and possibly capitalizing on regional entities with specialized knowledge</w:t>
            </w:r>
            <w:r w:rsidR="0004181E">
              <w:rPr>
                <w:sz w:val="22"/>
                <w:szCs w:val="22"/>
              </w:rPr>
              <w:t xml:space="preserve"> as well as the use of </w:t>
            </w:r>
            <w:r w:rsidR="0004181E" w:rsidRPr="0004181E">
              <w:rPr>
                <w:sz w:val="22"/>
                <w:szCs w:val="22"/>
              </w:rPr>
              <w:t>globally accessible and scalable systems so that multiple marks from multiple sources in multiple languages can be accommodated</w:t>
            </w:r>
            <w:r>
              <w:rPr>
                <w:sz w:val="22"/>
                <w:szCs w:val="22"/>
              </w:rPr>
              <w:t>.</w:t>
            </w:r>
          </w:p>
        </w:tc>
        <w:tc>
          <w:tcPr>
            <w:tcW w:w="0" w:type="auto"/>
          </w:tcPr>
          <w:p w14:paraId="3E6AC23A" w14:textId="77777777" w:rsidR="00463EBF" w:rsidRPr="00101BF9" w:rsidRDefault="00463EBF" w:rsidP="00C50EB8">
            <w:pPr>
              <w:rPr>
                <w:sz w:val="22"/>
                <w:szCs w:val="22"/>
              </w:rPr>
            </w:pPr>
          </w:p>
        </w:tc>
        <w:tc>
          <w:tcPr>
            <w:tcW w:w="0" w:type="auto"/>
          </w:tcPr>
          <w:p w14:paraId="04CE1A02" w14:textId="77777777" w:rsidR="00463EBF" w:rsidRPr="00463EBF" w:rsidRDefault="00463EBF" w:rsidP="005A78DF">
            <w:pPr>
              <w:rPr>
                <w:sz w:val="22"/>
                <w:szCs w:val="22"/>
              </w:rPr>
            </w:pPr>
            <w:r w:rsidRPr="00463EBF">
              <w:rPr>
                <w:sz w:val="22"/>
                <w:szCs w:val="22"/>
              </w:rPr>
              <w:t xml:space="preserve">Deloitte’s response on corporate headquarters confirms that while it may know where TM agents are located, it cannot know where the rights-holders who instructed those TM agents are located. </w:t>
            </w:r>
          </w:p>
          <w:p w14:paraId="71C877BF" w14:textId="77777777" w:rsidR="00463EBF" w:rsidRPr="00463EBF" w:rsidRDefault="00463EBF" w:rsidP="005A78DF">
            <w:pPr>
              <w:rPr>
                <w:sz w:val="22"/>
                <w:szCs w:val="22"/>
              </w:rPr>
            </w:pPr>
          </w:p>
          <w:p w14:paraId="32A6BCFE" w14:textId="77777777" w:rsidR="00463EBF" w:rsidRPr="00463EBF" w:rsidRDefault="00463EBF" w:rsidP="005A78DF">
            <w:pPr>
              <w:rPr>
                <w:sz w:val="22"/>
                <w:szCs w:val="22"/>
              </w:rPr>
            </w:pPr>
            <w:r w:rsidRPr="00463EBF">
              <w:rPr>
                <w:sz w:val="22"/>
                <w:szCs w:val="22"/>
              </w:rPr>
              <w:t>Are there other sources of information (besides Deloitte) that can be approached for more input on this question?</w:t>
            </w:r>
          </w:p>
          <w:p w14:paraId="0DE03FA2" w14:textId="77777777" w:rsidR="00463EBF" w:rsidRPr="00463EBF" w:rsidRDefault="00463EBF" w:rsidP="00C50EB8">
            <w:pPr>
              <w:rPr>
                <w:sz w:val="22"/>
                <w:szCs w:val="22"/>
              </w:rPr>
            </w:pPr>
          </w:p>
        </w:tc>
      </w:tr>
      <w:tr w:rsidR="00463EBF" w:rsidRPr="00101BF9" w14:paraId="0AFB19BA" w14:textId="77777777" w:rsidTr="00B03B29">
        <w:trPr>
          <w:trHeight w:val="269"/>
        </w:trPr>
        <w:tc>
          <w:tcPr>
            <w:tcW w:w="0" w:type="auto"/>
          </w:tcPr>
          <w:p w14:paraId="6F0863CC" w14:textId="60E2617F" w:rsidR="00463EBF" w:rsidRPr="00463EBF" w:rsidRDefault="00463EBF" w:rsidP="009A6DAE">
            <w:pPr>
              <w:rPr>
                <w:sz w:val="22"/>
                <w:szCs w:val="22"/>
              </w:rPr>
            </w:pPr>
            <w:r>
              <w:rPr>
                <w:sz w:val="22"/>
                <w:szCs w:val="22"/>
              </w:rPr>
              <w:t xml:space="preserve">15. </w:t>
            </w:r>
            <w:r w:rsidRPr="00463EBF">
              <w:rPr>
                <w:sz w:val="22"/>
                <w:szCs w:val="22"/>
              </w:rPr>
              <w:t xml:space="preserve">What concerns are being raised about the TMCH Database being confidential, what are the reasons for having/keeping the </w:t>
            </w:r>
            <w:r w:rsidRPr="00463EBF">
              <w:rPr>
                <w:sz w:val="22"/>
                <w:szCs w:val="22"/>
              </w:rPr>
              <w:lastRenderedPageBreak/>
              <w:t>TMCH Database private, and should the TMCH Database remain confidential or become open?</w:t>
            </w:r>
          </w:p>
        </w:tc>
        <w:tc>
          <w:tcPr>
            <w:tcW w:w="0" w:type="auto"/>
          </w:tcPr>
          <w:p w14:paraId="2D6AF20E" w14:textId="2DE7123D" w:rsidR="00463EBF" w:rsidRPr="0004181E" w:rsidRDefault="0004181E" w:rsidP="009A6DAE">
            <w:pPr>
              <w:rPr>
                <w:sz w:val="22"/>
                <w:szCs w:val="22"/>
              </w:rPr>
            </w:pPr>
            <w:r w:rsidRPr="0004181E">
              <w:rPr>
                <w:sz w:val="22"/>
                <w:szCs w:val="22"/>
              </w:rPr>
              <w:lastRenderedPageBreak/>
              <w:t>No specific recommendation.</w:t>
            </w:r>
          </w:p>
        </w:tc>
        <w:tc>
          <w:tcPr>
            <w:tcW w:w="0" w:type="auto"/>
          </w:tcPr>
          <w:p w14:paraId="6AF67379" w14:textId="77777777" w:rsidR="00463EBF" w:rsidRDefault="0004181E" w:rsidP="00BE566D">
            <w:pPr>
              <w:rPr>
                <w:sz w:val="22"/>
                <w:szCs w:val="22"/>
              </w:rPr>
            </w:pPr>
            <w:r>
              <w:rPr>
                <w:sz w:val="22"/>
                <w:szCs w:val="22"/>
              </w:rPr>
              <w:t>4.1 Consent by trademark owners to the use of their data in the TMCH will “</w:t>
            </w:r>
            <w:r w:rsidRPr="0004181E">
              <w:rPr>
                <w:sz w:val="22"/>
                <w:szCs w:val="22"/>
              </w:rPr>
              <w:t xml:space="preserve">extend only to use </w:t>
            </w:r>
            <w:proofErr w:type="gramStart"/>
            <w:r w:rsidRPr="0004181E">
              <w:rPr>
                <w:sz w:val="22"/>
                <w:szCs w:val="22"/>
              </w:rPr>
              <w:t>in connection with</w:t>
            </w:r>
            <w:proofErr w:type="gramEnd"/>
            <w:r w:rsidRPr="0004181E">
              <w:rPr>
                <w:sz w:val="22"/>
                <w:szCs w:val="22"/>
              </w:rPr>
              <w:t xml:space="preserve"> the stated purpose of the Trademark </w:t>
            </w:r>
            <w:r w:rsidRPr="0004181E">
              <w:rPr>
                <w:sz w:val="22"/>
                <w:szCs w:val="22"/>
              </w:rPr>
              <w:lastRenderedPageBreak/>
              <w:t>Clearinghouse Database for Sunrise or Trademark Claims services. The reason for such a provision would be to presently prevent the Clearinghouse from using the data in other ways without permission</w:t>
            </w:r>
            <w:r>
              <w:rPr>
                <w:sz w:val="22"/>
                <w:szCs w:val="22"/>
              </w:rPr>
              <w:t>.”</w:t>
            </w:r>
          </w:p>
          <w:p w14:paraId="0D3144F6" w14:textId="77777777" w:rsidR="007D3C82" w:rsidRDefault="007D3C82" w:rsidP="00BE566D">
            <w:pPr>
              <w:rPr>
                <w:sz w:val="22"/>
                <w:szCs w:val="22"/>
              </w:rPr>
            </w:pPr>
          </w:p>
          <w:p w14:paraId="0F520DD8" w14:textId="77777777" w:rsidR="007D3C82" w:rsidRPr="007D3C82" w:rsidRDefault="007D3C82" w:rsidP="007D3C82">
            <w:pPr>
              <w:rPr>
                <w:sz w:val="22"/>
                <w:szCs w:val="22"/>
              </w:rPr>
            </w:pPr>
            <w:r>
              <w:rPr>
                <w:sz w:val="22"/>
                <w:szCs w:val="22"/>
              </w:rPr>
              <w:t xml:space="preserve">4.3 </w:t>
            </w:r>
            <w:r w:rsidRPr="007D3C82">
              <w:rPr>
                <w:sz w:val="22"/>
                <w:szCs w:val="22"/>
              </w:rPr>
              <w:t>Misuse of the data by the service providers would be grounds for immediate</w:t>
            </w:r>
          </w:p>
          <w:p w14:paraId="362F3D0D" w14:textId="422A316D" w:rsidR="007D3C82" w:rsidRDefault="007D3C82" w:rsidP="007D3C82">
            <w:pPr>
              <w:rPr>
                <w:sz w:val="22"/>
                <w:szCs w:val="22"/>
              </w:rPr>
            </w:pPr>
            <w:r w:rsidRPr="007D3C82">
              <w:rPr>
                <w:sz w:val="22"/>
                <w:szCs w:val="22"/>
              </w:rPr>
              <w:t>termination</w:t>
            </w:r>
            <w:r>
              <w:rPr>
                <w:sz w:val="22"/>
                <w:szCs w:val="22"/>
              </w:rPr>
              <w:t>.</w:t>
            </w:r>
          </w:p>
          <w:p w14:paraId="7AD4CD43" w14:textId="6E8C1AAF" w:rsidR="0004181E" w:rsidRDefault="0004181E" w:rsidP="00BE566D">
            <w:pPr>
              <w:rPr>
                <w:sz w:val="22"/>
                <w:szCs w:val="22"/>
              </w:rPr>
            </w:pPr>
          </w:p>
        </w:tc>
        <w:tc>
          <w:tcPr>
            <w:tcW w:w="0" w:type="auto"/>
          </w:tcPr>
          <w:p w14:paraId="64A69776" w14:textId="352870C7" w:rsidR="00F247C6" w:rsidRPr="00F247C6" w:rsidRDefault="00F247C6" w:rsidP="00C50EB8">
            <w:pPr>
              <w:rPr>
                <w:b/>
                <w:sz w:val="22"/>
                <w:szCs w:val="22"/>
              </w:rPr>
            </w:pPr>
            <w:r w:rsidRPr="00F247C6">
              <w:rPr>
                <w:b/>
                <w:sz w:val="22"/>
                <w:szCs w:val="22"/>
              </w:rPr>
              <w:lastRenderedPageBreak/>
              <w:t>The TMCH Implementation Assistance Group (IAG) Report</w:t>
            </w:r>
            <w:r w:rsidR="00896105">
              <w:rPr>
                <w:rStyle w:val="FootnoteReference"/>
                <w:b/>
                <w:sz w:val="22"/>
                <w:szCs w:val="22"/>
              </w:rPr>
              <w:footnoteReference w:id="8"/>
            </w:r>
            <w:r w:rsidRPr="00F247C6">
              <w:rPr>
                <w:b/>
                <w:sz w:val="22"/>
                <w:szCs w:val="22"/>
              </w:rPr>
              <w:t>:</w:t>
            </w:r>
          </w:p>
          <w:p w14:paraId="756EB8FF" w14:textId="27D57FF4" w:rsidR="00F247C6" w:rsidRPr="00F247C6" w:rsidRDefault="00F247C6" w:rsidP="00F247C6">
            <w:pPr>
              <w:rPr>
                <w:sz w:val="22"/>
                <w:szCs w:val="22"/>
              </w:rPr>
            </w:pPr>
            <w:r w:rsidRPr="00F247C6">
              <w:rPr>
                <w:sz w:val="22"/>
                <w:szCs w:val="22"/>
              </w:rPr>
              <w:t xml:space="preserve">To minimize abuse, distribution of TMCH data should be limited to </w:t>
            </w:r>
            <w:r w:rsidRPr="00F247C6">
              <w:rPr>
                <w:sz w:val="22"/>
                <w:szCs w:val="22"/>
              </w:rPr>
              <w:lastRenderedPageBreak/>
              <w:t xml:space="preserve">situations where necessary to implement TMCH functionality. It should also be justified by technical, performance, uptime, availability, and economic factors. At a minimum, there should be sufficient contractual restrictions to provide enforcement capabilities to guard against abuse of the access and information provided through the TMCH. </w:t>
            </w:r>
          </w:p>
          <w:p w14:paraId="33BBF54A" w14:textId="77777777" w:rsidR="00F247C6" w:rsidRPr="00F247C6" w:rsidRDefault="00F247C6" w:rsidP="00F247C6">
            <w:pPr>
              <w:rPr>
                <w:sz w:val="22"/>
                <w:szCs w:val="22"/>
              </w:rPr>
            </w:pPr>
          </w:p>
          <w:p w14:paraId="278EACCE" w14:textId="7503A5DC" w:rsidR="00F247C6" w:rsidRPr="00F247C6" w:rsidRDefault="00F247C6" w:rsidP="00F247C6">
            <w:pPr>
              <w:rPr>
                <w:sz w:val="22"/>
                <w:szCs w:val="22"/>
              </w:rPr>
            </w:pPr>
            <w:r w:rsidRPr="00F247C6">
              <w:rPr>
                <w:sz w:val="22"/>
                <w:szCs w:val="22"/>
              </w:rPr>
              <w:t xml:space="preserve">Specifically, rights holders have expressed concerns related to the aggregation of mark data through the TMCH, which may expose their brand protection strategies or be used to gather competitive intelligence by competitors. If the TMCH database is freely searchable and accessible, it could be possible to identify a rights holder’s gaps in its intellectual property protection strategies. For example, it might be possible to identify jurisdictions in which the rights holder has not registered its trademarks or in which it has not chosen </w:t>
            </w:r>
            <w:r w:rsidRPr="00F247C6">
              <w:rPr>
                <w:sz w:val="22"/>
                <w:szCs w:val="22"/>
              </w:rPr>
              <w:lastRenderedPageBreak/>
              <w:t xml:space="preserve">to defensively register domain names. In this regard, this information could be misused by criminals, such as to conduct phishing attacks or other types of social engineering attacks. </w:t>
            </w:r>
          </w:p>
          <w:p w14:paraId="278825B1" w14:textId="77777777" w:rsidR="00F247C6" w:rsidRPr="00F247C6" w:rsidRDefault="00F247C6" w:rsidP="00F247C6">
            <w:pPr>
              <w:rPr>
                <w:sz w:val="22"/>
                <w:szCs w:val="22"/>
              </w:rPr>
            </w:pPr>
            <w:r w:rsidRPr="00F247C6">
              <w:rPr>
                <w:sz w:val="22"/>
                <w:szCs w:val="22"/>
              </w:rPr>
              <w:br w:type="page"/>
            </w:r>
          </w:p>
          <w:p w14:paraId="05BC190D" w14:textId="77777777" w:rsidR="00673D0E" w:rsidRDefault="00F247C6" w:rsidP="00F247C6">
            <w:pPr>
              <w:rPr>
                <w:sz w:val="22"/>
                <w:szCs w:val="22"/>
              </w:rPr>
            </w:pPr>
            <w:r w:rsidRPr="00F247C6">
              <w:rPr>
                <w:sz w:val="22"/>
                <w:szCs w:val="22"/>
              </w:rPr>
              <w:t xml:space="preserve">In addition, concerns were raised </w:t>
            </w:r>
            <w:proofErr w:type="gramStart"/>
            <w:r w:rsidRPr="00F247C6">
              <w:rPr>
                <w:sz w:val="22"/>
                <w:szCs w:val="22"/>
              </w:rPr>
              <w:t>with regard to</w:t>
            </w:r>
            <w:proofErr w:type="gramEnd"/>
            <w:r w:rsidRPr="00F247C6">
              <w:rPr>
                <w:sz w:val="22"/>
                <w:szCs w:val="22"/>
              </w:rPr>
              <w:t xml:space="preserve"> limiting information submitted in the TMCH that may be valuable to a competitor, especially with regards to a brand-related registry. If it is possible to do extensive searching of the database to compile a list of marks that a mark holder has registered, some IAG members believed that this can reveal the mark holder’s brand protection strategy because it shows which marks it believes are more valuable than others. If someone can access </w:t>
            </w:r>
            <w:proofErr w:type="gramStart"/>
            <w:r w:rsidRPr="00F247C6">
              <w:rPr>
                <w:sz w:val="22"/>
                <w:szCs w:val="22"/>
              </w:rPr>
              <w:t>all of</w:t>
            </w:r>
            <w:proofErr w:type="gramEnd"/>
            <w:r w:rsidRPr="00F247C6">
              <w:rPr>
                <w:sz w:val="22"/>
                <w:szCs w:val="22"/>
              </w:rPr>
              <w:t xml:space="preserve"> the countries where a specific brand is registered, this may also create competitive advantage because a competitor might go to the unprotected jurisdiction and register the mark before the mark holder. </w:t>
            </w:r>
          </w:p>
          <w:p w14:paraId="24D006F0" w14:textId="77777777" w:rsidR="00673D0E" w:rsidRDefault="00673D0E" w:rsidP="00F247C6">
            <w:pPr>
              <w:rPr>
                <w:sz w:val="22"/>
                <w:szCs w:val="22"/>
              </w:rPr>
            </w:pPr>
          </w:p>
          <w:p w14:paraId="2D1ABC63" w14:textId="1C19CCBC" w:rsidR="00F247C6" w:rsidRDefault="00F247C6" w:rsidP="00F247C6">
            <w:pPr>
              <w:rPr>
                <w:sz w:val="22"/>
                <w:szCs w:val="22"/>
              </w:rPr>
            </w:pPr>
            <w:r w:rsidRPr="00F247C6">
              <w:rPr>
                <w:sz w:val="22"/>
                <w:szCs w:val="22"/>
              </w:rPr>
              <w:t xml:space="preserve">The TMCH should not allow extensive searching to be done in a manner where a trademark holder’s entire portfolio could be easily accessed. Accordingly, the TMCH should be structured to address how to minimize data mining by a registry of a competitor’s trademark registration patterns. </w:t>
            </w:r>
          </w:p>
          <w:p w14:paraId="5BA6F955" w14:textId="77777777" w:rsidR="00673D0E" w:rsidRDefault="00673D0E" w:rsidP="00F247C6">
            <w:pPr>
              <w:rPr>
                <w:sz w:val="22"/>
                <w:szCs w:val="22"/>
              </w:rPr>
            </w:pPr>
          </w:p>
          <w:p w14:paraId="2FB80B0B" w14:textId="38E6645F" w:rsidR="00673D0E" w:rsidRDefault="00673D0E" w:rsidP="00F247C6">
            <w:pPr>
              <w:rPr>
                <w:sz w:val="22"/>
                <w:szCs w:val="22"/>
              </w:rPr>
            </w:pPr>
            <w:proofErr w:type="gramStart"/>
            <w:r w:rsidRPr="00673D0E">
              <w:rPr>
                <w:sz w:val="22"/>
                <w:szCs w:val="22"/>
              </w:rPr>
              <w:t>In order to</w:t>
            </w:r>
            <w:proofErr w:type="gramEnd"/>
            <w:r w:rsidRPr="00673D0E">
              <w:rPr>
                <w:sz w:val="22"/>
                <w:szCs w:val="22"/>
              </w:rPr>
              <w:t xml:space="preserve"> minimize abuse, the TMCH should restrict access to the data wherever possible. The TMCH should apply varying levels of technological and contractual restrictions depending upon the type of data accessed and the sensitivity of the data.</w:t>
            </w:r>
          </w:p>
          <w:p w14:paraId="79A55598" w14:textId="77777777" w:rsidR="00673D0E" w:rsidRDefault="00673D0E" w:rsidP="00F247C6">
            <w:pPr>
              <w:rPr>
                <w:sz w:val="22"/>
                <w:szCs w:val="22"/>
              </w:rPr>
            </w:pPr>
          </w:p>
          <w:p w14:paraId="56D19430" w14:textId="07C3D400" w:rsidR="00673D0E" w:rsidRPr="00F247C6" w:rsidRDefault="00673D0E" w:rsidP="00F247C6">
            <w:pPr>
              <w:rPr>
                <w:sz w:val="22"/>
                <w:szCs w:val="22"/>
              </w:rPr>
            </w:pPr>
            <w:proofErr w:type="gramStart"/>
            <w:r w:rsidRPr="00673D0E">
              <w:rPr>
                <w:sz w:val="22"/>
                <w:szCs w:val="22"/>
              </w:rPr>
              <w:t>With regard to</w:t>
            </w:r>
            <w:proofErr w:type="gramEnd"/>
            <w:r w:rsidRPr="00673D0E">
              <w:rPr>
                <w:sz w:val="22"/>
                <w:szCs w:val="22"/>
              </w:rPr>
              <w:t xml:space="preserve"> data associated with the trademark claims service, it is believed that this information generally has more sensitive information, and may raise privacy concerns. From the registry or registrar perspective, there may be fewer performance requirements necessary for </w:t>
            </w:r>
            <w:r w:rsidRPr="00673D0E">
              <w:rPr>
                <w:sz w:val="22"/>
                <w:szCs w:val="22"/>
              </w:rPr>
              <w:lastRenderedPageBreak/>
              <w:t>querying trademarks claims data, because this information is not required to sustain real</w:t>
            </w:r>
            <w:r>
              <w:rPr>
                <w:sz w:val="22"/>
                <w:szCs w:val="22"/>
              </w:rPr>
              <w:t>-time registrations.</w:t>
            </w:r>
          </w:p>
          <w:p w14:paraId="660D7FA7" w14:textId="77777777" w:rsidR="00F247C6" w:rsidRDefault="00F247C6" w:rsidP="00C50EB8">
            <w:pPr>
              <w:rPr>
                <w:sz w:val="22"/>
                <w:szCs w:val="22"/>
              </w:rPr>
            </w:pPr>
          </w:p>
          <w:p w14:paraId="7EA8B12E" w14:textId="7B598FB0" w:rsidR="00673D0E" w:rsidRPr="00673D0E" w:rsidRDefault="00F247C6" w:rsidP="00C50EB8">
            <w:pPr>
              <w:rPr>
                <w:b/>
                <w:sz w:val="22"/>
                <w:szCs w:val="22"/>
              </w:rPr>
            </w:pPr>
            <w:r w:rsidRPr="00673D0E">
              <w:rPr>
                <w:b/>
                <w:sz w:val="22"/>
                <w:szCs w:val="22"/>
              </w:rPr>
              <w:t>Deloitte’s Terms &amp; Conditions</w:t>
            </w:r>
            <w:r w:rsidR="00673D0E">
              <w:rPr>
                <w:b/>
                <w:sz w:val="22"/>
                <w:szCs w:val="22"/>
              </w:rPr>
              <w:t xml:space="preserve"> for Validation</w:t>
            </w:r>
            <w:r w:rsidRPr="00673D0E">
              <w:rPr>
                <w:b/>
                <w:sz w:val="22"/>
                <w:szCs w:val="22"/>
              </w:rPr>
              <w:t xml:space="preserve">: </w:t>
            </w:r>
          </w:p>
          <w:p w14:paraId="11A69FC8" w14:textId="28A21FDB" w:rsidR="00463EBF" w:rsidRDefault="00A67F58" w:rsidP="00C50EB8">
            <w:pPr>
              <w:rPr>
                <w:sz w:val="22"/>
                <w:szCs w:val="22"/>
              </w:rPr>
            </w:pPr>
            <w:r>
              <w:rPr>
                <w:sz w:val="22"/>
                <w:szCs w:val="22"/>
              </w:rPr>
              <w:t>D</w:t>
            </w:r>
            <w:r w:rsidR="00F247C6">
              <w:rPr>
                <w:sz w:val="22"/>
                <w:szCs w:val="22"/>
              </w:rPr>
              <w:t>eloitte represents and warrants t</w:t>
            </w:r>
            <w:r>
              <w:rPr>
                <w:sz w:val="22"/>
                <w:szCs w:val="22"/>
              </w:rPr>
              <w:t>hat it “will not disclose or use any Trademark Record information for any purpose other than providing the services … or as required by law”.</w:t>
            </w:r>
          </w:p>
          <w:p w14:paraId="404C7414" w14:textId="77777777" w:rsidR="00F247C6" w:rsidRDefault="00F247C6" w:rsidP="00C50EB8">
            <w:pPr>
              <w:rPr>
                <w:sz w:val="22"/>
                <w:szCs w:val="22"/>
              </w:rPr>
            </w:pPr>
          </w:p>
          <w:p w14:paraId="50D37CCC" w14:textId="3C794476" w:rsidR="00F247C6" w:rsidRPr="00101BF9" w:rsidRDefault="00F247C6" w:rsidP="00C50EB8">
            <w:pPr>
              <w:rPr>
                <w:sz w:val="22"/>
                <w:szCs w:val="22"/>
              </w:rPr>
            </w:pPr>
          </w:p>
        </w:tc>
        <w:tc>
          <w:tcPr>
            <w:tcW w:w="0" w:type="auto"/>
          </w:tcPr>
          <w:p w14:paraId="6C662C96" w14:textId="41AD379C" w:rsidR="00463EBF" w:rsidRPr="00463EBF" w:rsidRDefault="00463EBF" w:rsidP="00C50EB8">
            <w:pPr>
              <w:rPr>
                <w:sz w:val="22"/>
                <w:szCs w:val="22"/>
              </w:rPr>
            </w:pPr>
            <w:r w:rsidRPr="00463EBF">
              <w:rPr>
                <w:sz w:val="22"/>
                <w:szCs w:val="22"/>
              </w:rPr>
              <w:lastRenderedPageBreak/>
              <w:t>No follow up needed with Deloitte; WG to discuss further.</w:t>
            </w:r>
          </w:p>
        </w:tc>
      </w:tr>
    </w:tbl>
    <w:p w14:paraId="34395BB9" w14:textId="42B571C4" w:rsidR="00B86087" w:rsidRDefault="00B86087"/>
    <w:p w14:paraId="1780A1C0" w14:textId="7D7890CF" w:rsidR="00B86087" w:rsidRPr="00B86087" w:rsidRDefault="00B86087">
      <w:pPr>
        <w:rPr>
          <w:b/>
        </w:rPr>
      </w:pPr>
      <w:r w:rsidRPr="00B86087">
        <w:rPr>
          <w:b/>
        </w:rPr>
        <w:t xml:space="preserve">CATEGORY </w:t>
      </w:r>
      <w:r w:rsidR="0004181E">
        <w:rPr>
          <w:b/>
        </w:rPr>
        <w:t>6</w:t>
      </w:r>
      <w:r w:rsidRPr="00B86087">
        <w:rPr>
          <w:b/>
        </w:rPr>
        <w:t xml:space="preserve">: </w:t>
      </w:r>
      <w:r w:rsidR="00A67F58">
        <w:rPr>
          <w:b/>
        </w:rPr>
        <w:t>BALANCE</w:t>
      </w:r>
    </w:p>
    <w:p w14:paraId="3CC9F88D" w14:textId="77777777" w:rsidR="00B86087" w:rsidRDefault="00B86087"/>
    <w:tbl>
      <w:tblPr>
        <w:tblStyle w:val="TableGrid"/>
        <w:tblW w:w="12950" w:type="dxa"/>
        <w:tblCellMar>
          <w:left w:w="115" w:type="dxa"/>
          <w:right w:w="115" w:type="dxa"/>
        </w:tblCellMar>
        <w:tblLook w:val="04A0" w:firstRow="1" w:lastRow="0" w:firstColumn="1" w:lastColumn="0" w:noHBand="0" w:noVBand="1"/>
      </w:tblPr>
      <w:tblGrid>
        <w:gridCol w:w="2496"/>
        <w:gridCol w:w="2670"/>
        <w:gridCol w:w="2567"/>
        <w:gridCol w:w="2666"/>
        <w:gridCol w:w="2551"/>
      </w:tblGrid>
      <w:tr w:rsidR="00A67F58" w:rsidRPr="00101BF9" w14:paraId="2FDA80AE" w14:textId="77777777" w:rsidTr="00A67F58">
        <w:trPr>
          <w:trHeight w:val="269"/>
        </w:trPr>
        <w:tc>
          <w:tcPr>
            <w:tcW w:w="2496" w:type="dxa"/>
            <w:shd w:val="clear" w:color="auto" w:fill="D9E2F3" w:themeFill="accent1" w:themeFillTint="33"/>
          </w:tcPr>
          <w:p w14:paraId="467F7D2A" w14:textId="77777777" w:rsidR="00A67F58" w:rsidRPr="00463EBF" w:rsidRDefault="00A67F58" w:rsidP="005A78DF">
            <w:pPr>
              <w:rPr>
                <w:b/>
                <w:sz w:val="22"/>
                <w:szCs w:val="22"/>
              </w:rPr>
            </w:pPr>
            <w:r w:rsidRPr="00463EBF">
              <w:rPr>
                <w:b/>
                <w:sz w:val="22"/>
                <w:szCs w:val="22"/>
              </w:rPr>
              <w:t>Charter Questions</w:t>
            </w:r>
          </w:p>
          <w:p w14:paraId="23F198E3" w14:textId="77777777" w:rsidR="00A67F58" w:rsidRPr="00463EBF" w:rsidRDefault="00A67F58" w:rsidP="005A78DF">
            <w:pPr>
              <w:rPr>
                <w:b/>
                <w:sz w:val="22"/>
                <w:szCs w:val="22"/>
                <w:u w:val="single"/>
              </w:rPr>
            </w:pPr>
          </w:p>
        </w:tc>
        <w:tc>
          <w:tcPr>
            <w:tcW w:w="2670" w:type="dxa"/>
            <w:shd w:val="clear" w:color="auto" w:fill="D9E2F3" w:themeFill="accent1" w:themeFillTint="33"/>
          </w:tcPr>
          <w:p w14:paraId="06831423" w14:textId="77777777" w:rsidR="00A67F58" w:rsidRPr="00463EBF" w:rsidRDefault="00A67F58" w:rsidP="005A78DF">
            <w:pPr>
              <w:rPr>
                <w:b/>
                <w:sz w:val="22"/>
                <w:szCs w:val="22"/>
              </w:rPr>
            </w:pPr>
            <w:r w:rsidRPr="00463EBF">
              <w:rPr>
                <w:b/>
                <w:sz w:val="22"/>
                <w:szCs w:val="22"/>
              </w:rPr>
              <w:t>STI Recommendations</w:t>
            </w:r>
            <w:r>
              <w:rPr>
                <w:b/>
                <w:sz w:val="22"/>
                <w:szCs w:val="22"/>
              </w:rPr>
              <w:t xml:space="preserve"> (approved by GNSO Council &amp; ICANN Board)</w:t>
            </w:r>
          </w:p>
        </w:tc>
        <w:tc>
          <w:tcPr>
            <w:tcW w:w="2567" w:type="dxa"/>
            <w:shd w:val="clear" w:color="auto" w:fill="D9E2F3" w:themeFill="accent1" w:themeFillTint="33"/>
          </w:tcPr>
          <w:p w14:paraId="6DA823C1" w14:textId="77777777" w:rsidR="00A67F58" w:rsidRPr="00463EBF" w:rsidRDefault="00A67F58" w:rsidP="005A78DF">
            <w:pPr>
              <w:rPr>
                <w:b/>
                <w:sz w:val="22"/>
                <w:szCs w:val="22"/>
              </w:rPr>
            </w:pPr>
            <w:r w:rsidRPr="00463EBF">
              <w:rPr>
                <w:b/>
                <w:sz w:val="22"/>
                <w:szCs w:val="22"/>
              </w:rPr>
              <w:t>Applicant Guidebook</w:t>
            </w:r>
          </w:p>
        </w:tc>
        <w:tc>
          <w:tcPr>
            <w:tcW w:w="2666" w:type="dxa"/>
            <w:shd w:val="clear" w:color="auto" w:fill="D9E2F3" w:themeFill="accent1" w:themeFillTint="33"/>
          </w:tcPr>
          <w:p w14:paraId="6670A749" w14:textId="77777777" w:rsidR="00A67F58" w:rsidRPr="00463EBF" w:rsidRDefault="00A67F58" w:rsidP="005A78DF">
            <w:pPr>
              <w:rPr>
                <w:b/>
                <w:sz w:val="22"/>
                <w:szCs w:val="22"/>
              </w:rPr>
            </w:pPr>
            <w:r w:rsidRPr="00463EBF">
              <w:rPr>
                <w:b/>
                <w:sz w:val="22"/>
                <w:szCs w:val="22"/>
              </w:rPr>
              <w:t>Other Program Documentation</w:t>
            </w:r>
          </w:p>
        </w:tc>
        <w:tc>
          <w:tcPr>
            <w:tcW w:w="2551" w:type="dxa"/>
            <w:shd w:val="clear" w:color="auto" w:fill="D9E2F3" w:themeFill="accent1" w:themeFillTint="33"/>
          </w:tcPr>
          <w:p w14:paraId="03500A75" w14:textId="4617C9D9" w:rsidR="00A67F58" w:rsidRPr="00A67F58" w:rsidRDefault="00A67F58" w:rsidP="005A78DF">
            <w:pPr>
              <w:rPr>
                <w:b/>
                <w:sz w:val="22"/>
                <w:szCs w:val="22"/>
              </w:rPr>
            </w:pPr>
            <w:r w:rsidRPr="00A67F58">
              <w:rPr>
                <w:b/>
                <w:sz w:val="22"/>
                <w:szCs w:val="22"/>
              </w:rPr>
              <w:t>WG Discussion</w:t>
            </w:r>
          </w:p>
        </w:tc>
      </w:tr>
      <w:tr w:rsidR="00A67F58" w:rsidRPr="00101BF9" w14:paraId="56B3CB8A" w14:textId="77777777" w:rsidTr="00A67F58">
        <w:trPr>
          <w:trHeight w:val="269"/>
        </w:trPr>
        <w:tc>
          <w:tcPr>
            <w:tcW w:w="2496" w:type="dxa"/>
          </w:tcPr>
          <w:p w14:paraId="5EF21802" w14:textId="628A813F" w:rsidR="00A67F58" w:rsidRPr="00463EBF" w:rsidRDefault="00A67F58" w:rsidP="005A78DF">
            <w:pPr>
              <w:rPr>
                <w:sz w:val="22"/>
                <w:szCs w:val="22"/>
              </w:rPr>
            </w:pPr>
            <w:r>
              <w:rPr>
                <w:sz w:val="22"/>
                <w:szCs w:val="22"/>
              </w:rPr>
              <w:t xml:space="preserve">16. </w:t>
            </w:r>
            <w:r w:rsidRPr="00A67F58">
              <w:rPr>
                <w:sz w:val="22"/>
                <w:szCs w:val="22"/>
              </w:rPr>
              <w:t>Does the scope of the TMCH and the protection mechanisms which flow from it, reflect the appropriate balance between the rights of trademark holders and the rights of non-trademark registrants</w:t>
            </w:r>
            <w:r w:rsidRPr="00463EBF">
              <w:rPr>
                <w:sz w:val="22"/>
                <w:szCs w:val="22"/>
              </w:rPr>
              <w:t>?</w:t>
            </w:r>
          </w:p>
        </w:tc>
        <w:tc>
          <w:tcPr>
            <w:tcW w:w="2670" w:type="dxa"/>
          </w:tcPr>
          <w:p w14:paraId="088FE58A" w14:textId="07B41628" w:rsidR="00A67F58" w:rsidRPr="0004181E" w:rsidRDefault="00A67F58" w:rsidP="005A78DF">
            <w:pPr>
              <w:rPr>
                <w:sz w:val="22"/>
                <w:szCs w:val="22"/>
              </w:rPr>
            </w:pPr>
            <w:r w:rsidRPr="0004181E">
              <w:rPr>
                <w:sz w:val="22"/>
                <w:szCs w:val="22"/>
              </w:rPr>
              <w:t>No specific recommendation</w:t>
            </w:r>
            <w:r w:rsidR="008D788D">
              <w:rPr>
                <w:sz w:val="22"/>
                <w:szCs w:val="22"/>
              </w:rPr>
              <w:t>, although the report noted that while the final proposal “</w:t>
            </w:r>
            <w:r w:rsidR="008D788D" w:rsidRPr="008D788D">
              <w:rPr>
                <w:sz w:val="22"/>
                <w:szCs w:val="22"/>
              </w:rPr>
              <w:t>does not reflect the opinion or approval</w:t>
            </w:r>
            <w:r w:rsidR="008D788D">
              <w:rPr>
                <w:sz w:val="22"/>
                <w:szCs w:val="22"/>
              </w:rPr>
              <w:t xml:space="preserve">, </w:t>
            </w:r>
            <w:r w:rsidR="008D788D" w:rsidRPr="008D788D">
              <w:rPr>
                <w:sz w:val="22"/>
                <w:szCs w:val="22"/>
              </w:rPr>
              <w:t>of any constituency or stakeholder group, it does reflect the informed effort of the diverse group of representatives</w:t>
            </w:r>
            <w:r w:rsidR="008D788D">
              <w:rPr>
                <w:sz w:val="22"/>
                <w:szCs w:val="22"/>
              </w:rPr>
              <w:t>”</w:t>
            </w:r>
            <w:r w:rsidRPr="0004181E">
              <w:rPr>
                <w:sz w:val="22"/>
                <w:szCs w:val="22"/>
              </w:rPr>
              <w:t>.</w:t>
            </w:r>
          </w:p>
        </w:tc>
        <w:tc>
          <w:tcPr>
            <w:tcW w:w="2567" w:type="dxa"/>
          </w:tcPr>
          <w:p w14:paraId="13658653" w14:textId="228CC8D4" w:rsidR="00A67F58" w:rsidRDefault="00A67F58" w:rsidP="005A78DF">
            <w:pPr>
              <w:rPr>
                <w:sz w:val="22"/>
                <w:szCs w:val="22"/>
              </w:rPr>
            </w:pPr>
            <w:r>
              <w:rPr>
                <w:sz w:val="22"/>
                <w:szCs w:val="22"/>
              </w:rPr>
              <w:t>No express provisions.</w:t>
            </w:r>
          </w:p>
          <w:p w14:paraId="38DED18E" w14:textId="77777777" w:rsidR="00A67F58" w:rsidRDefault="00A67F58" w:rsidP="005A78DF">
            <w:pPr>
              <w:rPr>
                <w:sz w:val="22"/>
                <w:szCs w:val="22"/>
              </w:rPr>
            </w:pPr>
          </w:p>
        </w:tc>
        <w:tc>
          <w:tcPr>
            <w:tcW w:w="2666" w:type="dxa"/>
          </w:tcPr>
          <w:p w14:paraId="5719FF4A" w14:textId="0E013B3E" w:rsidR="00A67F58" w:rsidRPr="00101BF9" w:rsidRDefault="00A67F58" w:rsidP="005A78DF">
            <w:pPr>
              <w:rPr>
                <w:sz w:val="22"/>
                <w:szCs w:val="22"/>
              </w:rPr>
            </w:pPr>
          </w:p>
        </w:tc>
        <w:tc>
          <w:tcPr>
            <w:tcW w:w="2551" w:type="dxa"/>
          </w:tcPr>
          <w:p w14:paraId="19A7726F" w14:textId="77777777" w:rsidR="00A67F58" w:rsidRPr="00A67F58" w:rsidRDefault="00A67F58" w:rsidP="005A78DF">
            <w:pPr>
              <w:rPr>
                <w:sz w:val="22"/>
                <w:szCs w:val="22"/>
              </w:rPr>
            </w:pPr>
            <w:r w:rsidRPr="00A67F58">
              <w:rPr>
                <w:sz w:val="22"/>
                <w:szCs w:val="22"/>
              </w:rPr>
              <w:t xml:space="preserve">No follow up needed with Deloitte; WG to discuss further. </w:t>
            </w:r>
          </w:p>
          <w:p w14:paraId="47DDD5AE" w14:textId="77777777" w:rsidR="00A67F58" w:rsidRPr="00A67F58" w:rsidRDefault="00A67F58" w:rsidP="005A78DF">
            <w:pPr>
              <w:rPr>
                <w:sz w:val="22"/>
                <w:szCs w:val="22"/>
              </w:rPr>
            </w:pPr>
          </w:p>
          <w:p w14:paraId="245B4762" w14:textId="77777777" w:rsidR="00A67F58" w:rsidRPr="00A67F58" w:rsidRDefault="00A67F58" w:rsidP="005A78DF">
            <w:pPr>
              <w:rPr>
                <w:sz w:val="22"/>
                <w:szCs w:val="22"/>
              </w:rPr>
            </w:pPr>
            <w:r w:rsidRPr="00A67F58">
              <w:rPr>
                <w:sz w:val="22"/>
                <w:szCs w:val="22"/>
              </w:rPr>
              <w:t>Since the full scope of the question also includes the uses of the TMCH, the WG will return to this question after reviewing Sunrise and Claims.</w:t>
            </w:r>
          </w:p>
          <w:p w14:paraId="5CCE45E7" w14:textId="77777777" w:rsidR="00A67F58" w:rsidRPr="00A67F58" w:rsidRDefault="00A67F58" w:rsidP="005A78DF">
            <w:pPr>
              <w:rPr>
                <w:sz w:val="22"/>
                <w:szCs w:val="22"/>
              </w:rPr>
            </w:pPr>
          </w:p>
          <w:p w14:paraId="705C9DCF" w14:textId="77777777" w:rsidR="00A67F58" w:rsidRPr="00A67F58" w:rsidRDefault="00A67F58" w:rsidP="005A78DF">
            <w:pPr>
              <w:rPr>
                <w:sz w:val="22"/>
                <w:szCs w:val="22"/>
              </w:rPr>
            </w:pPr>
            <w:r w:rsidRPr="00A67F58">
              <w:rPr>
                <w:sz w:val="22"/>
                <w:szCs w:val="22"/>
              </w:rPr>
              <w:lastRenderedPageBreak/>
              <w:t xml:space="preserve">Staff to check if </w:t>
            </w:r>
            <w:proofErr w:type="spellStart"/>
            <w:r w:rsidRPr="00A67F58">
              <w:rPr>
                <w:sz w:val="22"/>
                <w:szCs w:val="22"/>
              </w:rPr>
              <w:t>RySG</w:t>
            </w:r>
            <w:proofErr w:type="spellEnd"/>
            <w:r w:rsidRPr="00A67F58">
              <w:rPr>
                <w:sz w:val="22"/>
                <w:szCs w:val="22"/>
              </w:rPr>
              <w:t xml:space="preserve"> input included the “specific implementation details” that they thought should be </w:t>
            </w:r>
            <w:proofErr w:type="gramStart"/>
            <w:r w:rsidRPr="00A67F58">
              <w:rPr>
                <w:sz w:val="22"/>
                <w:szCs w:val="22"/>
              </w:rPr>
              <w:t>taken into account</w:t>
            </w:r>
            <w:proofErr w:type="gramEnd"/>
            <w:r w:rsidRPr="00A67F58">
              <w:rPr>
                <w:sz w:val="22"/>
                <w:szCs w:val="22"/>
              </w:rPr>
              <w:t>.</w:t>
            </w:r>
          </w:p>
          <w:p w14:paraId="5D214653" w14:textId="77777777" w:rsidR="00A67F58" w:rsidRDefault="00A67F58" w:rsidP="00A67F58">
            <w:pPr>
              <w:rPr>
                <w:sz w:val="22"/>
                <w:szCs w:val="22"/>
              </w:rPr>
            </w:pPr>
          </w:p>
          <w:p w14:paraId="2C1F07CF" w14:textId="77777777" w:rsidR="00A67F58" w:rsidRPr="00A67F58" w:rsidRDefault="00A67F58" w:rsidP="00A67F58">
            <w:pPr>
              <w:rPr>
                <w:sz w:val="22"/>
                <w:szCs w:val="22"/>
                <w:highlight w:val="lightGray"/>
              </w:rPr>
            </w:pPr>
            <w:r w:rsidRPr="00A67F58">
              <w:rPr>
                <w:sz w:val="22"/>
                <w:szCs w:val="22"/>
              </w:rPr>
              <w:t xml:space="preserve">Staff Note: Yes, the </w:t>
            </w:r>
            <w:proofErr w:type="spellStart"/>
            <w:r w:rsidRPr="00A67F58">
              <w:rPr>
                <w:sz w:val="22"/>
                <w:szCs w:val="22"/>
              </w:rPr>
              <w:t>RySG</w:t>
            </w:r>
            <w:proofErr w:type="spellEnd"/>
            <w:r w:rsidRPr="00A67F58">
              <w:rPr>
                <w:sz w:val="22"/>
                <w:szCs w:val="22"/>
              </w:rPr>
              <w:t xml:space="preserve"> provided details. For the TMCH, these related to generic marks, lack of Service Level </w:t>
            </w:r>
            <w:proofErr w:type="spellStart"/>
            <w:r w:rsidRPr="00A67F58">
              <w:rPr>
                <w:sz w:val="22"/>
                <w:szCs w:val="22"/>
              </w:rPr>
              <w:t>Agrements</w:t>
            </w:r>
            <w:proofErr w:type="spellEnd"/>
            <w:r w:rsidRPr="00A67F58">
              <w:rPr>
                <w:sz w:val="22"/>
                <w:szCs w:val="22"/>
              </w:rPr>
              <w:t xml:space="preserve"> with the TMCH Providers, possible benefits </w:t>
            </w:r>
            <w:proofErr w:type="spellStart"/>
            <w:r w:rsidRPr="00A67F58">
              <w:rPr>
                <w:sz w:val="22"/>
                <w:szCs w:val="22"/>
              </w:rPr>
              <w:t>f</w:t>
            </w:r>
            <w:proofErr w:type="spellEnd"/>
            <w:r w:rsidRPr="00A67F58">
              <w:rPr>
                <w:sz w:val="22"/>
                <w:szCs w:val="22"/>
              </w:rPr>
              <w:t xml:space="preserve"> using multiple (rather than a single) Provider, and suggestions to obtain and publish statistics. All these have been previously added to the appropriate Charter question.</w:t>
            </w:r>
          </w:p>
          <w:p w14:paraId="1B547EE7" w14:textId="77777777" w:rsidR="00A67F58" w:rsidRPr="00A67F58" w:rsidRDefault="00A67F58" w:rsidP="005A78DF">
            <w:pPr>
              <w:rPr>
                <w:sz w:val="22"/>
                <w:szCs w:val="22"/>
              </w:rPr>
            </w:pPr>
          </w:p>
        </w:tc>
      </w:tr>
    </w:tbl>
    <w:p w14:paraId="40A8F24D" w14:textId="77777777" w:rsidR="00050A41" w:rsidRDefault="00050A41">
      <w:pPr>
        <w:rPr>
          <w:b/>
          <w:sz w:val="22"/>
          <w:szCs w:val="22"/>
        </w:rPr>
      </w:pPr>
    </w:p>
    <w:p w14:paraId="38FBFB8E" w14:textId="77777777" w:rsidR="00CC2700" w:rsidRDefault="00CC2700">
      <w:pPr>
        <w:rPr>
          <w:b/>
          <w:sz w:val="22"/>
          <w:szCs w:val="22"/>
        </w:rPr>
      </w:pPr>
    </w:p>
    <w:p w14:paraId="56594DE0" w14:textId="77777777" w:rsidR="00CC2700" w:rsidRDefault="00CC2700">
      <w:pPr>
        <w:rPr>
          <w:b/>
          <w:sz w:val="22"/>
          <w:szCs w:val="22"/>
        </w:rPr>
      </w:pPr>
      <w:r>
        <w:rPr>
          <w:b/>
          <w:sz w:val="22"/>
          <w:szCs w:val="22"/>
        </w:rPr>
        <w:t>GENERAL NOTE:</w:t>
      </w:r>
    </w:p>
    <w:p w14:paraId="3B72AA4C" w14:textId="77777777" w:rsidR="00CC2700" w:rsidRDefault="00CC2700">
      <w:pPr>
        <w:rPr>
          <w:b/>
          <w:sz w:val="22"/>
          <w:szCs w:val="22"/>
        </w:rPr>
      </w:pPr>
    </w:p>
    <w:p w14:paraId="3B3EC271" w14:textId="767DEC14" w:rsidR="00CC2700" w:rsidRPr="00310C40" w:rsidRDefault="00CC2700">
      <w:pPr>
        <w:rPr>
          <w:b/>
          <w:sz w:val="22"/>
          <w:szCs w:val="22"/>
        </w:rPr>
      </w:pPr>
      <w:r>
        <w:rPr>
          <w:b/>
          <w:sz w:val="22"/>
          <w:szCs w:val="22"/>
        </w:rPr>
        <w:t xml:space="preserve">From the Applicant Guidebook </w:t>
      </w:r>
      <w:r w:rsidR="00310C40">
        <w:rPr>
          <w:b/>
          <w:sz w:val="22"/>
          <w:szCs w:val="22"/>
        </w:rPr>
        <w:t>–</w:t>
      </w:r>
      <w:r>
        <w:rPr>
          <w:b/>
          <w:sz w:val="22"/>
          <w:szCs w:val="22"/>
        </w:rPr>
        <w:br/>
      </w:r>
      <w:r w:rsidRPr="00CC2700">
        <w:rPr>
          <w:sz w:val="22"/>
          <w:szCs w:val="22"/>
        </w:rPr>
        <w:t>1.5: [TMCH] functions will be performed in accordance with a limited charter, and will not have any discretionary powers other than what will be set out in the charter with respect to authentication and validation. The Clearinghouse administrator(s) cannot create policy. Before material changes are made to the Clearinghouse functions, they will be reviewed through the ICANN public participation model</w:t>
      </w:r>
      <w:r>
        <w:rPr>
          <w:sz w:val="22"/>
          <w:szCs w:val="22"/>
        </w:rPr>
        <w:t>.</w:t>
      </w:r>
    </w:p>
    <w:sectPr w:rsidR="00CC2700" w:rsidRPr="00310C40" w:rsidSect="001856CA">
      <w:footerReference w:type="even" r:id="rId7"/>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E74D1" w14:textId="77777777" w:rsidR="00DB27A6" w:rsidRDefault="00DB27A6" w:rsidP="00BA7973">
      <w:r>
        <w:separator/>
      </w:r>
    </w:p>
  </w:endnote>
  <w:endnote w:type="continuationSeparator" w:id="0">
    <w:p w14:paraId="3E42F69D" w14:textId="77777777" w:rsidR="00DB27A6" w:rsidRDefault="00DB27A6" w:rsidP="00BA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AB57E" w14:textId="77777777" w:rsidR="00DE2CB1" w:rsidRDefault="009E6D13" w:rsidP="009A6D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14B89" w14:textId="77777777" w:rsidR="00DE2CB1" w:rsidRDefault="00DB27A6" w:rsidP="00DE2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0C47D" w14:textId="77777777" w:rsidR="009A6DAE" w:rsidRDefault="009A6DAE" w:rsidP="007655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B29">
      <w:rPr>
        <w:rStyle w:val="PageNumber"/>
        <w:noProof/>
      </w:rPr>
      <w:t>1</w:t>
    </w:r>
    <w:r>
      <w:rPr>
        <w:rStyle w:val="PageNumber"/>
      </w:rPr>
      <w:fldChar w:fldCharType="end"/>
    </w:r>
  </w:p>
  <w:p w14:paraId="7EB51DDA" w14:textId="77777777" w:rsidR="00DE2CB1" w:rsidRPr="00230F63" w:rsidRDefault="00DB27A6" w:rsidP="00DE2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9C114" w14:textId="77777777" w:rsidR="00DB27A6" w:rsidRDefault="00DB27A6" w:rsidP="00BA7973">
      <w:pPr>
        <w:rPr>
          <w:noProof/>
        </w:rPr>
      </w:pPr>
      <w:r>
        <w:rPr>
          <w:noProof/>
        </w:rPr>
        <w:separator/>
      </w:r>
    </w:p>
  </w:footnote>
  <w:footnote w:type="continuationSeparator" w:id="0">
    <w:p w14:paraId="4BCCDB26" w14:textId="77777777" w:rsidR="00DB27A6" w:rsidRDefault="00DB27A6" w:rsidP="00BA7973">
      <w:r>
        <w:continuationSeparator/>
      </w:r>
    </w:p>
  </w:footnote>
  <w:footnote w:id="1">
    <w:p w14:paraId="2A2487FF" w14:textId="7991DAFA" w:rsidR="00EA0FF3" w:rsidRPr="007226AF" w:rsidRDefault="00EA0FF3" w:rsidP="00EA0FF3">
      <w:pPr>
        <w:pStyle w:val="FootnoteText"/>
        <w:rPr>
          <w:sz w:val="20"/>
          <w:szCs w:val="20"/>
        </w:rPr>
      </w:pPr>
      <w:r w:rsidRPr="007B3696">
        <w:rPr>
          <w:rStyle w:val="FootnoteReference"/>
          <w:sz w:val="20"/>
          <w:szCs w:val="20"/>
        </w:rPr>
        <w:footnoteRef/>
      </w:r>
      <w:r w:rsidRPr="007B3696">
        <w:rPr>
          <w:sz w:val="20"/>
          <w:szCs w:val="20"/>
        </w:rPr>
        <w:t xml:space="preserve"> </w:t>
      </w:r>
      <w:r>
        <w:rPr>
          <w:sz w:val="20"/>
          <w:szCs w:val="20"/>
        </w:rPr>
        <w:t xml:space="preserve">This recommendation achieved </w:t>
      </w:r>
      <w:r w:rsidR="007226AF">
        <w:rPr>
          <w:sz w:val="20"/>
          <w:szCs w:val="20"/>
        </w:rPr>
        <w:t>Rough C</w:t>
      </w:r>
      <w:r w:rsidRPr="007B3696">
        <w:rPr>
          <w:sz w:val="20"/>
          <w:szCs w:val="20"/>
        </w:rPr>
        <w:t>onsensus among the STI</w:t>
      </w:r>
      <w:r w:rsidR="007226AF">
        <w:rPr>
          <w:sz w:val="20"/>
          <w:szCs w:val="20"/>
        </w:rPr>
        <w:t>, with the ALAC filin</w:t>
      </w:r>
      <w:r w:rsidR="007226AF" w:rsidRPr="007226AF">
        <w:rPr>
          <w:sz w:val="20"/>
          <w:szCs w:val="20"/>
        </w:rPr>
        <w:t xml:space="preserve">g a Minority </w:t>
      </w:r>
      <w:r w:rsidR="00EE2EE3">
        <w:rPr>
          <w:sz w:val="20"/>
          <w:szCs w:val="20"/>
        </w:rPr>
        <w:t>Position</w:t>
      </w:r>
      <w:r w:rsidRPr="007226AF">
        <w:rPr>
          <w:sz w:val="20"/>
          <w:szCs w:val="20"/>
        </w:rPr>
        <w:t>.</w:t>
      </w:r>
    </w:p>
  </w:footnote>
  <w:footnote w:id="2">
    <w:p w14:paraId="5305C015" w14:textId="7353B0BD" w:rsidR="007226AF" w:rsidRDefault="007226AF">
      <w:pPr>
        <w:pStyle w:val="FootnoteText"/>
      </w:pPr>
      <w:r w:rsidRPr="007226AF">
        <w:rPr>
          <w:rStyle w:val="FootnoteReference"/>
          <w:sz w:val="20"/>
          <w:szCs w:val="20"/>
        </w:rPr>
        <w:footnoteRef/>
      </w:r>
      <w:r w:rsidRPr="007226AF">
        <w:rPr>
          <w:sz w:val="20"/>
          <w:szCs w:val="20"/>
        </w:rPr>
        <w:t xml:space="preserve"> This recommendation achieved Unanimous Consensus among the STI.</w:t>
      </w:r>
    </w:p>
  </w:footnote>
  <w:footnote w:id="3">
    <w:p w14:paraId="3D6A25EC" w14:textId="5001792A" w:rsidR="00CD6449" w:rsidRDefault="00CD6449">
      <w:pPr>
        <w:pStyle w:val="FootnoteText"/>
      </w:pPr>
      <w:r>
        <w:rPr>
          <w:rStyle w:val="FootnoteReference"/>
        </w:rPr>
        <w:footnoteRef/>
      </w:r>
      <w:r>
        <w:t xml:space="preserve"> </w:t>
      </w:r>
      <w:r w:rsidRPr="007226AF">
        <w:rPr>
          <w:sz w:val="20"/>
          <w:szCs w:val="20"/>
        </w:rPr>
        <w:t>This recommendation achieved Unanimous Consensus among the</w:t>
      </w:r>
      <w:r>
        <w:rPr>
          <w:sz w:val="20"/>
          <w:szCs w:val="20"/>
        </w:rPr>
        <w:t xml:space="preserve"> STI.</w:t>
      </w:r>
    </w:p>
  </w:footnote>
  <w:footnote w:id="4">
    <w:p w14:paraId="6F972316" w14:textId="0F54FA40" w:rsidR="00E7075D" w:rsidRDefault="00E7075D">
      <w:pPr>
        <w:pStyle w:val="FootnoteText"/>
      </w:pPr>
      <w:r>
        <w:rPr>
          <w:rStyle w:val="FootnoteReference"/>
        </w:rPr>
        <w:footnoteRef/>
      </w:r>
      <w:r>
        <w:t xml:space="preserve"> </w:t>
      </w:r>
      <w:r>
        <w:rPr>
          <w:sz w:val="20"/>
          <w:szCs w:val="20"/>
        </w:rPr>
        <w:t>This recommendation achieved Rough C</w:t>
      </w:r>
      <w:r w:rsidRPr="007B3696">
        <w:rPr>
          <w:sz w:val="20"/>
          <w:szCs w:val="20"/>
        </w:rPr>
        <w:t>onsensus among the STI</w:t>
      </w:r>
      <w:r>
        <w:rPr>
          <w:sz w:val="20"/>
          <w:szCs w:val="20"/>
        </w:rPr>
        <w:t>, with the BC filin</w:t>
      </w:r>
      <w:r w:rsidRPr="007226AF">
        <w:rPr>
          <w:sz w:val="20"/>
          <w:szCs w:val="20"/>
        </w:rPr>
        <w:t>g a Minority</w:t>
      </w:r>
      <w:r>
        <w:rPr>
          <w:sz w:val="20"/>
          <w:szCs w:val="20"/>
        </w:rPr>
        <w:t xml:space="preserve"> Position.</w:t>
      </w:r>
    </w:p>
  </w:footnote>
  <w:footnote w:id="5">
    <w:p w14:paraId="53698398" w14:textId="1F3C9D77" w:rsidR="00E7075D" w:rsidRDefault="00E7075D">
      <w:pPr>
        <w:pStyle w:val="FootnoteText"/>
      </w:pPr>
      <w:r>
        <w:rPr>
          <w:rStyle w:val="FootnoteReference"/>
        </w:rPr>
        <w:footnoteRef/>
      </w:r>
      <w:r>
        <w:t xml:space="preserve"> </w:t>
      </w:r>
      <w:r>
        <w:rPr>
          <w:sz w:val="20"/>
          <w:szCs w:val="20"/>
        </w:rPr>
        <w:t>This recommendation achieved Rough C</w:t>
      </w:r>
      <w:r w:rsidRPr="007B3696">
        <w:rPr>
          <w:sz w:val="20"/>
          <w:szCs w:val="20"/>
        </w:rPr>
        <w:t>onsensus among the STI</w:t>
      </w:r>
      <w:r>
        <w:rPr>
          <w:sz w:val="20"/>
          <w:szCs w:val="20"/>
        </w:rPr>
        <w:t>, with the BC filin</w:t>
      </w:r>
      <w:r w:rsidRPr="007226AF">
        <w:rPr>
          <w:sz w:val="20"/>
          <w:szCs w:val="20"/>
        </w:rPr>
        <w:t>g a Minority</w:t>
      </w:r>
      <w:r>
        <w:rPr>
          <w:sz w:val="20"/>
          <w:szCs w:val="20"/>
        </w:rPr>
        <w:t xml:space="preserve"> Position.</w:t>
      </w:r>
    </w:p>
  </w:footnote>
  <w:footnote w:id="6">
    <w:p w14:paraId="67BC72B5" w14:textId="4ED4FCDE" w:rsidR="00EE2EE3" w:rsidRPr="00EE2EE3" w:rsidRDefault="00EE2EE3">
      <w:pPr>
        <w:pStyle w:val="FootnoteText"/>
        <w:rPr>
          <w:sz w:val="20"/>
          <w:szCs w:val="20"/>
        </w:rPr>
      </w:pPr>
      <w:r w:rsidRPr="00EE2EE3">
        <w:rPr>
          <w:rStyle w:val="FootnoteReference"/>
          <w:sz w:val="20"/>
          <w:szCs w:val="20"/>
        </w:rPr>
        <w:footnoteRef/>
      </w:r>
      <w:r w:rsidRPr="00EE2EE3">
        <w:rPr>
          <w:sz w:val="20"/>
          <w:szCs w:val="20"/>
        </w:rPr>
        <w:t xml:space="preserve"> This recommendation achieved Rough Consensus among the STI, with the </w:t>
      </w:r>
      <w:proofErr w:type="spellStart"/>
      <w:r w:rsidRPr="00EE2EE3">
        <w:rPr>
          <w:sz w:val="20"/>
          <w:szCs w:val="20"/>
        </w:rPr>
        <w:t>RySG</w:t>
      </w:r>
      <w:proofErr w:type="spellEnd"/>
      <w:r w:rsidRPr="00EE2EE3">
        <w:rPr>
          <w:sz w:val="20"/>
          <w:szCs w:val="20"/>
        </w:rPr>
        <w:t xml:space="preserve"> and NCSG jointly filing a Minority Position, and the BC filing a separate Minority Position.</w:t>
      </w:r>
    </w:p>
  </w:footnote>
  <w:footnote w:id="7">
    <w:p w14:paraId="0FCD156E" w14:textId="77777777" w:rsidR="00463EBF" w:rsidRDefault="00463EBF" w:rsidP="00463EBF">
      <w:pPr>
        <w:pStyle w:val="FootnoteText"/>
        <w:snapToGrid w:val="0"/>
      </w:pPr>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p>
  </w:footnote>
  <w:footnote w:id="8">
    <w:p w14:paraId="6B7B4B1F" w14:textId="08E7DDE3" w:rsidR="00896105" w:rsidRDefault="00896105">
      <w:pPr>
        <w:pStyle w:val="FootnoteText"/>
      </w:pPr>
      <w:r>
        <w:rPr>
          <w:rStyle w:val="FootnoteReference"/>
        </w:rPr>
        <w:footnoteRef/>
      </w:r>
      <w:r>
        <w:t xml:space="preserve"> See the September 2012 IAG report for the full context and discussion, especially </w:t>
      </w:r>
      <w:r w:rsidRPr="00896105">
        <w:rPr>
          <w:u w:val="single"/>
        </w:rPr>
        <w:t>pp.15-17</w:t>
      </w:r>
      <w:r>
        <w:t xml:space="preserve"> concerning data access: </w:t>
      </w:r>
      <w:hyperlink r:id="rId1" w:history="1">
        <w:r w:rsidRPr="00900526">
          <w:rPr>
            <w:rStyle w:val="Hyperlink"/>
          </w:rPr>
          <w:t>https://newgtlds.icann.org/en/about/trademark-clearinghouse/summary-iag-input-26sep12-en.pdf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987"/>
    <w:multiLevelType w:val="hybridMultilevel"/>
    <w:tmpl w:val="81E4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863CD"/>
    <w:multiLevelType w:val="hybridMultilevel"/>
    <w:tmpl w:val="2AF0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643B"/>
    <w:multiLevelType w:val="hybridMultilevel"/>
    <w:tmpl w:val="BB740B4A"/>
    <w:lvl w:ilvl="0" w:tplc="11EA8A80">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C616D"/>
    <w:multiLevelType w:val="hybridMultilevel"/>
    <w:tmpl w:val="B2B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17A74"/>
    <w:multiLevelType w:val="hybridMultilevel"/>
    <w:tmpl w:val="1EC4A912"/>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2A6E77"/>
    <w:multiLevelType w:val="hybridMultilevel"/>
    <w:tmpl w:val="CFF0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B1004"/>
    <w:multiLevelType w:val="hybridMultilevel"/>
    <w:tmpl w:val="CBD091A8"/>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96C77"/>
    <w:multiLevelType w:val="hybridMultilevel"/>
    <w:tmpl w:val="1DFA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0B5D32"/>
    <w:multiLevelType w:val="hybridMultilevel"/>
    <w:tmpl w:val="3C2E0146"/>
    <w:lvl w:ilvl="0" w:tplc="B2C00A62">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11D1E"/>
    <w:multiLevelType w:val="hybridMultilevel"/>
    <w:tmpl w:val="C478BD80"/>
    <w:lvl w:ilvl="0" w:tplc="77FECB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D11E17"/>
    <w:multiLevelType w:val="hybridMultilevel"/>
    <w:tmpl w:val="D93C8FF4"/>
    <w:lvl w:ilvl="0" w:tplc="B8BECF86">
      <w:start w:val="7"/>
      <w:numFmt w:val="decimal"/>
      <w:lvlText w:val="%1."/>
      <w:lvlJc w:val="left"/>
      <w:pPr>
        <w:ind w:left="360" w:hanging="360"/>
      </w:pPr>
      <w:rPr>
        <w:rFonts w:hint="default"/>
      </w:rPr>
    </w:lvl>
    <w:lvl w:ilvl="1" w:tplc="316678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566419"/>
    <w:multiLevelType w:val="hybridMultilevel"/>
    <w:tmpl w:val="6DE8BA60"/>
    <w:lvl w:ilvl="0" w:tplc="CAD4CB38">
      <w:start w:val="17"/>
      <w:numFmt w:val="bullet"/>
      <w:lvlText w:val="-"/>
      <w:lvlJc w:val="left"/>
      <w:pPr>
        <w:ind w:left="360" w:hanging="360"/>
      </w:pPr>
      <w:rPr>
        <w:rFonts w:ascii="Calibri" w:eastAsiaTheme="minorEastAsia"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6805CA"/>
    <w:multiLevelType w:val="hybridMultilevel"/>
    <w:tmpl w:val="89EA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84D91"/>
    <w:multiLevelType w:val="hybridMultilevel"/>
    <w:tmpl w:val="92A41ECA"/>
    <w:lvl w:ilvl="0" w:tplc="DF2A0C6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F5AA7"/>
    <w:multiLevelType w:val="hybridMultilevel"/>
    <w:tmpl w:val="4CACC0BC"/>
    <w:lvl w:ilvl="0" w:tplc="5A5CFC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20A0D"/>
    <w:multiLevelType w:val="hybridMultilevel"/>
    <w:tmpl w:val="D13473DA"/>
    <w:lvl w:ilvl="0" w:tplc="80A825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C76A7"/>
    <w:multiLevelType w:val="hybridMultilevel"/>
    <w:tmpl w:val="7CDEF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B712D0"/>
    <w:multiLevelType w:val="multilevel"/>
    <w:tmpl w:val="AF6A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463179"/>
    <w:multiLevelType w:val="hybridMultilevel"/>
    <w:tmpl w:val="6376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63D8C"/>
    <w:multiLevelType w:val="hybridMultilevel"/>
    <w:tmpl w:val="6542F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6B3994"/>
    <w:multiLevelType w:val="hybridMultilevel"/>
    <w:tmpl w:val="2BEE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EC1248"/>
    <w:multiLevelType w:val="hybridMultilevel"/>
    <w:tmpl w:val="9D74F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7"/>
  </w:num>
  <w:num w:numId="5">
    <w:abstractNumId w:val="21"/>
  </w:num>
  <w:num w:numId="6">
    <w:abstractNumId w:val="6"/>
  </w:num>
  <w:num w:numId="7">
    <w:abstractNumId w:val="9"/>
  </w:num>
  <w:num w:numId="8">
    <w:abstractNumId w:val="12"/>
  </w:num>
  <w:num w:numId="9">
    <w:abstractNumId w:val="8"/>
  </w:num>
  <w:num w:numId="10">
    <w:abstractNumId w:val="3"/>
  </w:num>
  <w:num w:numId="11">
    <w:abstractNumId w:val="1"/>
  </w:num>
  <w:num w:numId="12">
    <w:abstractNumId w:val="22"/>
  </w:num>
  <w:num w:numId="13">
    <w:abstractNumId w:val="0"/>
  </w:num>
  <w:num w:numId="14">
    <w:abstractNumId w:val="5"/>
  </w:num>
  <w:num w:numId="15">
    <w:abstractNumId w:val="19"/>
  </w:num>
  <w:num w:numId="16">
    <w:abstractNumId w:val="16"/>
  </w:num>
  <w:num w:numId="17">
    <w:abstractNumId w:val="15"/>
  </w:num>
  <w:num w:numId="18">
    <w:abstractNumId w:val="2"/>
  </w:num>
  <w:num w:numId="19">
    <w:abstractNumId w:val="14"/>
  </w:num>
  <w:num w:numId="20">
    <w:abstractNumId w:val="10"/>
  </w:num>
  <w:num w:numId="21">
    <w:abstractNumId w:val="4"/>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FD"/>
    <w:rsid w:val="0004181E"/>
    <w:rsid w:val="00050A41"/>
    <w:rsid w:val="000930F3"/>
    <w:rsid w:val="000944AA"/>
    <w:rsid w:val="000944E6"/>
    <w:rsid w:val="000A2AAC"/>
    <w:rsid w:val="000C6816"/>
    <w:rsid w:val="000D5ADA"/>
    <w:rsid w:val="00101BF9"/>
    <w:rsid w:val="001221AE"/>
    <w:rsid w:val="001346DB"/>
    <w:rsid w:val="00136522"/>
    <w:rsid w:val="001752AB"/>
    <w:rsid w:val="001856CA"/>
    <w:rsid w:val="00186F1B"/>
    <w:rsid w:val="001A155B"/>
    <w:rsid w:val="001A5E59"/>
    <w:rsid w:val="001B03DC"/>
    <w:rsid w:val="001D467B"/>
    <w:rsid w:val="00226078"/>
    <w:rsid w:val="00230F63"/>
    <w:rsid w:val="00273632"/>
    <w:rsid w:val="00273856"/>
    <w:rsid w:val="00291EEC"/>
    <w:rsid w:val="002C47AE"/>
    <w:rsid w:val="002D71A8"/>
    <w:rsid w:val="00300B2C"/>
    <w:rsid w:val="00310C40"/>
    <w:rsid w:val="00314F3E"/>
    <w:rsid w:val="00326516"/>
    <w:rsid w:val="003561CE"/>
    <w:rsid w:val="00364D81"/>
    <w:rsid w:val="0038308A"/>
    <w:rsid w:val="003873F5"/>
    <w:rsid w:val="00392437"/>
    <w:rsid w:val="003C28BA"/>
    <w:rsid w:val="003E706B"/>
    <w:rsid w:val="00402F6A"/>
    <w:rsid w:val="00414CCE"/>
    <w:rsid w:val="00417CD7"/>
    <w:rsid w:val="00420831"/>
    <w:rsid w:val="00435BDF"/>
    <w:rsid w:val="00463EBF"/>
    <w:rsid w:val="004648EC"/>
    <w:rsid w:val="00485541"/>
    <w:rsid w:val="00485F37"/>
    <w:rsid w:val="00487F20"/>
    <w:rsid w:val="004C0E2C"/>
    <w:rsid w:val="004C2C15"/>
    <w:rsid w:val="004C6C63"/>
    <w:rsid w:val="004E0066"/>
    <w:rsid w:val="005231BE"/>
    <w:rsid w:val="005304AD"/>
    <w:rsid w:val="006024EB"/>
    <w:rsid w:val="00673D0E"/>
    <w:rsid w:val="006F681C"/>
    <w:rsid w:val="006F6CFD"/>
    <w:rsid w:val="00710022"/>
    <w:rsid w:val="00711050"/>
    <w:rsid w:val="00711650"/>
    <w:rsid w:val="00712C1C"/>
    <w:rsid w:val="007226AF"/>
    <w:rsid w:val="00733BDF"/>
    <w:rsid w:val="00741E26"/>
    <w:rsid w:val="00742DF5"/>
    <w:rsid w:val="007732BF"/>
    <w:rsid w:val="007908A9"/>
    <w:rsid w:val="00796B8F"/>
    <w:rsid w:val="007B2AC8"/>
    <w:rsid w:val="007B3696"/>
    <w:rsid w:val="007C03DD"/>
    <w:rsid w:val="007D3C82"/>
    <w:rsid w:val="008005A9"/>
    <w:rsid w:val="008013A3"/>
    <w:rsid w:val="0082758F"/>
    <w:rsid w:val="00857CEA"/>
    <w:rsid w:val="008759AB"/>
    <w:rsid w:val="0089452E"/>
    <w:rsid w:val="00896105"/>
    <w:rsid w:val="00896F4A"/>
    <w:rsid w:val="008D788D"/>
    <w:rsid w:val="008E3316"/>
    <w:rsid w:val="00902DAC"/>
    <w:rsid w:val="009A6DAE"/>
    <w:rsid w:val="009D7ECE"/>
    <w:rsid w:val="009E6D13"/>
    <w:rsid w:val="00A248A0"/>
    <w:rsid w:val="00A67F58"/>
    <w:rsid w:val="00A800BE"/>
    <w:rsid w:val="00B01FA6"/>
    <w:rsid w:val="00B02F40"/>
    <w:rsid w:val="00B03B29"/>
    <w:rsid w:val="00B04DDA"/>
    <w:rsid w:val="00B47A82"/>
    <w:rsid w:val="00B6353C"/>
    <w:rsid w:val="00B7434D"/>
    <w:rsid w:val="00B86087"/>
    <w:rsid w:val="00BA7973"/>
    <w:rsid w:val="00BB0D8E"/>
    <w:rsid w:val="00BB6A49"/>
    <w:rsid w:val="00BB74C8"/>
    <w:rsid w:val="00BC266C"/>
    <w:rsid w:val="00BE566D"/>
    <w:rsid w:val="00C204F8"/>
    <w:rsid w:val="00C50EB8"/>
    <w:rsid w:val="00C9790C"/>
    <w:rsid w:val="00CC2700"/>
    <w:rsid w:val="00CD6449"/>
    <w:rsid w:val="00CE64A0"/>
    <w:rsid w:val="00D7026C"/>
    <w:rsid w:val="00DB27A6"/>
    <w:rsid w:val="00DC4E46"/>
    <w:rsid w:val="00DD6F61"/>
    <w:rsid w:val="00DE37FD"/>
    <w:rsid w:val="00DE532A"/>
    <w:rsid w:val="00DF12A7"/>
    <w:rsid w:val="00E22160"/>
    <w:rsid w:val="00E23D73"/>
    <w:rsid w:val="00E35154"/>
    <w:rsid w:val="00E5512A"/>
    <w:rsid w:val="00E7075D"/>
    <w:rsid w:val="00E83B1F"/>
    <w:rsid w:val="00E91CC8"/>
    <w:rsid w:val="00EA0FF3"/>
    <w:rsid w:val="00EA32E8"/>
    <w:rsid w:val="00EB7F8E"/>
    <w:rsid w:val="00ED1E19"/>
    <w:rsid w:val="00EE2EE3"/>
    <w:rsid w:val="00EF59DA"/>
    <w:rsid w:val="00EF7B8B"/>
    <w:rsid w:val="00F051DA"/>
    <w:rsid w:val="00F07ED6"/>
    <w:rsid w:val="00F247C6"/>
    <w:rsid w:val="00F743F3"/>
    <w:rsid w:val="00F850C0"/>
    <w:rsid w:val="00F87D44"/>
    <w:rsid w:val="00F91B13"/>
    <w:rsid w:val="00F96DED"/>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D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973"/>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A7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7973"/>
    <w:pPr>
      <w:ind w:left="720"/>
      <w:contextualSpacing/>
    </w:pPr>
  </w:style>
  <w:style w:type="paragraph" w:styleId="FootnoteText">
    <w:name w:val="footnote text"/>
    <w:basedOn w:val="Normal"/>
    <w:link w:val="FootnoteTextChar"/>
    <w:uiPriority w:val="99"/>
    <w:unhideWhenUsed/>
    <w:rsid w:val="00BA7973"/>
  </w:style>
  <w:style w:type="character" w:customStyle="1" w:styleId="FootnoteTextChar">
    <w:name w:val="Footnote Text Char"/>
    <w:basedOn w:val="DefaultParagraphFont"/>
    <w:link w:val="FootnoteText"/>
    <w:uiPriority w:val="99"/>
    <w:rsid w:val="00BA7973"/>
  </w:style>
  <w:style w:type="character" w:styleId="FootnoteReference">
    <w:name w:val="footnote reference"/>
    <w:basedOn w:val="DefaultParagraphFont"/>
    <w:uiPriority w:val="99"/>
    <w:unhideWhenUsed/>
    <w:rsid w:val="00BA7973"/>
    <w:rPr>
      <w:vertAlign w:val="superscript"/>
    </w:rPr>
  </w:style>
  <w:style w:type="paragraph" w:styleId="Footer">
    <w:name w:val="footer"/>
    <w:basedOn w:val="Normal"/>
    <w:link w:val="FooterChar"/>
    <w:uiPriority w:val="99"/>
    <w:unhideWhenUsed/>
    <w:rsid w:val="00BA7973"/>
    <w:pPr>
      <w:tabs>
        <w:tab w:val="center" w:pos="4680"/>
        <w:tab w:val="right" w:pos="9360"/>
      </w:tabs>
    </w:pPr>
  </w:style>
  <w:style w:type="character" w:customStyle="1" w:styleId="FooterChar">
    <w:name w:val="Footer Char"/>
    <w:basedOn w:val="DefaultParagraphFont"/>
    <w:link w:val="Footer"/>
    <w:uiPriority w:val="99"/>
    <w:rsid w:val="00BA7973"/>
  </w:style>
  <w:style w:type="character" w:styleId="PageNumber">
    <w:name w:val="page number"/>
    <w:basedOn w:val="DefaultParagraphFont"/>
    <w:uiPriority w:val="99"/>
    <w:semiHidden/>
    <w:unhideWhenUsed/>
    <w:rsid w:val="00BA7973"/>
  </w:style>
  <w:style w:type="paragraph" w:styleId="BalloonText">
    <w:name w:val="Balloon Text"/>
    <w:basedOn w:val="Normal"/>
    <w:link w:val="BalloonTextChar"/>
    <w:uiPriority w:val="99"/>
    <w:semiHidden/>
    <w:unhideWhenUsed/>
    <w:rsid w:val="00B743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434D"/>
    <w:rPr>
      <w:rFonts w:ascii="Times New Roman" w:hAnsi="Times New Roman" w:cs="Times New Roman"/>
      <w:sz w:val="18"/>
      <w:szCs w:val="18"/>
    </w:rPr>
  </w:style>
  <w:style w:type="paragraph" w:styleId="Header">
    <w:name w:val="header"/>
    <w:basedOn w:val="Normal"/>
    <w:link w:val="HeaderChar"/>
    <w:uiPriority w:val="99"/>
    <w:unhideWhenUsed/>
    <w:rsid w:val="00230F63"/>
    <w:pPr>
      <w:tabs>
        <w:tab w:val="center" w:pos="4680"/>
        <w:tab w:val="right" w:pos="9360"/>
      </w:tabs>
    </w:pPr>
  </w:style>
  <w:style w:type="character" w:customStyle="1" w:styleId="HeaderChar">
    <w:name w:val="Header Char"/>
    <w:basedOn w:val="DefaultParagraphFont"/>
    <w:link w:val="Header"/>
    <w:uiPriority w:val="99"/>
    <w:rsid w:val="00230F63"/>
  </w:style>
  <w:style w:type="character" w:styleId="Hyperlink">
    <w:name w:val="Hyperlink"/>
    <w:basedOn w:val="DefaultParagraphFont"/>
    <w:uiPriority w:val="99"/>
    <w:rsid w:val="00BB7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477">
      <w:bodyDiv w:val="1"/>
      <w:marLeft w:val="0"/>
      <w:marRight w:val="0"/>
      <w:marTop w:val="0"/>
      <w:marBottom w:val="0"/>
      <w:divBdr>
        <w:top w:val="none" w:sz="0" w:space="0" w:color="auto"/>
        <w:left w:val="none" w:sz="0" w:space="0" w:color="auto"/>
        <w:bottom w:val="none" w:sz="0" w:space="0" w:color="auto"/>
        <w:right w:val="none" w:sz="0" w:space="0" w:color="auto"/>
      </w:divBdr>
    </w:div>
    <w:div w:id="232544990">
      <w:bodyDiv w:val="1"/>
      <w:marLeft w:val="0"/>
      <w:marRight w:val="0"/>
      <w:marTop w:val="0"/>
      <w:marBottom w:val="0"/>
      <w:divBdr>
        <w:top w:val="none" w:sz="0" w:space="0" w:color="auto"/>
        <w:left w:val="none" w:sz="0" w:space="0" w:color="auto"/>
        <w:bottom w:val="none" w:sz="0" w:space="0" w:color="auto"/>
        <w:right w:val="none" w:sz="0" w:space="0" w:color="auto"/>
      </w:divBdr>
    </w:div>
    <w:div w:id="251015835">
      <w:bodyDiv w:val="1"/>
      <w:marLeft w:val="0"/>
      <w:marRight w:val="0"/>
      <w:marTop w:val="0"/>
      <w:marBottom w:val="0"/>
      <w:divBdr>
        <w:top w:val="none" w:sz="0" w:space="0" w:color="auto"/>
        <w:left w:val="none" w:sz="0" w:space="0" w:color="auto"/>
        <w:bottom w:val="none" w:sz="0" w:space="0" w:color="auto"/>
        <w:right w:val="none" w:sz="0" w:space="0" w:color="auto"/>
      </w:divBdr>
    </w:div>
    <w:div w:id="270749886">
      <w:bodyDiv w:val="1"/>
      <w:marLeft w:val="0"/>
      <w:marRight w:val="0"/>
      <w:marTop w:val="0"/>
      <w:marBottom w:val="0"/>
      <w:divBdr>
        <w:top w:val="none" w:sz="0" w:space="0" w:color="auto"/>
        <w:left w:val="none" w:sz="0" w:space="0" w:color="auto"/>
        <w:bottom w:val="none" w:sz="0" w:space="0" w:color="auto"/>
        <w:right w:val="none" w:sz="0" w:space="0" w:color="auto"/>
      </w:divBdr>
    </w:div>
    <w:div w:id="445466756">
      <w:bodyDiv w:val="1"/>
      <w:marLeft w:val="0"/>
      <w:marRight w:val="0"/>
      <w:marTop w:val="0"/>
      <w:marBottom w:val="0"/>
      <w:divBdr>
        <w:top w:val="none" w:sz="0" w:space="0" w:color="auto"/>
        <w:left w:val="none" w:sz="0" w:space="0" w:color="auto"/>
        <w:bottom w:val="none" w:sz="0" w:space="0" w:color="auto"/>
        <w:right w:val="none" w:sz="0" w:space="0" w:color="auto"/>
      </w:divBdr>
    </w:div>
    <w:div w:id="492914072">
      <w:bodyDiv w:val="1"/>
      <w:marLeft w:val="0"/>
      <w:marRight w:val="0"/>
      <w:marTop w:val="0"/>
      <w:marBottom w:val="0"/>
      <w:divBdr>
        <w:top w:val="none" w:sz="0" w:space="0" w:color="auto"/>
        <w:left w:val="none" w:sz="0" w:space="0" w:color="auto"/>
        <w:bottom w:val="none" w:sz="0" w:space="0" w:color="auto"/>
        <w:right w:val="none" w:sz="0" w:space="0" w:color="auto"/>
      </w:divBdr>
    </w:div>
    <w:div w:id="703529690">
      <w:bodyDiv w:val="1"/>
      <w:marLeft w:val="0"/>
      <w:marRight w:val="0"/>
      <w:marTop w:val="0"/>
      <w:marBottom w:val="0"/>
      <w:divBdr>
        <w:top w:val="none" w:sz="0" w:space="0" w:color="auto"/>
        <w:left w:val="none" w:sz="0" w:space="0" w:color="auto"/>
        <w:bottom w:val="none" w:sz="0" w:space="0" w:color="auto"/>
        <w:right w:val="none" w:sz="0" w:space="0" w:color="auto"/>
      </w:divBdr>
    </w:div>
    <w:div w:id="710688083">
      <w:bodyDiv w:val="1"/>
      <w:marLeft w:val="0"/>
      <w:marRight w:val="0"/>
      <w:marTop w:val="0"/>
      <w:marBottom w:val="0"/>
      <w:divBdr>
        <w:top w:val="none" w:sz="0" w:space="0" w:color="auto"/>
        <w:left w:val="none" w:sz="0" w:space="0" w:color="auto"/>
        <w:bottom w:val="none" w:sz="0" w:space="0" w:color="auto"/>
        <w:right w:val="none" w:sz="0" w:space="0" w:color="auto"/>
      </w:divBdr>
    </w:div>
    <w:div w:id="818156063">
      <w:bodyDiv w:val="1"/>
      <w:marLeft w:val="0"/>
      <w:marRight w:val="0"/>
      <w:marTop w:val="0"/>
      <w:marBottom w:val="0"/>
      <w:divBdr>
        <w:top w:val="none" w:sz="0" w:space="0" w:color="auto"/>
        <w:left w:val="none" w:sz="0" w:space="0" w:color="auto"/>
        <w:bottom w:val="none" w:sz="0" w:space="0" w:color="auto"/>
        <w:right w:val="none" w:sz="0" w:space="0" w:color="auto"/>
      </w:divBdr>
    </w:div>
    <w:div w:id="843861382">
      <w:bodyDiv w:val="1"/>
      <w:marLeft w:val="0"/>
      <w:marRight w:val="0"/>
      <w:marTop w:val="0"/>
      <w:marBottom w:val="0"/>
      <w:divBdr>
        <w:top w:val="none" w:sz="0" w:space="0" w:color="auto"/>
        <w:left w:val="none" w:sz="0" w:space="0" w:color="auto"/>
        <w:bottom w:val="none" w:sz="0" w:space="0" w:color="auto"/>
        <w:right w:val="none" w:sz="0" w:space="0" w:color="auto"/>
      </w:divBdr>
    </w:div>
    <w:div w:id="929197621">
      <w:bodyDiv w:val="1"/>
      <w:marLeft w:val="0"/>
      <w:marRight w:val="0"/>
      <w:marTop w:val="0"/>
      <w:marBottom w:val="0"/>
      <w:divBdr>
        <w:top w:val="none" w:sz="0" w:space="0" w:color="auto"/>
        <w:left w:val="none" w:sz="0" w:space="0" w:color="auto"/>
        <w:bottom w:val="none" w:sz="0" w:space="0" w:color="auto"/>
        <w:right w:val="none" w:sz="0" w:space="0" w:color="auto"/>
      </w:divBdr>
    </w:div>
    <w:div w:id="957416125">
      <w:bodyDiv w:val="1"/>
      <w:marLeft w:val="0"/>
      <w:marRight w:val="0"/>
      <w:marTop w:val="0"/>
      <w:marBottom w:val="0"/>
      <w:divBdr>
        <w:top w:val="none" w:sz="0" w:space="0" w:color="auto"/>
        <w:left w:val="none" w:sz="0" w:space="0" w:color="auto"/>
        <w:bottom w:val="none" w:sz="0" w:space="0" w:color="auto"/>
        <w:right w:val="none" w:sz="0" w:space="0" w:color="auto"/>
      </w:divBdr>
    </w:div>
    <w:div w:id="1041393518">
      <w:bodyDiv w:val="1"/>
      <w:marLeft w:val="0"/>
      <w:marRight w:val="0"/>
      <w:marTop w:val="0"/>
      <w:marBottom w:val="0"/>
      <w:divBdr>
        <w:top w:val="none" w:sz="0" w:space="0" w:color="auto"/>
        <w:left w:val="none" w:sz="0" w:space="0" w:color="auto"/>
        <w:bottom w:val="none" w:sz="0" w:space="0" w:color="auto"/>
        <w:right w:val="none" w:sz="0" w:space="0" w:color="auto"/>
      </w:divBdr>
    </w:div>
    <w:div w:id="1151171474">
      <w:bodyDiv w:val="1"/>
      <w:marLeft w:val="0"/>
      <w:marRight w:val="0"/>
      <w:marTop w:val="0"/>
      <w:marBottom w:val="0"/>
      <w:divBdr>
        <w:top w:val="none" w:sz="0" w:space="0" w:color="auto"/>
        <w:left w:val="none" w:sz="0" w:space="0" w:color="auto"/>
        <w:bottom w:val="none" w:sz="0" w:space="0" w:color="auto"/>
        <w:right w:val="none" w:sz="0" w:space="0" w:color="auto"/>
      </w:divBdr>
    </w:div>
    <w:div w:id="1301106230">
      <w:bodyDiv w:val="1"/>
      <w:marLeft w:val="0"/>
      <w:marRight w:val="0"/>
      <w:marTop w:val="0"/>
      <w:marBottom w:val="0"/>
      <w:divBdr>
        <w:top w:val="none" w:sz="0" w:space="0" w:color="auto"/>
        <w:left w:val="none" w:sz="0" w:space="0" w:color="auto"/>
        <w:bottom w:val="none" w:sz="0" w:space="0" w:color="auto"/>
        <w:right w:val="none" w:sz="0" w:space="0" w:color="auto"/>
      </w:divBdr>
    </w:div>
    <w:div w:id="1307663978">
      <w:bodyDiv w:val="1"/>
      <w:marLeft w:val="0"/>
      <w:marRight w:val="0"/>
      <w:marTop w:val="0"/>
      <w:marBottom w:val="0"/>
      <w:divBdr>
        <w:top w:val="none" w:sz="0" w:space="0" w:color="auto"/>
        <w:left w:val="none" w:sz="0" w:space="0" w:color="auto"/>
        <w:bottom w:val="none" w:sz="0" w:space="0" w:color="auto"/>
        <w:right w:val="none" w:sz="0" w:space="0" w:color="auto"/>
      </w:divBdr>
    </w:div>
    <w:div w:id="1370882400">
      <w:bodyDiv w:val="1"/>
      <w:marLeft w:val="0"/>
      <w:marRight w:val="0"/>
      <w:marTop w:val="0"/>
      <w:marBottom w:val="0"/>
      <w:divBdr>
        <w:top w:val="none" w:sz="0" w:space="0" w:color="auto"/>
        <w:left w:val="none" w:sz="0" w:space="0" w:color="auto"/>
        <w:bottom w:val="none" w:sz="0" w:space="0" w:color="auto"/>
        <w:right w:val="none" w:sz="0" w:space="0" w:color="auto"/>
      </w:divBdr>
    </w:div>
    <w:div w:id="1374117328">
      <w:bodyDiv w:val="1"/>
      <w:marLeft w:val="0"/>
      <w:marRight w:val="0"/>
      <w:marTop w:val="0"/>
      <w:marBottom w:val="0"/>
      <w:divBdr>
        <w:top w:val="none" w:sz="0" w:space="0" w:color="auto"/>
        <w:left w:val="none" w:sz="0" w:space="0" w:color="auto"/>
        <w:bottom w:val="none" w:sz="0" w:space="0" w:color="auto"/>
        <w:right w:val="none" w:sz="0" w:space="0" w:color="auto"/>
      </w:divBdr>
    </w:div>
    <w:div w:id="1477530141">
      <w:bodyDiv w:val="1"/>
      <w:marLeft w:val="0"/>
      <w:marRight w:val="0"/>
      <w:marTop w:val="0"/>
      <w:marBottom w:val="0"/>
      <w:divBdr>
        <w:top w:val="none" w:sz="0" w:space="0" w:color="auto"/>
        <w:left w:val="none" w:sz="0" w:space="0" w:color="auto"/>
        <w:bottom w:val="none" w:sz="0" w:space="0" w:color="auto"/>
        <w:right w:val="none" w:sz="0" w:space="0" w:color="auto"/>
      </w:divBdr>
    </w:div>
    <w:div w:id="1498377067">
      <w:bodyDiv w:val="1"/>
      <w:marLeft w:val="0"/>
      <w:marRight w:val="0"/>
      <w:marTop w:val="0"/>
      <w:marBottom w:val="0"/>
      <w:divBdr>
        <w:top w:val="none" w:sz="0" w:space="0" w:color="auto"/>
        <w:left w:val="none" w:sz="0" w:space="0" w:color="auto"/>
        <w:bottom w:val="none" w:sz="0" w:space="0" w:color="auto"/>
        <w:right w:val="none" w:sz="0" w:space="0" w:color="auto"/>
      </w:divBdr>
    </w:div>
    <w:div w:id="1514109075">
      <w:bodyDiv w:val="1"/>
      <w:marLeft w:val="0"/>
      <w:marRight w:val="0"/>
      <w:marTop w:val="0"/>
      <w:marBottom w:val="0"/>
      <w:divBdr>
        <w:top w:val="none" w:sz="0" w:space="0" w:color="auto"/>
        <w:left w:val="none" w:sz="0" w:space="0" w:color="auto"/>
        <w:bottom w:val="none" w:sz="0" w:space="0" w:color="auto"/>
        <w:right w:val="none" w:sz="0" w:space="0" w:color="auto"/>
      </w:divBdr>
    </w:div>
    <w:div w:id="1608610614">
      <w:bodyDiv w:val="1"/>
      <w:marLeft w:val="0"/>
      <w:marRight w:val="0"/>
      <w:marTop w:val="0"/>
      <w:marBottom w:val="0"/>
      <w:divBdr>
        <w:top w:val="none" w:sz="0" w:space="0" w:color="auto"/>
        <w:left w:val="none" w:sz="0" w:space="0" w:color="auto"/>
        <w:bottom w:val="none" w:sz="0" w:space="0" w:color="auto"/>
        <w:right w:val="none" w:sz="0" w:space="0" w:color="auto"/>
      </w:divBdr>
    </w:div>
    <w:div w:id="1821724370">
      <w:bodyDiv w:val="1"/>
      <w:marLeft w:val="0"/>
      <w:marRight w:val="0"/>
      <w:marTop w:val="0"/>
      <w:marBottom w:val="0"/>
      <w:divBdr>
        <w:top w:val="none" w:sz="0" w:space="0" w:color="auto"/>
        <w:left w:val="none" w:sz="0" w:space="0" w:color="auto"/>
        <w:bottom w:val="none" w:sz="0" w:space="0" w:color="auto"/>
        <w:right w:val="none" w:sz="0" w:space="0" w:color="auto"/>
      </w:divBdr>
    </w:div>
    <w:div w:id="1832014971">
      <w:bodyDiv w:val="1"/>
      <w:marLeft w:val="0"/>
      <w:marRight w:val="0"/>
      <w:marTop w:val="0"/>
      <w:marBottom w:val="0"/>
      <w:divBdr>
        <w:top w:val="none" w:sz="0" w:space="0" w:color="auto"/>
        <w:left w:val="none" w:sz="0" w:space="0" w:color="auto"/>
        <w:bottom w:val="none" w:sz="0" w:space="0" w:color="auto"/>
        <w:right w:val="none" w:sz="0" w:space="0" w:color="auto"/>
      </w:divBdr>
    </w:div>
    <w:div w:id="1953973634">
      <w:bodyDiv w:val="1"/>
      <w:marLeft w:val="0"/>
      <w:marRight w:val="0"/>
      <w:marTop w:val="0"/>
      <w:marBottom w:val="0"/>
      <w:divBdr>
        <w:top w:val="none" w:sz="0" w:space="0" w:color="auto"/>
        <w:left w:val="none" w:sz="0" w:space="0" w:color="auto"/>
        <w:bottom w:val="none" w:sz="0" w:space="0" w:color="auto"/>
        <w:right w:val="none" w:sz="0" w:space="0" w:color="auto"/>
      </w:divBdr>
    </w:div>
    <w:div w:id="1984583409">
      <w:bodyDiv w:val="1"/>
      <w:marLeft w:val="0"/>
      <w:marRight w:val="0"/>
      <w:marTop w:val="0"/>
      <w:marBottom w:val="0"/>
      <w:divBdr>
        <w:top w:val="none" w:sz="0" w:space="0" w:color="auto"/>
        <w:left w:val="none" w:sz="0" w:space="0" w:color="auto"/>
        <w:bottom w:val="none" w:sz="0" w:space="0" w:color="auto"/>
        <w:right w:val="none" w:sz="0" w:space="0" w:color="auto"/>
      </w:divBdr>
    </w:div>
    <w:div w:id="2006975198">
      <w:bodyDiv w:val="1"/>
      <w:marLeft w:val="0"/>
      <w:marRight w:val="0"/>
      <w:marTop w:val="0"/>
      <w:marBottom w:val="0"/>
      <w:divBdr>
        <w:top w:val="none" w:sz="0" w:space="0" w:color="auto"/>
        <w:left w:val="none" w:sz="0" w:space="0" w:color="auto"/>
        <w:bottom w:val="none" w:sz="0" w:space="0" w:color="auto"/>
        <w:right w:val="none" w:sz="0" w:space="0" w:color="auto"/>
      </w:divBdr>
    </w:div>
    <w:div w:id="2095517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newgtlds.icann.org/en/about/trademark-clearinghouse/summary-iag-input-26sep1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1995</Words>
  <Characters>11374</Characters>
  <Application>Microsoft Macintosh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Category 3 -- TMCH Charter Questions - Document review V. 2 (01022970).DOCX</vt:lpstr>
    </vt:vector>
  </TitlesOfParts>
  <Company>Hewlett-Packard Company</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 TMCH Charter Questions - Document review V. 2 (01022970).DOCX</dc:title>
  <dc:subject>01022970-1 /font=6</dc:subject>
  <dc:creator>Mary Wong</dc:creator>
  <cp:keywords/>
  <dc:description/>
  <cp:lastModifiedBy>Mary Wong</cp:lastModifiedBy>
  <cp:revision>3</cp:revision>
  <cp:lastPrinted>2017-02-28T17:12:00Z</cp:lastPrinted>
  <dcterms:created xsi:type="dcterms:W3CDTF">2017-03-05T22:05:00Z</dcterms:created>
  <dcterms:modified xsi:type="dcterms:W3CDTF">2017-03-05T22:19:00Z</dcterms:modified>
</cp:coreProperties>
</file>