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165E" w14:textId="738BFFBC" w:rsidR="00695507" w:rsidRPr="00695507" w:rsidRDefault="00695507" w:rsidP="00695507">
      <w:pPr>
        <w:widowControl w:val="0"/>
        <w:pBdr>
          <w:bottom w:val="single" w:sz="6" w:space="1" w:color="auto"/>
        </w:pBdr>
        <w:autoSpaceDE w:val="0"/>
        <w:autoSpaceDN w:val="0"/>
        <w:adjustRightInd w:val="0"/>
        <w:rPr>
          <w:rFonts w:ascii="Calibri" w:hAnsi="Calibri" w:cs="Calibri"/>
          <w:b/>
          <w:sz w:val="22"/>
          <w:szCs w:val="22"/>
        </w:rPr>
      </w:pPr>
      <w:bookmarkStart w:id="0" w:name="_GoBack"/>
      <w:bookmarkEnd w:id="0"/>
      <w:r w:rsidRPr="00695507">
        <w:rPr>
          <w:rFonts w:ascii="Calibri" w:hAnsi="Calibri" w:cs="Calibri"/>
          <w:b/>
          <w:sz w:val="22"/>
          <w:szCs w:val="22"/>
        </w:rPr>
        <w:t>V5.0 showing Combined tables from GNSO and ALAC</w:t>
      </w:r>
      <w:r w:rsidRPr="00695507">
        <w:rPr>
          <w:rFonts w:ascii="Calibri" w:hAnsi="Calibri" w:cs="Calibri"/>
          <w:b/>
          <w:sz w:val="22"/>
          <w:szCs w:val="22"/>
        </w:rPr>
        <w:tab/>
      </w:r>
      <w:r w:rsidRPr="00695507">
        <w:rPr>
          <w:rFonts w:ascii="Calibri" w:hAnsi="Calibri" w:cs="Calibri"/>
          <w:b/>
          <w:sz w:val="22"/>
          <w:szCs w:val="22"/>
        </w:rPr>
        <w:tab/>
      </w:r>
      <w:r w:rsidR="003C6070">
        <w:rPr>
          <w:rFonts w:ascii="Calibri" w:hAnsi="Calibri" w:cs="Calibri"/>
          <w:b/>
          <w:sz w:val="22"/>
          <w:szCs w:val="22"/>
        </w:rPr>
        <w:tab/>
        <w:t>IAG-CCT</w:t>
      </w:r>
      <w:r w:rsidR="003C6070">
        <w:rPr>
          <w:rFonts w:ascii="Calibri" w:hAnsi="Calibri" w:cs="Calibri"/>
          <w:b/>
          <w:sz w:val="22"/>
          <w:szCs w:val="22"/>
        </w:rPr>
        <w:tab/>
      </w:r>
      <w:r w:rsidR="003C6070">
        <w:rPr>
          <w:rFonts w:ascii="Calibri" w:hAnsi="Calibri" w:cs="Calibri"/>
          <w:b/>
          <w:sz w:val="22"/>
          <w:szCs w:val="22"/>
        </w:rPr>
        <w:tab/>
      </w:r>
      <w:r w:rsidR="003C6070">
        <w:rPr>
          <w:rFonts w:ascii="Calibri" w:hAnsi="Calibri" w:cs="Calibri"/>
          <w:b/>
          <w:sz w:val="22"/>
          <w:szCs w:val="22"/>
        </w:rPr>
        <w:tab/>
      </w:r>
      <w:r w:rsidRPr="00695507">
        <w:rPr>
          <w:rFonts w:ascii="Calibri" w:hAnsi="Calibri" w:cs="Calibri"/>
          <w:b/>
          <w:sz w:val="22"/>
          <w:szCs w:val="22"/>
        </w:rPr>
        <w:tab/>
      </w:r>
      <w:r w:rsidRPr="00695507">
        <w:rPr>
          <w:rFonts w:ascii="Calibri" w:hAnsi="Calibri" w:cs="Calibri"/>
          <w:b/>
          <w:sz w:val="22"/>
          <w:szCs w:val="22"/>
        </w:rPr>
        <w:tab/>
      </w:r>
      <w:r w:rsidR="00751547">
        <w:rPr>
          <w:rFonts w:ascii="Calibri" w:hAnsi="Calibri" w:cs="Calibri"/>
          <w:b/>
          <w:sz w:val="22"/>
          <w:szCs w:val="22"/>
        </w:rPr>
        <w:t>Updated: 10 Sept. 2014</w:t>
      </w:r>
    </w:p>
    <w:p w14:paraId="0A750718" w14:textId="77777777" w:rsidR="003C6070" w:rsidRDefault="003C6070" w:rsidP="00D00805">
      <w:pPr>
        <w:widowControl w:val="0"/>
        <w:autoSpaceDE w:val="0"/>
        <w:autoSpaceDN w:val="0"/>
        <w:adjustRightInd w:val="0"/>
        <w:rPr>
          <w:rFonts w:ascii="Calibri" w:hAnsi="Calibri" w:cs="Calibri"/>
          <w:sz w:val="22"/>
          <w:szCs w:val="22"/>
        </w:rPr>
      </w:pPr>
    </w:p>
    <w:p w14:paraId="469DC968" w14:textId="77777777" w:rsidR="003B3E2A" w:rsidRDefault="00034BA0" w:rsidP="00D00805">
      <w:pPr>
        <w:widowControl w:val="0"/>
        <w:autoSpaceDE w:val="0"/>
        <w:autoSpaceDN w:val="0"/>
        <w:adjustRightInd w:val="0"/>
        <w:rPr>
          <w:rFonts w:ascii="Calibri" w:hAnsi="Calibri" w:cs="Calibri"/>
          <w:sz w:val="22"/>
          <w:szCs w:val="22"/>
        </w:rPr>
      </w:pPr>
      <w:r>
        <w:rPr>
          <w:rFonts w:ascii="Calibri" w:hAnsi="Calibri" w:cs="Calibri"/>
          <w:sz w:val="22"/>
          <w:szCs w:val="22"/>
        </w:rPr>
        <w:t>V</w:t>
      </w:r>
      <w:r w:rsidR="00BD723B">
        <w:rPr>
          <w:rFonts w:ascii="Calibri" w:hAnsi="Calibri" w:cs="Calibri"/>
          <w:sz w:val="22"/>
          <w:szCs w:val="22"/>
        </w:rPr>
        <w:t>4</w:t>
      </w:r>
      <w:r>
        <w:rPr>
          <w:rFonts w:ascii="Calibri" w:hAnsi="Calibri" w:cs="Calibri"/>
          <w:sz w:val="22"/>
          <w:szCs w:val="22"/>
        </w:rPr>
        <w:t>.</w:t>
      </w:r>
      <w:r w:rsidR="00BD723B">
        <w:rPr>
          <w:rFonts w:ascii="Calibri" w:hAnsi="Calibri" w:cs="Calibri"/>
          <w:sz w:val="22"/>
          <w:szCs w:val="22"/>
        </w:rPr>
        <w:t>0</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874E5D">
        <w:rPr>
          <w:rFonts w:ascii="Calibri" w:hAnsi="Calibri" w:cs="Calibri"/>
          <w:sz w:val="22"/>
          <w:szCs w:val="22"/>
        </w:rPr>
        <w:t>5</w:t>
      </w:r>
      <w:r w:rsidR="00D76D2B">
        <w:rPr>
          <w:rFonts w:ascii="Calibri" w:hAnsi="Calibri" w:cs="Calibri"/>
          <w:sz w:val="22"/>
          <w:szCs w:val="22"/>
        </w:rPr>
        <w:t>-</w:t>
      </w:r>
      <w:r w:rsidR="00BD723B">
        <w:rPr>
          <w:rFonts w:ascii="Calibri" w:hAnsi="Calibri" w:cs="Calibri"/>
          <w:sz w:val="22"/>
          <w:szCs w:val="22"/>
        </w:rPr>
        <w:t>December</w:t>
      </w:r>
      <w:r w:rsidR="00D76D2B">
        <w:rPr>
          <w:rFonts w:ascii="Calibri" w:hAnsi="Calibri" w:cs="Calibri"/>
          <w:sz w:val="22"/>
          <w:szCs w:val="22"/>
        </w:rPr>
        <w:t>-2012</w:t>
      </w:r>
    </w:p>
    <w:p w14:paraId="2E4482A2" w14:textId="77777777" w:rsidR="003B3E2A" w:rsidRDefault="003B3E2A" w:rsidP="003B3E2A">
      <w:pPr>
        <w:widowControl w:val="0"/>
        <w:autoSpaceDE w:val="0"/>
        <w:autoSpaceDN w:val="0"/>
        <w:adjustRightInd w:val="0"/>
        <w:jc w:val="right"/>
        <w:rPr>
          <w:rFonts w:ascii="Calibri" w:hAnsi="Calibri" w:cs="Calibri"/>
          <w:sz w:val="22"/>
          <w:szCs w:val="22"/>
        </w:rPr>
      </w:pPr>
    </w:p>
    <w:p w14:paraId="15545141" w14:textId="77777777"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14:paraId="5EBDDA44" w14:textId="77777777" w:rsidR="002E7E35" w:rsidRDefault="00147451" w:rsidP="00D76D2B">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rPr>
        <w:t xml:space="preserve">regarding </w:t>
      </w:r>
      <w:r w:rsidRPr="00D76D2B">
        <w:rPr>
          <w:rFonts w:ascii="Calibri" w:hAnsi="Calibri" w:cs="Calibri"/>
          <w:b/>
          <w:sz w:val="22"/>
          <w:szCs w:val="22"/>
          <w:lang w:val="en-GB"/>
        </w:rPr>
        <w:t xml:space="preserve">definitions, measures, and targets </w:t>
      </w:r>
    </w:p>
    <w:p w14:paraId="346B50A0" w14:textId="77777777" w:rsidR="00147451" w:rsidRPr="007D0AF0" w:rsidRDefault="00147451" w:rsidP="007D0AF0">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lang w:val="en-GB"/>
        </w:rPr>
        <w:t xml:space="preserve">for competition, consumer trust and consumer choice </w:t>
      </w:r>
    </w:p>
    <w:p w14:paraId="1400CF83" w14:textId="5DBC1326" w:rsidR="00147451" w:rsidRDefault="005F5FF7" w:rsidP="005F5FF7">
      <w:pPr>
        <w:widowControl w:val="0"/>
        <w:tabs>
          <w:tab w:val="left" w:pos="10124"/>
        </w:tabs>
        <w:autoSpaceDE w:val="0"/>
        <w:autoSpaceDN w:val="0"/>
        <w:adjustRightInd w:val="0"/>
        <w:rPr>
          <w:rFonts w:ascii="Calibri" w:hAnsi="Calibri" w:cs="Calibri"/>
          <w:sz w:val="22"/>
          <w:szCs w:val="22"/>
        </w:rPr>
      </w:pPr>
      <w:r>
        <w:rPr>
          <w:rFonts w:ascii="Calibri" w:hAnsi="Calibri" w:cs="Calibri"/>
          <w:sz w:val="22"/>
          <w:szCs w:val="22"/>
        </w:rPr>
        <w:tab/>
      </w:r>
    </w:p>
    <w:p w14:paraId="7E258FB4" w14:textId="77777777"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0206F8A9" w14:textId="77777777" w:rsidR="003B3E2A"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for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r w:rsidR="0057243E">
        <w:rPr>
          <w:rFonts w:ascii="Calibri" w:hAnsi="Calibri" w:cs="Calibri"/>
          <w:sz w:val="22"/>
          <w:szCs w:val="22"/>
        </w:rPr>
        <w:t>ccNSO, and GNSO consideration</w:t>
      </w:r>
      <w:r>
        <w:rPr>
          <w:rFonts w:ascii="Calibri" w:hAnsi="Calibri" w:cs="Calibri"/>
          <w:sz w:val="22"/>
          <w:szCs w:val="22"/>
        </w:rPr>
        <w:t xml:space="preserve"> </w:t>
      </w:r>
    </w:p>
    <w:p w14:paraId="607E2011" w14:textId="77777777" w:rsidR="00D76D2B" w:rsidRDefault="00D76D2B" w:rsidP="00D76D2B">
      <w:pPr>
        <w:widowControl w:val="0"/>
        <w:autoSpaceDE w:val="0"/>
        <w:autoSpaceDN w:val="0"/>
        <w:adjustRightInd w:val="0"/>
        <w:jc w:val="center"/>
        <w:rPr>
          <w:rFonts w:ascii="Calibri" w:hAnsi="Calibri" w:cs="Calibri"/>
          <w:sz w:val="22"/>
          <w:szCs w:val="22"/>
        </w:rPr>
      </w:pPr>
    </w:p>
    <w:p w14:paraId="61A1209D" w14:textId="77777777"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D6D2237" w14:textId="77777777" w:rsidR="0044303F" w:rsidRDefault="0044303F" w:rsidP="0070200A">
      <w:pPr>
        <w:widowControl w:val="0"/>
        <w:autoSpaceDE w:val="0"/>
        <w:autoSpaceDN w:val="0"/>
        <w:adjustRightInd w:val="0"/>
        <w:rPr>
          <w:rFonts w:ascii="Calibri" w:hAnsi="Calibri" w:cs="Calibri"/>
          <w:sz w:val="22"/>
          <w:szCs w:val="22"/>
          <w:lang w:val="en-GB"/>
        </w:rPr>
      </w:pPr>
    </w:p>
    <w:p w14:paraId="5EC6897F" w14:textId="77777777"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14:paraId="0195AE2C" w14:textId="77777777" w:rsidR="00166DCD" w:rsidRDefault="00166DCD" w:rsidP="0070200A">
      <w:pPr>
        <w:widowControl w:val="0"/>
        <w:autoSpaceDE w:val="0"/>
        <w:autoSpaceDN w:val="0"/>
        <w:adjustRightInd w:val="0"/>
        <w:rPr>
          <w:rFonts w:ascii="Calibri" w:hAnsi="Calibri" w:cs="Calibri"/>
          <w:sz w:val="22"/>
          <w:szCs w:val="22"/>
          <w:lang w:val="en-GB"/>
        </w:rPr>
      </w:pPr>
    </w:p>
    <w:p w14:paraId="66478A13"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6188EEAA" w14:textId="77777777" w:rsidR="00166DCD" w:rsidRDefault="00166DCD" w:rsidP="0070200A">
      <w:pPr>
        <w:widowControl w:val="0"/>
        <w:autoSpaceDE w:val="0"/>
        <w:autoSpaceDN w:val="0"/>
        <w:adjustRightInd w:val="0"/>
        <w:rPr>
          <w:rFonts w:ascii="Calibri" w:hAnsi="Calibri" w:cs="Calibri"/>
          <w:sz w:val="22"/>
          <w:szCs w:val="22"/>
          <w:lang w:val="en-GB"/>
        </w:rPr>
      </w:pPr>
    </w:p>
    <w:p w14:paraId="5D38ED69" w14:textId="77777777"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6BF8C66F" w14:textId="77777777" w:rsidR="0070200A" w:rsidRDefault="0070200A" w:rsidP="0070200A">
      <w:pPr>
        <w:widowControl w:val="0"/>
        <w:autoSpaceDE w:val="0"/>
        <w:autoSpaceDN w:val="0"/>
        <w:adjustRightInd w:val="0"/>
        <w:rPr>
          <w:rFonts w:ascii="Calibri" w:hAnsi="Calibri" w:cs="Calibri"/>
          <w:sz w:val="22"/>
          <w:szCs w:val="22"/>
          <w:lang w:val="en-GB"/>
        </w:rPr>
      </w:pPr>
    </w:p>
    <w:p w14:paraId="41E182BD"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03617497"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CC275DC" w14:textId="77777777"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14:paraId="5B304AD1" w14:textId="77777777" w:rsidR="00646CE3" w:rsidRDefault="00646CE3" w:rsidP="00646CE3">
      <w:pPr>
        <w:widowControl w:val="0"/>
        <w:autoSpaceDE w:val="0"/>
        <w:autoSpaceDN w:val="0"/>
        <w:adjustRightInd w:val="0"/>
        <w:rPr>
          <w:rFonts w:ascii="Calibri" w:hAnsi="Calibri" w:cs="Calibri"/>
          <w:sz w:val="22"/>
          <w:szCs w:val="22"/>
          <w:lang w:val="en-GB"/>
        </w:rPr>
      </w:pPr>
    </w:p>
    <w:p w14:paraId="66B32238" w14:textId="77777777"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request advice from the ALAC, GAC, GNSO and ccNSO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14:paraId="0134A693" w14:textId="77777777" w:rsidR="0070200A" w:rsidRPr="003611B7" w:rsidRDefault="0070200A" w:rsidP="0070200A">
      <w:pPr>
        <w:widowControl w:val="0"/>
        <w:autoSpaceDE w:val="0"/>
        <w:autoSpaceDN w:val="0"/>
        <w:adjustRightInd w:val="0"/>
        <w:rPr>
          <w:rFonts w:ascii="Calibri" w:hAnsi="Calibri" w:cs="Calibri"/>
          <w:sz w:val="22"/>
          <w:szCs w:val="22"/>
        </w:rPr>
      </w:pPr>
    </w:p>
    <w:p w14:paraId="5BE6FBEA"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14:paraId="475B27C9"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0F121EEB"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4538C921"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88D3D3" w14:textId="77777777"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ccNSO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52332183" w14:textId="77777777" w:rsidR="00890A94" w:rsidRDefault="00890A94" w:rsidP="0070200A">
      <w:pPr>
        <w:widowControl w:val="0"/>
        <w:autoSpaceDE w:val="0"/>
        <w:autoSpaceDN w:val="0"/>
        <w:adjustRightInd w:val="0"/>
        <w:ind w:left="720"/>
        <w:rPr>
          <w:rFonts w:ascii="Calibri" w:hAnsi="Calibri" w:cs="Calibri"/>
          <w:sz w:val="22"/>
          <w:szCs w:val="22"/>
        </w:rPr>
      </w:pPr>
    </w:p>
    <w:p w14:paraId="0E9992F5" w14:textId="77777777"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oard resolution, community members in the GNSO, ccNSO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34A777DA" w14:textId="77777777" w:rsidR="00BE1189" w:rsidRDefault="00BE1189" w:rsidP="0070200A">
      <w:pPr>
        <w:widowControl w:val="0"/>
        <w:autoSpaceDE w:val="0"/>
        <w:autoSpaceDN w:val="0"/>
        <w:adjustRightInd w:val="0"/>
        <w:rPr>
          <w:rFonts w:ascii="Calibri" w:hAnsi="Calibri" w:cs="Calibri"/>
          <w:sz w:val="22"/>
          <w:szCs w:val="22"/>
        </w:rPr>
      </w:pPr>
    </w:p>
    <w:p w14:paraId="17ADBE8A" w14:textId="77777777"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r w:rsidR="00503D46">
        <w:rPr>
          <w:rFonts w:ascii="Calibri" w:hAnsi="Calibri" w:cs="Calibri"/>
          <w:sz w:val="22"/>
          <w:szCs w:val="22"/>
        </w:rPr>
        <w:t xml:space="preserve">was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ccNSO,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GNSO, ccNSO,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14:paraId="7F736D86" w14:textId="77777777" w:rsidR="00BE1189" w:rsidRDefault="00BE1189" w:rsidP="0070200A">
      <w:pPr>
        <w:widowControl w:val="0"/>
        <w:autoSpaceDE w:val="0"/>
        <w:autoSpaceDN w:val="0"/>
        <w:adjustRightInd w:val="0"/>
        <w:rPr>
          <w:rFonts w:ascii="Calibri" w:hAnsi="Calibri" w:cs="Calibri"/>
          <w:b/>
          <w:bCs/>
          <w:i/>
          <w:iCs/>
          <w:sz w:val="22"/>
          <w:szCs w:val="22"/>
        </w:rPr>
      </w:pPr>
    </w:p>
    <w:p w14:paraId="0A3DB321" w14:textId="77777777"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14:paraId="7C0DBFCB" w14:textId="77777777" w:rsidR="007C26A9" w:rsidRDefault="007C26A9" w:rsidP="00806303">
      <w:pPr>
        <w:widowControl w:val="0"/>
        <w:autoSpaceDE w:val="0"/>
        <w:autoSpaceDN w:val="0"/>
        <w:adjustRightInd w:val="0"/>
        <w:rPr>
          <w:rFonts w:ascii="Calibri" w:hAnsi="Calibri" w:cs="Calibri"/>
          <w:sz w:val="22"/>
          <w:szCs w:val="22"/>
        </w:rPr>
      </w:pPr>
    </w:p>
    <w:p w14:paraId="3683C18A" w14:textId="77777777"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14:paraId="77A48918" w14:textId="77777777" w:rsidR="007C26A9" w:rsidRDefault="007C26A9" w:rsidP="00806303">
      <w:pPr>
        <w:widowControl w:val="0"/>
        <w:autoSpaceDE w:val="0"/>
        <w:autoSpaceDN w:val="0"/>
        <w:adjustRightInd w:val="0"/>
        <w:rPr>
          <w:rFonts w:ascii="Calibri" w:hAnsi="Calibri" w:cs="Calibri"/>
          <w:sz w:val="22"/>
          <w:szCs w:val="22"/>
        </w:rPr>
      </w:pPr>
    </w:p>
    <w:p w14:paraId="7E2C663C" w14:textId="77777777"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14:paraId="085B0A34" w14:textId="77777777" w:rsidR="000118A8" w:rsidRDefault="000118A8" w:rsidP="00A11FD0">
      <w:pPr>
        <w:widowControl w:val="0"/>
        <w:autoSpaceDE w:val="0"/>
        <w:autoSpaceDN w:val="0"/>
        <w:adjustRightInd w:val="0"/>
        <w:rPr>
          <w:rFonts w:ascii="Calibri" w:hAnsi="Calibri" w:cs="Calibri"/>
          <w:sz w:val="22"/>
          <w:szCs w:val="22"/>
        </w:rPr>
      </w:pPr>
    </w:p>
    <w:p w14:paraId="27A330DA" w14:textId="77777777"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14:paraId="3A95EB5F" w14:textId="77777777" w:rsidR="007E2787" w:rsidRDefault="007E2787" w:rsidP="00A11FD0">
      <w:pPr>
        <w:widowControl w:val="0"/>
        <w:autoSpaceDE w:val="0"/>
        <w:autoSpaceDN w:val="0"/>
        <w:adjustRightInd w:val="0"/>
        <w:rPr>
          <w:rFonts w:ascii="Calibri" w:hAnsi="Calibri" w:cs="Calibri"/>
          <w:sz w:val="22"/>
          <w:szCs w:val="22"/>
        </w:rPr>
      </w:pPr>
    </w:p>
    <w:p w14:paraId="24735CA0" w14:textId="77777777"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14:paraId="78B53A0B" w14:textId="77777777" w:rsidR="007669F2" w:rsidRDefault="007669F2" w:rsidP="00A11FD0">
      <w:pPr>
        <w:widowControl w:val="0"/>
        <w:autoSpaceDE w:val="0"/>
        <w:autoSpaceDN w:val="0"/>
        <w:adjustRightInd w:val="0"/>
        <w:rPr>
          <w:rFonts w:ascii="Calibri" w:hAnsi="Calibri" w:cs="Calibri"/>
          <w:sz w:val="22"/>
          <w:szCs w:val="22"/>
        </w:rPr>
      </w:pPr>
    </w:p>
    <w:p w14:paraId="5B80A29E" w14:textId="77777777"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14:paraId="70EB7384" w14:textId="77777777" w:rsidR="002E6740" w:rsidRDefault="002E6740" w:rsidP="00A11FD0">
      <w:pPr>
        <w:widowControl w:val="0"/>
        <w:autoSpaceDE w:val="0"/>
        <w:autoSpaceDN w:val="0"/>
        <w:adjustRightInd w:val="0"/>
        <w:rPr>
          <w:rFonts w:ascii="Calibri" w:hAnsi="Calibri" w:cs="Calibri"/>
          <w:sz w:val="22"/>
          <w:szCs w:val="22"/>
        </w:rPr>
      </w:pPr>
    </w:p>
    <w:p w14:paraId="13BB9348" w14:textId="77777777"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14:paraId="1E0DDC3E" w14:textId="77777777" w:rsidR="001A66B0" w:rsidRDefault="001A66B0" w:rsidP="001A66B0">
      <w:pPr>
        <w:widowControl w:val="0"/>
        <w:autoSpaceDE w:val="0"/>
        <w:autoSpaceDN w:val="0"/>
        <w:adjustRightInd w:val="0"/>
        <w:rPr>
          <w:rFonts w:ascii="Calibri" w:hAnsi="Calibri" w:cs="Calibri"/>
          <w:sz w:val="22"/>
          <w:szCs w:val="22"/>
        </w:rPr>
      </w:pPr>
    </w:p>
    <w:p w14:paraId="14C6FB03" w14:textId="77777777"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14:paraId="30985651" w14:textId="77777777" w:rsidR="00343FD0" w:rsidRDefault="00343FD0" w:rsidP="001A66B0">
      <w:pPr>
        <w:widowControl w:val="0"/>
        <w:autoSpaceDE w:val="0"/>
        <w:autoSpaceDN w:val="0"/>
        <w:adjustRightInd w:val="0"/>
        <w:rPr>
          <w:rFonts w:ascii="Calibri" w:hAnsi="Calibri" w:cs="Calibri"/>
          <w:sz w:val="22"/>
          <w:szCs w:val="22"/>
        </w:rPr>
      </w:pPr>
    </w:p>
    <w:p w14:paraId="5F342C0E" w14:textId="77777777"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14:paraId="6F8AEBA0" w14:textId="77777777" w:rsidR="001A66B0" w:rsidRPr="001A66B0" w:rsidRDefault="001A66B0" w:rsidP="001A66B0">
      <w:pPr>
        <w:widowControl w:val="0"/>
        <w:autoSpaceDE w:val="0"/>
        <w:autoSpaceDN w:val="0"/>
        <w:adjustRightInd w:val="0"/>
        <w:rPr>
          <w:rFonts w:ascii="Calibri" w:hAnsi="Calibri" w:cs="Calibri"/>
          <w:sz w:val="22"/>
          <w:szCs w:val="22"/>
        </w:rPr>
      </w:pPr>
    </w:p>
    <w:p w14:paraId="3F7E5176" w14:textId="77777777"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14:paraId="6C07EAEA" w14:textId="77777777" w:rsidR="00F10292" w:rsidRDefault="00F10292" w:rsidP="001A66B0">
      <w:pPr>
        <w:widowControl w:val="0"/>
        <w:autoSpaceDE w:val="0"/>
        <w:autoSpaceDN w:val="0"/>
        <w:adjustRightInd w:val="0"/>
        <w:rPr>
          <w:rFonts w:ascii="Calibri" w:hAnsi="Calibri" w:cs="Calibri"/>
          <w:sz w:val="22"/>
          <w:szCs w:val="22"/>
        </w:rPr>
      </w:pPr>
    </w:p>
    <w:p w14:paraId="06CC050D" w14:textId="77777777"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14:paraId="5BEA88E1" w14:textId="77777777" w:rsidR="001A66B0" w:rsidRDefault="001A66B0" w:rsidP="00D00805">
      <w:pPr>
        <w:widowControl w:val="0"/>
        <w:autoSpaceDE w:val="0"/>
        <w:autoSpaceDN w:val="0"/>
        <w:adjustRightInd w:val="0"/>
        <w:rPr>
          <w:rFonts w:ascii="Calibri" w:hAnsi="Calibri" w:cs="Calibri"/>
          <w:sz w:val="22"/>
          <w:szCs w:val="22"/>
        </w:rPr>
      </w:pPr>
    </w:p>
    <w:p w14:paraId="4F9212AD" w14:textId="77777777"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31E3691D" w14:textId="77777777" w:rsidR="0070200A" w:rsidRDefault="0070200A" w:rsidP="0070200A">
      <w:pPr>
        <w:widowControl w:val="0"/>
        <w:autoSpaceDE w:val="0"/>
        <w:autoSpaceDN w:val="0"/>
        <w:adjustRightInd w:val="0"/>
        <w:rPr>
          <w:rFonts w:ascii="Calibri" w:hAnsi="Calibri" w:cs="Calibri"/>
          <w:sz w:val="22"/>
          <w:szCs w:val="22"/>
        </w:rPr>
      </w:pPr>
    </w:p>
    <w:p w14:paraId="7C445772" w14:textId="77777777"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ALAC, CBUC, IPC, NCSG, RySG, RrSG, NCA</w:t>
      </w:r>
      <w:r w:rsidR="00A03BEE">
        <w:rPr>
          <w:rFonts w:ascii="Calibri" w:hAnsi="Calibri" w:cs="Calibri"/>
          <w:sz w:val="22"/>
          <w:szCs w:val="22"/>
          <w:lang w:val="en-GB"/>
        </w:rPr>
        <w:t xml:space="preserve"> groups, as well as individual participants.</w:t>
      </w:r>
    </w:p>
    <w:p w14:paraId="64DBAF6A" w14:textId="77777777" w:rsidR="001E58BB" w:rsidRDefault="001E58BB" w:rsidP="00D00805">
      <w:pPr>
        <w:widowControl w:val="0"/>
        <w:autoSpaceDE w:val="0"/>
        <w:autoSpaceDN w:val="0"/>
        <w:adjustRightInd w:val="0"/>
        <w:rPr>
          <w:rFonts w:ascii="Calibri" w:hAnsi="Calibri" w:cs="Calibri"/>
          <w:sz w:val="22"/>
          <w:szCs w:val="22"/>
        </w:rPr>
      </w:pPr>
    </w:p>
    <w:p w14:paraId="5AE57137" w14:textId="77777777"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r>
        <w:rPr>
          <w:rFonts w:ascii="Calibri" w:hAnsi="Calibri" w:cs="Calibri"/>
          <w:sz w:val="22"/>
          <w:szCs w:val="22"/>
        </w:rPr>
        <w:t>.</w:t>
      </w:r>
    </w:p>
    <w:p w14:paraId="2F35208D" w14:textId="77777777" w:rsidR="00EF3E94" w:rsidRDefault="00EF3E94" w:rsidP="00EF3E94">
      <w:pPr>
        <w:widowControl w:val="0"/>
        <w:autoSpaceDE w:val="0"/>
        <w:autoSpaceDN w:val="0"/>
        <w:adjustRightInd w:val="0"/>
        <w:rPr>
          <w:rFonts w:ascii="Calibri" w:hAnsi="Calibri" w:cs="Calibri"/>
          <w:sz w:val="22"/>
          <w:szCs w:val="22"/>
        </w:rPr>
      </w:pPr>
    </w:p>
    <w:p w14:paraId="242E8556" w14:textId="77777777"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14:paraId="27BDEBFE" w14:textId="77777777" w:rsidR="005526A1" w:rsidRDefault="005526A1" w:rsidP="0070200A">
      <w:pPr>
        <w:widowControl w:val="0"/>
        <w:autoSpaceDE w:val="0"/>
        <w:autoSpaceDN w:val="0"/>
        <w:adjustRightInd w:val="0"/>
        <w:rPr>
          <w:rFonts w:ascii="Calibri" w:hAnsi="Calibri" w:cs="Calibri"/>
          <w:sz w:val="22"/>
          <w:szCs w:val="22"/>
        </w:rPr>
      </w:pPr>
    </w:p>
    <w:p w14:paraId="3C132825" w14:textId="77777777"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14:paraId="45F7E81C" w14:textId="77777777" w:rsidR="005526A1" w:rsidRDefault="005526A1" w:rsidP="0070200A">
      <w:pPr>
        <w:widowControl w:val="0"/>
        <w:autoSpaceDE w:val="0"/>
        <w:autoSpaceDN w:val="0"/>
        <w:adjustRightInd w:val="0"/>
        <w:rPr>
          <w:rFonts w:ascii="Calibri" w:hAnsi="Calibri" w:cs="Calibri"/>
          <w:sz w:val="22"/>
          <w:szCs w:val="22"/>
        </w:rPr>
      </w:pPr>
    </w:p>
    <w:p w14:paraId="52905DC0" w14:textId="77777777"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14:paraId="076977F4" w14:textId="77777777" w:rsidR="005026D1" w:rsidRDefault="005026D1" w:rsidP="0070200A">
      <w:pPr>
        <w:widowControl w:val="0"/>
        <w:autoSpaceDE w:val="0"/>
        <w:autoSpaceDN w:val="0"/>
        <w:adjustRightInd w:val="0"/>
        <w:rPr>
          <w:rFonts w:ascii="Calibri" w:hAnsi="Calibri" w:cs="Calibri"/>
          <w:sz w:val="22"/>
          <w:szCs w:val="22"/>
        </w:rPr>
      </w:pPr>
    </w:p>
    <w:p w14:paraId="742B8003" w14:textId="77777777"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ccNSO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14:paraId="43DAF205" w14:textId="77777777" w:rsidR="005026D1" w:rsidRDefault="005026D1" w:rsidP="002F121F">
      <w:pPr>
        <w:widowControl w:val="0"/>
        <w:autoSpaceDE w:val="0"/>
        <w:autoSpaceDN w:val="0"/>
        <w:adjustRightInd w:val="0"/>
        <w:rPr>
          <w:rFonts w:ascii="Calibri" w:hAnsi="Calibri" w:cs="Calibri"/>
          <w:sz w:val="22"/>
          <w:szCs w:val="22"/>
        </w:rPr>
      </w:pPr>
    </w:p>
    <w:p w14:paraId="41837844" w14:textId="77777777" w:rsidR="001E58BB" w:rsidRDefault="0070200A" w:rsidP="003C6070">
      <w:pPr>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6BA9A95C" w14:textId="77777777" w:rsidR="002F121F" w:rsidRDefault="002F121F" w:rsidP="002F121F">
      <w:pPr>
        <w:widowControl w:val="0"/>
        <w:autoSpaceDE w:val="0"/>
        <w:autoSpaceDN w:val="0"/>
        <w:adjustRightInd w:val="0"/>
        <w:rPr>
          <w:rFonts w:ascii="Calibri" w:hAnsi="Calibri" w:cs="Calibri"/>
          <w:b/>
          <w:sz w:val="22"/>
          <w:szCs w:val="22"/>
        </w:rPr>
      </w:pPr>
    </w:p>
    <w:p w14:paraId="66D31466" w14:textId="77777777"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4AC26F2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202E62A4" w14:textId="77777777"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E8AE7A6" w14:textId="77777777" w:rsidR="007D6351" w:rsidRDefault="007D6351" w:rsidP="007D6351">
      <w:pPr>
        <w:widowControl w:val="0"/>
        <w:autoSpaceDE w:val="0"/>
        <w:autoSpaceDN w:val="0"/>
        <w:adjustRightInd w:val="0"/>
        <w:rPr>
          <w:rFonts w:ascii="Calibri" w:hAnsi="Calibri"/>
          <w:b/>
          <w:color w:val="000000"/>
          <w:sz w:val="22"/>
          <w:szCs w:val="22"/>
        </w:rPr>
      </w:pPr>
    </w:p>
    <w:p w14:paraId="21E59C61"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00ACFD40" w14:textId="77777777" w:rsidR="00F92288" w:rsidRDefault="00F92288" w:rsidP="007D6351">
      <w:pPr>
        <w:widowControl w:val="0"/>
        <w:autoSpaceDE w:val="0"/>
        <w:autoSpaceDN w:val="0"/>
        <w:adjustRightInd w:val="0"/>
        <w:rPr>
          <w:rFonts w:ascii="Calibri" w:hAnsi="Calibri"/>
          <w:color w:val="000000"/>
          <w:sz w:val="22"/>
          <w:szCs w:val="22"/>
        </w:rPr>
      </w:pPr>
    </w:p>
    <w:p w14:paraId="077C22B9" w14:textId="77777777"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404CB59A" w14:textId="77777777" w:rsidR="004B35DE" w:rsidRDefault="004B35DE" w:rsidP="007D6351">
      <w:pPr>
        <w:widowControl w:val="0"/>
        <w:autoSpaceDE w:val="0"/>
        <w:autoSpaceDN w:val="0"/>
        <w:adjustRightInd w:val="0"/>
        <w:rPr>
          <w:rFonts w:ascii="Calibri" w:hAnsi="Calibri"/>
          <w:color w:val="000000"/>
          <w:sz w:val="22"/>
          <w:szCs w:val="22"/>
        </w:rPr>
      </w:pPr>
    </w:p>
    <w:p w14:paraId="59DFA23C" w14:textId="77777777"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14:paraId="735FAC50"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38627512" w14:textId="77777777"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3431FEB1" w14:textId="77777777" w:rsidR="002F121F" w:rsidRPr="00AC4FF1" w:rsidRDefault="002F121F" w:rsidP="002F121F">
      <w:pPr>
        <w:widowControl w:val="0"/>
        <w:autoSpaceDE w:val="0"/>
        <w:autoSpaceDN w:val="0"/>
        <w:adjustRightInd w:val="0"/>
        <w:rPr>
          <w:rFonts w:ascii="Calibri" w:hAnsi="Calibri" w:cs="Calibri"/>
          <w:b/>
          <w:sz w:val="22"/>
          <w:szCs w:val="22"/>
        </w:rPr>
      </w:pPr>
    </w:p>
    <w:p w14:paraId="7D04AD41" w14:textId="77777777"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(i)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14:paraId="3777987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0220DED5" w14:textId="77777777"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42113D70" w14:textId="77777777" w:rsidR="007D0AF0" w:rsidRDefault="007D0AF0" w:rsidP="0070200A">
      <w:pPr>
        <w:widowControl w:val="0"/>
        <w:autoSpaceDE w:val="0"/>
        <w:autoSpaceDN w:val="0"/>
        <w:adjustRightInd w:val="0"/>
        <w:ind w:left="720"/>
        <w:rPr>
          <w:rFonts w:ascii="Calibri" w:hAnsi="Calibri" w:cs="Calibri"/>
          <w:b/>
          <w:sz w:val="22"/>
          <w:szCs w:val="22"/>
        </w:rPr>
      </w:pPr>
    </w:p>
    <w:p w14:paraId="2A6EC40A"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76636FA6"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5FBF2019" w14:textId="77777777"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lastRenderedPageBreak/>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423F5565" w14:textId="77777777" w:rsidR="0044303F" w:rsidRDefault="0044303F" w:rsidP="00ED0485">
      <w:pPr>
        <w:widowControl w:val="0"/>
        <w:autoSpaceDE w:val="0"/>
        <w:autoSpaceDN w:val="0"/>
        <w:adjustRightInd w:val="0"/>
        <w:rPr>
          <w:rFonts w:ascii="Calibri" w:hAnsi="Calibri" w:cs="Calibri"/>
          <w:i/>
          <w:iCs/>
          <w:sz w:val="22"/>
          <w:szCs w:val="22"/>
        </w:rPr>
      </w:pPr>
    </w:p>
    <w:p w14:paraId="12BBD644" w14:textId="77777777"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14:paraId="4B17A89F" w14:textId="77777777" w:rsidR="00161CA7" w:rsidRDefault="00161CA7" w:rsidP="00161CA7">
      <w:pPr>
        <w:widowControl w:val="0"/>
        <w:autoSpaceDE w:val="0"/>
        <w:autoSpaceDN w:val="0"/>
        <w:adjustRightInd w:val="0"/>
        <w:ind w:left="720"/>
        <w:rPr>
          <w:rFonts w:ascii="Calibri" w:hAnsi="Calibri" w:cs="Calibri"/>
          <w:i/>
          <w:iCs/>
          <w:sz w:val="22"/>
          <w:szCs w:val="22"/>
        </w:rPr>
      </w:pPr>
    </w:p>
    <w:p w14:paraId="65ACC542" w14:textId="77777777"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14:paraId="30186B97"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33E447F0"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57A891FC" w14:textId="77777777"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78F55B8B" w14:textId="77777777" w:rsidR="00CE7F3E" w:rsidRDefault="00CE7F3E" w:rsidP="009D55E9">
      <w:pPr>
        <w:widowControl w:val="0"/>
        <w:autoSpaceDE w:val="0"/>
        <w:autoSpaceDN w:val="0"/>
        <w:adjustRightInd w:val="0"/>
        <w:ind w:left="1440"/>
        <w:rPr>
          <w:rFonts w:ascii="Calibri" w:hAnsi="Calibri" w:cs="Calibri"/>
          <w:i/>
          <w:iCs/>
          <w:sz w:val="22"/>
          <w:szCs w:val="22"/>
        </w:rPr>
      </w:pPr>
    </w:p>
    <w:p w14:paraId="7A30C4A3" w14:textId="15A5A777" w:rsidR="00E9562E" w:rsidRDefault="00E9562E" w:rsidP="00695061">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14:paraId="74868FE7" w14:textId="77777777" w:rsidR="00695061" w:rsidRDefault="00695061" w:rsidP="00695061">
      <w:pPr>
        <w:widowControl w:val="0"/>
        <w:autoSpaceDE w:val="0"/>
        <w:autoSpaceDN w:val="0"/>
        <w:adjustRightInd w:val="0"/>
        <w:rPr>
          <w:rFonts w:ascii="Calibri" w:hAnsi="Calibri" w:cs="Calibri"/>
          <w:i/>
          <w:iCs/>
          <w:sz w:val="22"/>
          <w:szCs w:val="22"/>
        </w:rPr>
      </w:pPr>
    </w:p>
    <w:tbl>
      <w:tblPr>
        <w:tblStyle w:val="TableGrid"/>
        <w:tblW w:w="11700" w:type="dxa"/>
        <w:tblInd w:w="1188" w:type="dxa"/>
        <w:tblLook w:val="04A0" w:firstRow="1" w:lastRow="0" w:firstColumn="1" w:lastColumn="0" w:noHBand="0" w:noVBand="1"/>
      </w:tblPr>
      <w:tblGrid>
        <w:gridCol w:w="1620"/>
        <w:gridCol w:w="3510"/>
        <w:gridCol w:w="6570"/>
      </w:tblGrid>
      <w:tr w:rsidR="007C26A9" w14:paraId="0BB807F2" w14:textId="77777777" w:rsidTr="00695061">
        <w:trPr>
          <w:tblHeader/>
        </w:trPr>
        <w:tc>
          <w:tcPr>
            <w:tcW w:w="1620" w:type="dxa"/>
            <w:shd w:val="clear" w:color="auto" w:fill="D9D9D9" w:themeFill="background1" w:themeFillShade="D9"/>
          </w:tcPr>
          <w:p w14:paraId="3BF4A5EA"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Trustor </w:t>
            </w:r>
          </w:p>
          <w:p w14:paraId="338DCFDC" w14:textId="77777777"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510" w:type="dxa"/>
            <w:shd w:val="clear" w:color="auto" w:fill="D9D9D9" w:themeFill="background1" w:themeFillShade="D9"/>
          </w:tcPr>
          <w:p w14:paraId="626BFA32" w14:textId="77777777"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14:paraId="636A30BF" w14:textId="77777777"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6570" w:type="dxa"/>
            <w:shd w:val="clear" w:color="auto" w:fill="D9D9D9" w:themeFill="background1" w:themeFillShade="D9"/>
          </w:tcPr>
          <w:p w14:paraId="7BDCEE64" w14:textId="77777777"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14:paraId="65B27ED1" w14:textId="77777777"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14:paraId="583F90EF" w14:textId="77777777" w:rsidTr="00695061">
        <w:trPr>
          <w:trHeight w:val="575"/>
        </w:trPr>
        <w:tc>
          <w:tcPr>
            <w:tcW w:w="1620" w:type="dxa"/>
            <w:vMerge w:val="restart"/>
            <w:vAlign w:val="center"/>
          </w:tcPr>
          <w:p w14:paraId="2E159799" w14:textId="77777777"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510" w:type="dxa"/>
          </w:tcPr>
          <w:p w14:paraId="0D658367" w14:textId="77777777"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6570" w:type="dxa"/>
          </w:tcPr>
          <w:p w14:paraId="0A6ED073"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14:paraId="7544E4D8" w14:textId="77777777" w:rsidTr="00695061">
        <w:trPr>
          <w:trHeight w:val="602"/>
        </w:trPr>
        <w:tc>
          <w:tcPr>
            <w:tcW w:w="1620" w:type="dxa"/>
            <w:vMerge/>
          </w:tcPr>
          <w:p w14:paraId="19A813C4"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510" w:type="dxa"/>
          </w:tcPr>
          <w:p w14:paraId="600B121B"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6570" w:type="dxa"/>
          </w:tcPr>
          <w:p w14:paraId="23C26FB9" w14:textId="77777777"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14:paraId="7025303D" w14:textId="77777777" w:rsidTr="00695061">
        <w:tc>
          <w:tcPr>
            <w:tcW w:w="1620" w:type="dxa"/>
            <w:vMerge/>
          </w:tcPr>
          <w:p w14:paraId="6F0C2E19"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510" w:type="dxa"/>
          </w:tcPr>
          <w:p w14:paraId="41516A32" w14:textId="140818A1" w:rsidR="00E9562E" w:rsidRPr="00217937" w:rsidRDefault="00E9562E" w:rsidP="00695061">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w:t>
            </w:r>
            <w:r w:rsidR="00695061">
              <w:rPr>
                <w:rFonts w:asciiTheme="majorHAnsi" w:eastAsia="Times New Roman" w:hAnsiTheme="majorHAnsi" w:cstheme="majorHAnsi"/>
                <w:color w:val="000000" w:themeColor="text1"/>
                <w:sz w:val="20"/>
                <w:szCs w:val="20"/>
              </w:rPr>
              <w:t>ies</w:t>
            </w:r>
            <w:r w:rsidRPr="00217937">
              <w:rPr>
                <w:rFonts w:asciiTheme="majorHAnsi" w:eastAsia="Times New Roman" w:hAnsiTheme="majorHAnsi" w:cstheme="majorHAnsi"/>
                <w:color w:val="000000" w:themeColor="text1"/>
                <w:sz w:val="20"/>
                <w:szCs w:val="20"/>
              </w:rPr>
              <w:t xml:space="preserve"> and Registrars</w:t>
            </w:r>
          </w:p>
        </w:tc>
        <w:tc>
          <w:tcPr>
            <w:tcW w:w="6570" w:type="dxa"/>
          </w:tcPr>
          <w:p w14:paraId="6B63D667" w14:textId="77777777"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14:paraId="6C4602B7" w14:textId="77777777" w:rsidTr="00695061">
        <w:tc>
          <w:tcPr>
            <w:tcW w:w="1620" w:type="dxa"/>
            <w:vMerge/>
          </w:tcPr>
          <w:p w14:paraId="5DB89A0E" w14:textId="77777777"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510" w:type="dxa"/>
          </w:tcPr>
          <w:p w14:paraId="0DFAFBB5" w14:textId="77777777"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6570" w:type="dxa"/>
          </w:tcPr>
          <w:p w14:paraId="70970274" w14:textId="77777777"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14:paraId="54E319F2" w14:textId="77777777" w:rsidR="00E9562E" w:rsidRPr="009D55E9" w:rsidRDefault="00E9562E" w:rsidP="009D55E9">
      <w:pPr>
        <w:widowControl w:val="0"/>
        <w:autoSpaceDE w:val="0"/>
        <w:autoSpaceDN w:val="0"/>
        <w:adjustRightInd w:val="0"/>
        <w:ind w:left="1440"/>
        <w:rPr>
          <w:rFonts w:ascii="Calibri" w:hAnsi="Calibri"/>
          <w:i/>
          <w:sz w:val="22"/>
        </w:rPr>
      </w:pPr>
    </w:p>
    <w:p w14:paraId="27672F4F" w14:textId="77777777" w:rsidR="007C7314" w:rsidRPr="009D55E9" w:rsidRDefault="007C7314" w:rsidP="009D55E9">
      <w:pPr>
        <w:widowControl w:val="0"/>
        <w:autoSpaceDE w:val="0"/>
        <w:autoSpaceDN w:val="0"/>
        <w:adjustRightInd w:val="0"/>
        <w:ind w:left="720"/>
        <w:rPr>
          <w:rFonts w:ascii="Calibri" w:hAnsi="Calibri"/>
          <w:i/>
          <w:sz w:val="22"/>
        </w:rPr>
      </w:pPr>
    </w:p>
    <w:p w14:paraId="3C8EADBC" w14:textId="77777777"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14:paraId="48ABDC70"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0434980C"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70B9B24A"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1EF9A7FD" w14:textId="77777777"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Bylaws: regarding ccTLDs: “provided that such policies do not conflict with the law applicable to the ccTLD manager”</w:t>
      </w:r>
    </w:p>
    <w:p w14:paraId="6AAE45FC" w14:textId="77777777" w:rsidR="00C9281B" w:rsidRPr="002E7E35" w:rsidRDefault="00C9281B" w:rsidP="00C9281B">
      <w:pPr>
        <w:widowControl w:val="0"/>
        <w:autoSpaceDE w:val="0"/>
        <w:autoSpaceDN w:val="0"/>
        <w:adjustRightInd w:val="0"/>
        <w:ind w:left="720"/>
        <w:rPr>
          <w:rFonts w:ascii="Calibri" w:hAnsi="Calibri" w:cs="Calibri"/>
          <w:i/>
          <w:sz w:val="22"/>
          <w:szCs w:val="22"/>
        </w:rPr>
      </w:pPr>
    </w:p>
    <w:p w14:paraId="3ABFD3C7" w14:textId="77777777"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working papers from the European Commission also cited the importance of national laws, indicate the political lens through which the new gTLD program will be judged by governments.</w:t>
      </w:r>
    </w:p>
    <w:p w14:paraId="6C2C3D1A" w14:textId="77777777" w:rsidR="00C9281B" w:rsidRDefault="00C9281B" w:rsidP="00E2329E">
      <w:pPr>
        <w:widowControl w:val="0"/>
        <w:autoSpaceDE w:val="0"/>
        <w:autoSpaceDN w:val="0"/>
        <w:adjustRightInd w:val="0"/>
        <w:ind w:left="720"/>
        <w:rPr>
          <w:rFonts w:ascii="Calibri" w:hAnsi="Calibri" w:cs="Calibri"/>
          <w:i/>
          <w:iCs/>
          <w:sz w:val="22"/>
          <w:szCs w:val="22"/>
        </w:rPr>
      </w:pPr>
    </w:p>
    <w:p w14:paraId="7830F70B" w14:textId="77777777"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14:paraId="098250B8" w14:textId="77777777" w:rsidR="00E2329E" w:rsidRDefault="00E2329E" w:rsidP="00ED0485">
      <w:pPr>
        <w:widowControl w:val="0"/>
        <w:autoSpaceDE w:val="0"/>
        <w:autoSpaceDN w:val="0"/>
        <w:adjustRightInd w:val="0"/>
        <w:ind w:left="720"/>
        <w:rPr>
          <w:rFonts w:ascii="Calibri" w:hAnsi="Calibri" w:cs="Calibri"/>
          <w:i/>
          <w:iCs/>
          <w:sz w:val="22"/>
          <w:szCs w:val="22"/>
        </w:rPr>
      </w:pPr>
    </w:p>
    <w:p w14:paraId="675F4FB9" w14:textId="77777777" w:rsidR="00503D46" w:rsidRDefault="002E7E35" w:rsidP="009D55E9">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w:t>
      </w:r>
      <w:r w:rsidR="00B668CB">
        <w:rPr>
          <w:rFonts w:ascii="Calibri" w:hAnsi="Calibri" w:cs="Calibri"/>
          <w:i/>
          <w:iCs/>
          <w:sz w:val="22"/>
          <w:szCs w:val="22"/>
        </w:rPr>
        <w:lastRenderedPageBreak/>
        <w:t xml:space="preserve">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14:paraId="4E8264D7" w14:textId="77777777" w:rsidR="00D966AB" w:rsidRDefault="00D966AB" w:rsidP="009D55E9">
      <w:pPr>
        <w:widowControl w:val="0"/>
        <w:autoSpaceDE w:val="0"/>
        <w:autoSpaceDN w:val="0"/>
        <w:adjustRightInd w:val="0"/>
        <w:rPr>
          <w:rFonts w:ascii="Calibri" w:hAnsi="Calibri" w:cs="Calibri"/>
          <w:i/>
          <w:sz w:val="22"/>
          <w:szCs w:val="22"/>
        </w:rPr>
      </w:pPr>
    </w:p>
    <w:p w14:paraId="7B6376E0" w14:textId="77777777"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14:paraId="31D4695C" w14:textId="77777777" w:rsidR="00250457" w:rsidRPr="009D55E9" w:rsidRDefault="00250457" w:rsidP="009D55E9">
      <w:pPr>
        <w:widowControl w:val="0"/>
        <w:autoSpaceDE w:val="0"/>
        <w:autoSpaceDN w:val="0"/>
        <w:adjustRightInd w:val="0"/>
        <w:ind w:left="720"/>
        <w:rPr>
          <w:rFonts w:ascii="Calibri" w:hAnsi="Calibri"/>
          <w:i/>
          <w:sz w:val="22"/>
        </w:rPr>
      </w:pPr>
    </w:p>
    <w:p w14:paraId="3CDABD2C" w14:textId="77777777"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14:paraId="2E981727" w14:textId="77777777" w:rsidR="00E9562E" w:rsidRDefault="00E9562E" w:rsidP="00ED0485">
      <w:pPr>
        <w:widowControl w:val="0"/>
        <w:autoSpaceDE w:val="0"/>
        <w:autoSpaceDN w:val="0"/>
        <w:adjustRightInd w:val="0"/>
        <w:ind w:left="720"/>
        <w:rPr>
          <w:rFonts w:ascii="Calibri" w:hAnsi="Calibri" w:cs="Calibri"/>
          <w:i/>
          <w:sz w:val="22"/>
          <w:szCs w:val="22"/>
        </w:rPr>
      </w:pPr>
    </w:p>
    <w:p w14:paraId="1BBD08AA" w14:textId="77777777"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14:paraId="3E021EE6" w14:textId="77777777" w:rsidR="00343FD0" w:rsidRDefault="00343FD0" w:rsidP="00343FD0">
      <w:pPr>
        <w:rPr>
          <w:rFonts w:ascii="Calibri" w:hAnsi="Calibri" w:cs="Calibri"/>
          <w:b/>
          <w:sz w:val="22"/>
          <w:szCs w:val="22"/>
        </w:rPr>
      </w:pPr>
    </w:p>
    <w:p w14:paraId="72683FC8" w14:textId="77777777" w:rsidR="00E9562E" w:rsidRDefault="00E9562E" w:rsidP="00343FD0">
      <w:pPr>
        <w:rPr>
          <w:rFonts w:ascii="Calibri" w:hAnsi="Calibri" w:cs="Calibri"/>
          <w:b/>
          <w:sz w:val="22"/>
          <w:szCs w:val="22"/>
        </w:rPr>
      </w:pPr>
    </w:p>
    <w:p w14:paraId="2463E0E1" w14:textId="77777777" w:rsidR="00E55ECE" w:rsidRDefault="00E55ECE">
      <w:pPr>
        <w:rPr>
          <w:rFonts w:ascii="Calibri" w:hAnsi="Calibri" w:cs="Calibri"/>
          <w:b/>
          <w:sz w:val="22"/>
          <w:szCs w:val="22"/>
        </w:rPr>
      </w:pPr>
    </w:p>
    <w:p w14:paraId="26B6F015" w14:textId="77777777" w:rsidR="003B3E2A" w:rsidRPr="00AC4FF1" w:rsidRDefault="005026D1" w:rsidP="00343FD0">
      <w:pPr>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3250F06" w14:textId="77777777" w:rsidR="0070200A" w:rsidRDefault="0070200A" w:rsidP="00D00805">
      <w:pPr>
        <w:widowControl w:val="0"/>
        <w:autoSpaceDE w:val="0"/>
        <w:autoSpaceDN w:val="0"/>
        <w:adjustRightInd w:val="0"/>
        <w:rPr>
          <w:rFonts w:ascii="Calibri" w:hAnsi="Calibri" w:cs="Calibri"/>
          <w:sz w:val="22"/>
          <w:szCs w:val="22"/>
        </w:rPr>
      </w:pPr>
    </w:p>
    <w:p w14:paraId="4FBE3843" w14:textId="77777777"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w:t>
      </w:r>
      <w:r w:rsidR="00055332">
        <w:rPr>
          <w:rFonts w:ascii="Calibri" w:hAnsi="Calibri" w:cs="Calibri"/>
          <w:sz w:val="22"/>
          <w:szCs w:val="22"/>
        </w:rPr>
        <w:t>ed</w:t>
      </w:r>
      <w:r w:rsidR="006C2E08">
        <w:rPr>
          <w:rFonts w:ascii="Calibri" w:hAnsi="Calibri" w:cs="Calibri"/>
          <w:sz w:val="22"/>
          <w:szCs w:val="22"/>
        </w:rPr>
        <w:t xml:space="preserve"> out of scope with exception </w:t>
      </w:r>
      <w:r w:rsidR="00055332">
        <w:rPr>
          <w:rFonts w:ascii="Calibri" w:hAnsi="Calibri" w:cs="Calibri"/>
          <w:sz w:val="22"/>
          <w:szCs w:val="22"/>
        </w:rPr>
        <w:t>of</w:t>
      </w:r>
      <w:r w:rsidR="006C2E08">
        <w:rPr>
          <w:rFonts w:ascii="Calibri" w:hAnsi="Calibri" w:cs="Calibri"/>
          <w:sz w:val="22"/>
          <w:szCs w:val="22"/>
        </w:rPr>
        <w:t xml:space="preserve">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14:paraId="4F814F6F" w14:textId="77777777" w:rsidR="00553269" w:rsidRDefault="00553269" w:rsidP="00D00805">
      <w:pPr>
        <w:widowControl w:val="0"/>
        <w:autoSpaceDE w:val="0"/>
        <w:autoSpaceDN w:val="0"/>
        <w:adjustRightInd w:val="0"/>
        <w:rPr>
          <w:rFonts w:ascii="Calibri" w:hAnsi="Calibri" w:cs="Calibri"/>
          <w:sz w:val="22"/>
          <w:szCs w:val="22"/>
        </w:rPr>
      </w:pPr>
    </w:p>
    <w:p w14:paraId="2ED1412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14:paraId="2CBD10E5" w14:textId="77777777" w:rsidR="007516A3" w:rsidRDefault="007516A3" w:rsidP="007516A3">
      <w:pPr>
        <w:widowControl w:val="0"/>
        <w:autoSpaceDE w:val="0"/>
        <w:autoSpaceDN w:val="0"/>
        <w:adjustRightInd w:val="0"/>
        <w:rPr>
          <w:rFonts w:ascii="Calibri" w:hAnsi="Calibri" w:cs="Calibri"/>
          <w:sz w:val="22"/>
          <w:szCs w:val="22"/>
        </w:rPr>
      </w:pPr>
    </w:p>
    <w:p w14:paraId="6C3DDC9B"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w:t>
      </w:r>
      <w:r>
        <w:rPr>
          <w:rFonts w:ascii="Calibri" w:hAnsi="Calibri" w:cs="Calibri"/>
          <w:sz w:val="22"/>
          <w:szCs w:val="22"/>
        </w:rPr>
        <w:lastRenderedPageBreak/>
        <w:t xml:space="preserve">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14:paraId="1C452816"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Ind w:w="720" w:type="dxa"/>
        <w:tblLook w:val="04A0" w:firstRow="1" w:lastRow="0" w:firstColumn="1" w:lastColumn="0" w:noHBand="0" w:noVBand="1"/>
      </w:tblPr>
      <w:tblGrid>
        <w:gridCol w:w="2700"/>
        <w:gridCol w:w="7218"/>
      </w:tblGrid>
      <w:tr w:rsidR="007516A3" w:rsidRPr="00A36343" w14:paraId="10D8E86C" w14:textId="77777777" w:rsidTr="00695061">
        <w:tc>
          <w:tcPr>
            <w:tcW w:w="2700" w:type="dxa"/>
            <w:shd w:val="clear" w:color="auto" w:fill="BFBFBF" w:themeFill="background1" w:themeFillShade="BF"/>
          </w:tcPr>
          <w:p w14:paraId="241F9E8C" w14:textId="77777777"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7218" w:type="dxa"/>
            <w:shd w:val="clear" w:color="auto" w:fill="BFBFBF" w:themeFill="background1" w:themeFillShade="BF"/>
          </w:tcPr>
          <w:p w14:paraId="6C12306E" w14:textId="77777777"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14:paraId="0AE7682D" w14:textId="77777777" w:rsidTr="00695061">
        <w:tc>
          <w:tcPr>
            <w:tcW w:w="2700" w:type="dxa"/>
          </w:tcPr>
          <w:p w14:paraId="6C591F78"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7218" w:type="dxa"/>
          </w:tcPr>
          <w:p w14:paraId="32192D3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790EF387" w14:textId="77777777" w:rsidTr="00695061">
        <w:tc>
          <w:tcPr>
            <w:tcW w:w="2700" w:type="dxa"/>
          </w:tcPr>
          <w:p w14:paraId="6A9442BD"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7218" w:type="dxa"/>
          </w:tcPr>
          <w:p w14:paraId="54D135EF"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6B026B14" w14:textId="77777777" w:rsidTr="00695061">
        <w:tc>
          <w:tcPr>
            <w:tcW w:w="2700" w:type="dxa"/>
          </w:tcPr>
          <w:p w14:paraId="4DA17CDA"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7218" w:type="dxa"/>
          </w:tcPr>
          <w:p w14:paraId="473F85F2" w14:textId="77777777"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14:paraId="073AB34F" w14:textId="77777777" w:rsidTr="00695061">
        <w:tc>
          <w:tcPr>
            <w:tcW w:w="2700" w:type="dxa"/>
          </w:tcPr>
          <w:p w14:paraId="56D2DA1F"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7218" w:type="dxa"/>
          </w:tcPr>
          <w:p w14:paraId="7206BAD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71FD9212" w14:textId="77777777" w:rsidR="007516A3" w:rsidRDefault="007516A3" w:rsidP="007516A3">
      <w:pPr>
        <w:widowControl w:val="0"/>
        <w:autoSpaceDE w:val="0"/>
        <w:autoSpaceDN w:val="0"/>
        <w:adjustRightInd w:val="0"/>
        <w:rPr>
          <w:rFonts w:ascii="Calibri" w:hAnsi="Calibri" w:cs="Calibri"/>
          <w:sz w:val="22"/>
          <w:szCs w:val="22"/>
        </w:rPr>
      </w:pPr>
    </w:p>
    <w:p w14:paraId="27D9BB78" w14:textId="77777777"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14:paraId="66F9B90B"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14:paraId="153CBBA8"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14:paraId="55F7DBA5"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14:paraId="20B22AF3"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14:paraId="6E26763B" w14:textId="77777777"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14:paraId="549299FD" w14:textId="77777777"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14:paraId="384CA291" w14:textId="77777777" w:rsidR="00695061" w:rsidRDefault="00695061">
      <w:pPr>
        <w:rPr>
          <w:rFonts w:ascii="Calibri" w:hAnsi="Calibri" w:cs="Calibri"/>
          <w:color w:val="000000" w:themeColor="text1"/>
          <w:sz w:val="22"/>
          <w:szCs w:val="22"/>
        </w:rPr>
      </w:pPr>
      <w:r>
        <w:rPr>
          <w:rFonts w:ascii="Calibri" w:hAnsi="Calibri" w:cs="Calibri"/>
          <w:color w:val="000000" w:themeColor="text1"/>
          <w:sz w:val="22"/>
          <w:szCs w:val="22"/>
        </w:rPr>
        <w:br w:type="page"/>
      </w:r>
    </w:p>
    <w:p w14:paraId="172A4FC3" w14:textId="5CAEC872"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lastRenderedPageBreak/>
        <w:t xml:space="preserve">Definitions </w:t>
      </w:r>
      <w:r w:rsidR="000C15A2" w:rsidRPr="00AB44EC">
        <w:rPr>
          <w:rFonts w:ascii="Calibri" w:hAnsi="Calibri" w:cs="Calibri"/>
          <w:color w:val="000000" w:themeColor="text1"/>
          <w:sz w:val="22"/>
          <w:szCs w:val="22"/>
        </w:rPr>
        <w:t>regarding measures and targets for open and closed gTLDs.</w:t>
      </w:r>
    </w:p>
    <w:p w14:paraId="4D429EF1" w14:textId="77777777"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0FD858BF" w14:textId="77777777"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Specification 9 of the standard Registry Contract for new gTLDs is the “Registry Operator Code of Conduct” </w:t>
      </w:r>
      <w:r w:rsidR="000C15A2" w:rsidRPr="00AB44EC">
        <w:rPr>
          <w:rFonts w:ascii="Calibri" w:hAnsi="Calibri" w:cs="Calibri"/>
          <w:color w:val="000000" w:themeColor="text1"/>
          <w:sz w:val="22"/>
          <w:szCs w:val="22"/>
        </w:rPr>
        <w:t xml:space="preserve"> (shown </w:t>
      </w:r>
      <w:r w:rsidR="00CB7C3E" w:rsidRPr="00AB44EC">
        <w:rPr>
          <w:rFonts w:ascii="Calibri" w:hAnsi="Calibri" w:cs="Calibri"/>
          <w:color w:val="000000" w:themeColor="text1"/>
          <w:sz w:val="22"/>
          <w:szCs w:val="22"/>
        </w:rPr>
        <w:t>in Appendix B</w:t>
      </w:r>
      <w:r w:rsidR="000C15A2" w:rsidRPr="00AB44EC">
        <w:rPr>
          <w:rFonts w:ascii="Calibri" w:hAnsi="Calibri" w:cs="Calibri"/>
          <w:color w:val="000000" w:themeColor="text1"/>
          <w:sz w:val="22"/>
          <w:szCs w:val="22"/>
        </w:rPr>
        <w:t>).   Th</w:t>
      </w:r>
      <w:r w:rsidR="00CB7C3E" w:rsidRPr="00AB44EC">
        <w:rPr>
          <w:rFonts w:ascii="Calibri" w:hAnsi="Calibri" w:cs="Calibri"/>
          <w:color w:val="000000" w:themeColor="text1"/>
          <w:sz w:val="22"/>
          <w:szCs w:val="22"/>
        </w:rPr>
        <w:t>e Registry</w:t>
      </w:r>
      <w:r w:rsidR="000C15A2" w:rsidRPr="00AB44EC">
        <w:rPr>
          <w:rFonts w:ascii="Calibri" w:hAnsi="Calibri" w:cs="Calibri"/>
          <w:color w:val="000000" w:themeColor="text1"/>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14:paraId="79D15F04" w14:textId="77777777"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70370F2A" w14:textId="77777777"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To accommodate new gTLD operator</w:t>
      </w:r>
      <w:r w:rsidR="00D427CE" w:rsidRPr="00AB44EC">
        <w:rPr>
          <w:rFonts w:ascii="Calibri" w:hAnsi="Calibri" w:cs="Calibri"/>
          <w:color w:val="000000" w:themeColor="text1"/>
          <w:sz w:val="22"/>
          <w:szCs w:val="22"/>
        </w:rPr>
        <w:t>s</w:t>
      </w:r>
      <w:r w:rsidRPr="00AB44EC">
        <w:rPr>
          <w:rFonts w:ascii="Calibri" w:hAnsi="Calibri" w:cs="Calibri"/>
          <w:color w:val="000000" w:themeColor="text1"/>
          <w:sz w:val="22"/>
          <w:szCs w:val="22"/>
        </w:rPr>
        <w:t xml:space="preserve"> who wish to maintain all domain name registrations </w:t>
      </w:r>
      <w:r w:rsidR="0087483A" w:rsidRPr="00AB44EC">
        <w:rPr>
          <w:rFonts w:ascii="Calibri" w:hAnsi="Calibri" w:cs="Calibri"/>
          <w:color w:val="000000" w:themeColor="text1"/>
          <w:sz w:val="22"/>
          <w:szCs w:val="22"/>
        </w:rPr>
        <w:t xml:space="preserve">in the TLD </w:t>
      </w:r>
      <w:r w:rsidRPr="00AB44EC">
        <w:rPr>
          <w:rFonts w:ascii="Calibri" w:hAnsi="Calibri" w:cs="Calibri"/>
          <w:color w:val="000000" w:themeColor="text1"/>
          <w:sz w:val="22"/>
          <w:szCs w:val="22"/>
        </w:rPr>
        <w:t xml:space="preserve">for </w:t>
      </w:r>
      <w:r w:rsidR="00D427CE" w:rsidRPr="00AB44EC">
        <w:rPr>
          <w:rFonts w:ascii="Calibri" w:hAnsi="Calibri" w:cs="Calibri"/>
          <w:color w:val="000000" w:themeColor="text1"/>
          <w:sz w:val="22"/>
          <w:szCs w:val="22"/>
        </w:rPr>
        <w:t xml:space="preserve">their </w:t>
      </w:r>
      <w:r w:rsidRPr="00AB44EC">
        <w:rPr>
          <w:rFonts w:ascii="Calibri" w:hAnsi="Calibri" w:cs="Calibri"/>
          <w:color w:val="000000" w:themeColor="text1"/>
          <w:sz w:val="22"/>
          <w:szCs w:val="22"/>
        </w:rPr>
        <w:t xml:space="preserve">own exclusive use, ICANN may grant an exemption </w:t>
      </w:r>
      <w:r w:rsidR="009D64A2" w:rsidRPr="00AB44EC">
        <w:rPr>
          <w:rFonts w:ascii="Calibri" w:hAnsi="Calibri" w:cs="Calibri"/>
          <w:color w:val="000000" w:themeColor="text1"/>
          <w:sz w:val="22"/>
          <w:szCs w:val="22"/>
        </w:rPr>
        <w:t xml:space="preserve">to this </w:t>
      </w:r>
      <w:r w:rsidRPr="00AB44EC">
        <w:rPr>
          <w:rFonts w:ascii="Calibri" w:hAnsi="Calibri" w:cs="Calibri"/>
          <w:color w:val="000000" w:themeColor="text1"/>
          <w:sz w:val="22"/>
          <w:szCs w:val="22"/>
        </w:rPr>
        <w:t>Code of Conduct</w:t>
      </w:r>
      <w:r w:rsidR="0087483A" w:rsidRPr="00AB44EC">
        <w:rPr>
          <w:rFonts w:ascii="Calibri" w:hAnsi="Calibri" w:cs="Calibri"/>
          <w:color w:val="000000" w:themeColor="text1"/>
          <w:sz w:val="22"/>
          <w:szCs w:val="22"/>
        </w:rPr>
        <w:t xml:space="preserve">.  Conditions and criteria for ICANN to grant that exemption are set forth in </w:t>
      </w:r>
      <w:r w:rsidR="006F590D" w:rsidRPr="00AB44EC">
        <w:rPr>
          <w:rFonts w:ascii="Calibri" w:hAnsi="Calibri" w:cs="Calibri"/>
          <w:color w:val="000000" w:themeColor="text1"/>
          <w:sz w:val="22"/>
          <w:szCs w:val="22"/>
        </w:rPr>
        <w:t xml:space="preserve">paragraph 6 of the Code of Conduct. </w:t>
      </w:r>
    </w:p>
    <w:p w14:paraId="0B4DC20F" w14:textId="77777777" w:rsidR="009D64A2" w:rsidRPr="00AB44EC"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411A8068"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In October 2012, several GNSO contracted parties suggested that the working group identify measures that </w:t>
      </w:r>
      <w:r w:rsidR="00D427CE" w:rsidRPr="00AB44EC">
        <w:rPr>
          <w:rFonts w:ascii="Calibri" w:hAnsi="Calibri" w:cs="Calibri"/>
          <w:color w:val="000000" w:themeColor="text1"/>
          <w:sz w:val="22"/>
          <w:szCs w:val="22"/>
        </w:rPr>
        <w:t xml:space="preserve">do </w:t>
      </w:r>
      <w:r w:rsidRPr="00AB44EC">
        <w:rPr>
          <w:rFonts w:ascii="Calibri" w:hAnsi="Calibri" w:cs="Calibri"/>
          <w:color w:val="000000" w:themeColor="text1"/>
          <w:sz w:val="22"/>
          <w:szCs w:val="22"/>
        </w:rPr>
        <w:t>not apply to new gTLDs that are operating under this exemption to the Code of Conduct.</w:t>
      </w:r>
    </w:p>
    <w:p w14:paraId="30BCF025"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5B559787"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The working group adopted the following definitions to accommodate this request:</w:t>
      </w:r>
    </w:p>
    <w:p w14:paraId="7DA2F8F2" w14:textId="77777777"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14:paraId="7035531F"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 xml:space="preserve">“Closed gTLD” refers to a gTLD where ICANN has granted </w:t>
      </w:r>
      <w:r w:rsidR="006F590D" w:rsidRPr="00AB44EC">
        <w:rPr>
          <w:rFonts w:ascii="Calibri" w:hAnsi="Calibri" w:cs="Calibri"/>
          <w:color w:val="000000" w:themeColor="text1"/>
          <w:sz w:val="22"/>
          <w:szCs w:val="22"/>
        </w:rPr>
        <w:t>the</w:t>
      </w:r>
      <w:r w:rsidRPr="00AB44EC">
        <w:rPr>
          <w:rFonts w:ascii="Calibri" w:hAnsi="Calibri" w:cs="Calibri"/>
          <w:color w:val="000000" w:themeColor="text1"/>
          <w:sz w:val="22"/>
          <w:szCs w:val="22"/>
        </w:rPr>
        <w:t xml:space="preserve"> </w:t>
      </w:r>
      <w:r w:rsidR="006F590D" w:rsidRPr="00AB44EC">
        <w:rPr>
          <w:rFonts w:ascii="Calibri" w:hAnsi="Calibri" w:cs="Calibri"/>
          <w:color w:val="000000" w:themeColor="text1"/>
          <w:sz w:val="22"/>
          <w:szCs w:val="22"/>
        </w:rPr>
        <w:t xml:space="preserve">paragraph </w:t>
      </w:r>
      <w:r w:rsidRPr="00AB44EC">
        <w:rPr>
          <w:rFonts w:ascii="Calibri" w:hAnsi="Calibri" w:cs="Calibri"/>
          <w:color w:val="000000" w:themeColor="text1"/>
          <w:sz w:val="22"/>
          <w:szCs w:val="22"/>
        </w:rPr>
        <w:t>6 exemption from Specification 9: Registry Operator Code of Conduct.</w:t>
      </w:r>
    </w:p>
    <w:p w14:paraId="48C2CC2A"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14:paraId="741F437E"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“Open gTLD” refers to a gTLD that has not been granted an exemption from Specification 9: Registry Operator Code of Conduct.</w:t>
      </w:r>
      <w:r w:rsidR="00D90AEE" w:rsidRPr="00AB44EC">
        <w:rPr>
          <w:rFonts w:ascii="Calibri" w:hAnsi="Calibri" w:cs="Calibri"/>
          <w:color w:val="000000" w:themeColor="text1"/>
          <w:sz w:val="22"/>
          <w:szCs w:val="22"/>
        </w:rPr>
        <w:t xml:space="preserve">   Community TLDs and TLDs with self-imposed registrant restrictions would still be regarded as open gTLDs under this definition, unless they have been granted an exemption from the Registry Operator Code of Conduct.</w:t>
      </w:r>
    </w:p>
    <w:p w14:paraId="6E6D299D"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14:paraId="6CE25B27"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w:t>
      </w:r>
      <w:r w:rsidR="006F590D" w:rsidRPr="00AB44EC">
        <w:rPr>
          <w:rFonts w:ascii="Calibri" w:hAnsi="Calibri" w:cs="Calibri"/>
          <w:color w:val="000000" w:themeColor="text1"/>
          <w:sz w:val="22"/>
          <w:szCs w:val="22"/>
        </w:rPr>
        <w:t xml:space="preserve">Closed </w:t>
      </w:r>
      <w:r w:rsidRPr="00AB44EC">
        <w:rPr>
          <w:rFonts w:ascii="Calibri" w:hAnsi="Calibri" w:cs="Calibri"/>
          <w:color w:val="000000" w:themeColor="text1"/>
          <w:sz w:val="22"/>
          <w:szCs w:val="22"/>
        </w:rPr>
        <w:t>Brand gTLD” refers to a closed gTLD where the TLD string is a Trademark held by the registry operator.   (e.g. .Microsoft, .Google, .HSBC )</w:t>
      </w:r>
    </w:p>
    <w:p w14:paraId="42CFCF65"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14:paraId="395422A5" w14:textId="77777777"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“Closed Keyword gTLD” refers to a closed gTLD where the TLD string is not a recognized Trademark held by the registry operator.  (e.g. .search, .book, .music )</w:t>
      </w:r>
    </w:p>
    <w:p w14:paraId="6BC1DC52" w14:textId="77777777"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14:paraId="072E2177" w14:textId="77777777"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14:paraId="4E210122" w14:textId="77777777" w:rsidR="00CB7C3E" w:rsidRDefault="00CB7C3E">
      <w:pPr>
        <w:rPr>
          <w:rFonts w:ascii="Calibri" w:hAnsi="Calibri" w:cs="Calibri"/>
          <w:color w:val="FF0000"/>
          <w:sz w:val="22"/>
          <w:szCs w:val="22"/>
        </w:rPr>
      </w:pPr>
      <w:r>
        <w:rPr>
          <w:rFonts w:ascii="Calibri" w:hAnsi="Calibri" w:cs="Calibri"/>
          <w:color w:val="FF0000"/>
          <w:sz w:val="22"/>
          <w:szCs w:val="22"/>
        </w:rPr>
        <w:br w:type="page"/>
      </w:r>
    </w:p>
    <w:p w14:paraId="63354BE4" w14:textId="77777777"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14:paraId="0EAD622B" w14:textId="77777777" w:rsidR="00553269" w:rsidRDefault="00553269" w:rsidP="00ED0485">
      <w:pPr>
        <w:widowControl w:val="0"/>
        <w:autoSpaceDE w:val="0"/>
        <w:autoSpaceDN w:val="0"/>
        <w:adjustRightInd w:val="0"/>
        <w:rPr>
          <w:rFonts w:ascii="Calibri" w:hAnsi="Calibri" w:cs="Calibri"/>
          <w:b/>
          <w:sz w:val="22"/>
          <w:szCs w:val="22"/>
        </w:rPr>
      </w:pPr>
    </w:p>
    <w:p w14:paraId="2C9BB429" w14:textId="77777777"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6C5B46A2" w14:textId="77777777" w:rsidR="00553269" w:rsidRPr="00553269" w:rsidRDefault="00553269" w:rsidP="00ED0485">
      <w:pPr>
        <w:widowControl w:val="0"/>
        <w:autoSpaceDE w:val="0"/>
        <w:autoSpaceDN w:val="0"/>
        <w:adjustRightInd w:val="0"/>
        <w:rPr>
          <w:rFonts w:ascii="Calibri" w:hAnsi="Calibri" w:cs="Calibri"/>
          <w:sz w:val="22"/>
          <w:szCs w:val="22"/>
        </w:rPr>
      </w:pPr>
    </w:p>
    <w:p w14:paraId="04B1A878" w14:textId="77777777"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E98C190" w14:textId="77777777" w:rsidR="0033140F" w:rsidRPr="00AC4FF1" w:rsidRDefault="0033140F" w:rsidP="00EB40C9">
      <w:pPr>
        <w:widowControl w:val="0"/>
        <w:autoSpaceDE w:val="0"/>
        <w:autoSpaceDN w:val="0"/>
        <w:adjustRightInd w:val="0"/>
        <w:rPr>
          <w:rFonts w:ascii="Calibri" w:hAnsi="Calibri" w:cs="Calibri"/>
          <w:b/>
          <w:sz w:val="22"/>
          <w:szCs w:val="22"/>
        </w:rPr>
      </w:pPr>
    </w:p>
    <w:p w14:paraId="35466D1B" w14:textId="77777777"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(i)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14:paraId="69D47CB2" w14:textId="77777777" w:rsidR="0084344C" w:rsidRDefault="0084344C" w:rsidP="00ED0485">
      <w:pPr>
        <w:widowControl w:val="0"/>
        <w:autoSpaceDE w:val="0"/>
        <w:autoSpaceDN w:val="0"/>
        <w:adjustRightInd w:val="0"/>
        <w:ind w:left="720"/>
        <w:rPr>
          <w:rFonts w:ascii="Calibri" w:hAnsi="Calibri" w:cs="Calibri"/>
          <w:sz w:val="22"/>
          <w:szCs w:val="22"/>
        </w:rPr>
      </w:pPr>
    </w:p>
    <w:p w14:paraId="4B612023" w14:textId="77777777" w:rsidR="002F50C3" w:rsidRPr="00733AC8" w:rsidRDefault="002F50C3" w:rsidP="002F50C3">
      <w:pPr>
        <w:widowControl w:val="0"/>
        <w:autoSpaceDE w:val="0"/>
        <w:autoSpaceDN w:val="0"/>
        <w:adjustRightInd w:val="0"/>
        <w:rPr>
          <w:rFonts w:ascii="Calibri" w:hAnsi="Calibri" w:cs="Calibri"/>
          <w:b/>
          <w:color w:val="FF0000"/>
          <w:sz w:val="22"/>
          <w:szCs w:val="22"/>
        </w:rPr>
      </w:pPr>
      <w:r w:rsidRPr="00733AC8">
        <w:rPr>
          <w:rFonts w:ascii="Calibri" w:hAnsi="Calibri" w:cs="Calibri"/>
          <w:b/>
          <w:color w:val="FF0000"/>
          <w:sz w:val="22"/>
          <w:szCs w:val="22"/>
        </w:rPr>
        <w:t>ALAC Notes:</w:t>
      </w:r>
    </w:p>
    <w:p w14:paraId="681AC224" w14:textId="77777777" w:rsidR="002F50C3" w:rsidRPr="00CE30A2" w:rsidRDefault="002F50C3" w:rsidP="002F50C3">
      <w:pPr>
        <w:pStyle w:val="ListParagraph"/>
        <w:spacing w:before="120"/>
        <w:ind w:left="0"/>
        <w:rPr>
          <w:rFonts w:ascii="Calibri" w:hAnsi="Calibri" w:cs="Calibri"/>
          <w:b/>
          <w:bCs/>
          <w:color w:val="FF0000"/>
          <w:sz w:val="22"/>
          <w:szCs w:val="22"/>
        </w:rPr>
      </w:pPr>
      <w:r w:rsidRPr="00CE30A2">
        <w:rPr>
          <w:rFonts w:ascii="Calibri" w:hAnsi="Calibri" w:cs="Calibri"/>
          <w:b/>
          <w:bCs/>
          <w:color w:val="FF0000"/>
          <w:sz w:val="22"/>
          <w:szCs w:val="22"/>
        </w:rPr>
        <w:t>Background</w:t>
      </w:r>
      <w:r>
        <w:rPr>
          <w:rFonts w:ascii="Calibri" w:hAnsi="Calibri" w:cs="Calibri"/>
          <w:b/>
          <w:bCs/>
          <w:color w:val="FF0000"/>
          <w:sz w:val="22"/>
          <w:szCs w:val="22"/>
        </w:rPr>
        <w:t xml:space="preserve"> (ALAC)</w:t>
      </w:r>
    </w:p>
    <w:p w14:paraId="6596E0B4" w14:textId="77777777" w:rsidR="002F50C3" w:rsidRPr="00CE30A2" w:rsidRDefault="002F50C3" w:rsidP="002F50C3">
      <w:pPr>
        <w:pStyle w:val="ListParagraph"/>
        <w:spacing w:before="120"/>
        <w:ind w:left="0"/>
        <w:rPr>
          <w:rFonts w:ascii="Calibri" w:hAnsi="Calibri" w:cs="Calibri"/>
          <w:color w:val="FF0000"/>
          <w:sz w:val="22"/>
          <w:szCs w:val="22"/>
        </w:rPr>
      </w:pPr>
      <w:r w:rsidRPr="00CE30A2">
        <w:rPr>
          <w:rFonts w:ascii="Calibri" w:hAnsi="Calibri" w:cs="Calibri"/>
          <w:color w:val="FF0000"/>
          <w:sz w:val="22"/>
          <w:szCs w:val="22"/>
        </w:rPr>
        <w:t>On February 28 2013, the </w:t>
      </w:r>
      <w:hyperlink r:id="rId13" w:history="1">
        <w:r w:rsidRPr="00CE30A2">
          <w:rPr>
            <w:rStyle w:val="Hyperlink"/>
            <w:rFonts w:ascii="Calibri" w:hAnsi="Calibri" w:cs="Calibri"/>
            <w:sz w:val="22"/>
            <w:szCs w:val="22"/>
          </w:rPr>
          <w:t>At-Large Advisory Committee approved a statement</w:t>
        </w:r>
      </w:hyperlink>
      <w:r w:rsidRPr="00CE30A2">
        <w:rPr>
          <w:rFonts w:ascii="Calibri" w:hAnsi="Calibri" w:cs="Calibri"/>
          <w:color w:val="FF0000"/>
          <w:sz w:val="22"/>
          <w:szCs w:val="22"/>
        </w:rPr>
        <w:t> in response to the GNSO report on metrics designed to evaluate the performance of ICANN's gTLD expansion program. The statement, which was sent as correspondence by ALAC Chair Olivier Crepin-Leblond to the Chair of the ICANN Board and the Chair of the Board gTLD Working Group, indicated that the GNSO report did not adequately address metrics that would accurately measure end-user benefits and trust resulting from the expansion. In the statement, the ALAC committed to produce recommendations for additional metrics which we believe are required to supplement the GNSO recommendations. The ALAC created a Task Force to create the new metrics, which are listed below.</w:t>
      </w:r>
    </w:p>
    <w:p w14:paraId="68373C5E" w14:textId="77777777" w:rsidR="002F50C3" w:rsidRDefault="002F50C3" w:rsidP="002F50C3">
      <w:pPr>
        <w:pStyle w:val="ListParagraph"/>
        <w:spacing w:before="120"/>
        <w:ind w:left="0"/>
        <w:rPr>
          <w:rFonts w:ascii="Calibri" w:hAnsi="Calibri" w:cs="Calibri"/>
          <w:b/>
          <w:bCs/>
          <w:color w:val="FF0000"/>
          <w:sz w:val="22"/>
          <w:szCs w:val="22"/>
        </w:rPr>
      </w:pPr>
    </w:p>
    <w:p w14:paraId="2A13E054" w14:textId="77777777" w:rsidR="002F50C3" w:rsidRPr="00CE30A2" w:rsidRDefault="002F50C3" w:rsidP="002F50C3">
      <w:pPr>
        <w:pStyle w:val="ListParagraph"/>
        <w:spacing w:before="120"/>
        <w:ind w:left="0"/>
        <w:rPr>
          <w:rFonts w:ascii="Calibri" w:hAnsi="Calibri" w:cs="Calibri"/>
          <w:b/>
          <w:bCs/>
          <w:color w:val="FF0000"/>
          <w:sz w:val="22"/>
          <w:szCs w:val="22"/>
        </w:rPr>
      </w:pPr>
      <w:r w:rsidRPr="00CE30A2">
        <w:rPr>
          <w:rFonts w:ascii="Calibri" w:hAnsi="Calibri" w:cs="Calibri"/>
          <w:b/>
          <w:bCs/>
          <w:color w:val="FF0000"/>
          <w:sz w:val="22"/>
          <w:szCs w:val="22"/>
        </w:rPr>
        <w:t>Scope</w:t>
      </w:r>
      <w:r>
        <w:rPr>
          <w:rFonts w:ascii="Calibri" w:hAnsi="Calibri" w:cs="Calibri"/>
          <w:b/>
          <w:bCs/>
          <w:color w:val="FF0000"/>
          <w:sz w:val="22"/>
          <w:szCs w:val="22"/>
        </w:rPr>
        <w:t xml:space="preserve"> (ALAC) </w:t>
      </w:r>
    </w:p>
    <w:p w14:paraId="5791CBDC" w14:textId="77777777" w:rsidR="002F50C3" w:rsidRDefault="002F50C3" w:rsidP="002F50C3">
      <w:pPr>
        <w:pStyle w:val="ListParagraph"/>
        <w:spacing w:before="120"/>
        <w:ind w:left="0"/>
        <w:rPr>
          <w:rFonts w:ascii="Calibri" w:hAnsi="Calibri" w:cs="Calibri"/>
          <w:color w:val="FF0000"/>
          <w:sz w:val="22"/>
          <w:szCs w:val="22"/>
        </w:rPr>
      </w:pPr>
      <w:r w:rsidRPr="00CE30A2">
        <w:rPr>
          <w:rFonts w:ascii="Calibri" w:hAnsi="Calibri" w:cs="Calibri"/>
          <w:color w:val="FF0000"/>
          <w:sz w:val="22"/>
          <w:szCs w:val="22"/>
        </w:rPr>
        <w:t>The ALAC found the scope of metrics used by the GNSO to be too limiting to be effective in measuring end-user benefit and confidence. We believe that to be effective, the metrics must evaluate the gTLD program not only between the different registries, but between the use of domain names and alternate methods to access Internet information. We are concerned about the effect of the expansion program not only on the new gTLDs, but on public confidence in and of the the whole domain name system. It is possibile that a reduction in confidence in new gTLDs could spill over to legacy registries which we believe metrics need to track.</w:t>
      </w:r>
    </w:p>
    <w:p w14:paraId="0F468C7E" w14:textId="77777777" w:rsidR="002F50C3" w:rsidRPr="00CE30A2" w:rsidRDefault="002F50C3" w:rsidP="002F50C3">
      <w:pPr>
        <w:pStyle w:val="ListParagraph"/>
        <w:spacing w:before="120"/>
        <w:ind w:left="0"/>
        <w:rPr>
          <w:rFonts w:ascii="Calibri" w:hAnsi="Calibri" w:cs="Calibri"/>
          <w:color w:val="FF0000"/>
          <w:sz w:val="22"/>
          <w:szCs w:val="22"/>
        </w:rPr>
      </w:pPr>
    </w:p>
    <w:p w14:paraId="208881E3" w14:textId="77777777" w:rsidR="002F50C3" w:rsidRDefault="002F50C3" w:rsidP="002F50C3">
      <w:pPr>
        <w:pStyle w:val="ListParagraph"/>
        <w:spacing w:before="120"/>
        <w:ind w:left="0"/>
        <w:rPr>
          <w:rFonts w:ascii="Calibri" w:hAnsi="Calibri" w:cs="Calibri"/>
          <w:color w:val="FF0000"/>
          <w:sz w:val="22"/>
          <w:szCs w:val="22"/>
        </w:rPr>
      </w:pPr>
      <w:r w:rsidRPr="00CE30A2">
        <w:rPr>
          <w:rFonts w:ascii="Calibri" w:hAnsi="Calibri" w:cs="Calibri"/>
          <w:color w:val="FF0000"/>
          <w:sz w:val="22"/>
          <w:szCs w:val="22"/>
        </w:rPr>
        <w:t>The metrics proposed are intended to measure the gTLD expansion program from the point of view of Internet end-users, the ALAC's constituency as defined in ICANN bylaws. We assume that the needs of domain buyers and sellers are sufficiently addressed by the GNSO in its metrics. The metrics below supplement, not replace, the GNSO recommendations.</w:t>
      </w:r>
    </w:p>
    <w:p w14:paraId="2FEB9936" w14:textId="77777777" w:rsidR="002F50C3" w:rsidRPr="00CE30A2" w:rsidRDefault="002F50C3" w:rsidP="002F50C3">
      <w:pPr>
        <w:pStyle w:val="ListParagraph"/>
        <w:spacing w:before="120"/>
        <w:ind w:left="0"/>
        <w:rPr>
          <w:rFonts w:ascii="Calibri" w:hAnsi="Calibri" w:cs="Calibri"/>
          <w:color w:val="FF0000"/>
          <w:sz w:val="22"/>
          <w:szCs w:val="22"/>
        </w:rPr>
      </w:pPr>
    </w:p>
    <w:p w14:paraId="7C618BD9" w14:textId="77777777" w:rsidR="002F50C3" w:rsidRPr="00CE30A2" w:rsidRDefault="002F50C3" w:rsidP="002F50C3">
      <w:pPr>
        <w:pStyle w:val="ListParagraph"/>
        <w:spacing w:before="120"/>
        <w:ind w:left="0"/>
        <w:rPr>
          <w:rFonts w:ascii="Calibri" w:hAnsi="Calibri" w:cs="Calibri"/>
          <w:color w:val="FF0000"/>
          <w:sz w:val="22"/>
          <w:szCs w:val="22"/>
        </w:rPr>
      </w:pPr>
      <w:r w:rsidRPr="00CE30A2">
        <w:rPr>
          <w:rFonts w:ascii="Calibri" w:hAnsi="Calibri" w:cs="Calibri"/>
          <w:color w:val="FF0000"/>
          <w:sz w:val="22"/>
          <w:szCs w:val="22"/>
        </w:rPr>
        <w:lastRenderedPageBreak/>
        <w:t>As the scope of ALAC and ICANN itself is global, we anticipate and expect that any metrics to be measured by survey (both the ALAC and GNSO metrics) would need to be globally distributed and multi-lingual </w:t>
      </w:r>
    </w:p>
    <w:p w14:paraId="270EC060" w14:textId="77777777" w:rsidR="002F50C3" w:rsidRDefault="002F50C3" w:rsidP="002F50C3">
      <w:pPr>
        <w:widowControl w:val="0"/>
        <w:autoSpaceDE w:val="0"/>
        <w:autoSpaceDN w:val="0"/>
        <w:adjustRightInd w:val="0"/>
        <w:rPr>
          <w:rFonts w:ascii="Calibri" w:hAnsi="Calibri" w:cs="Calibri"/>
          <w:sz w:val="22"/>
          <w:szCs w:val="22"/>
        </w:rPr>
      </w:pPr>
    </w:p>
    <w:p w14:paraId="7BF6EFF9" w14:textId="77777777" w:rsidR="002F50C3" w:rsidRDefault="002F50C3" w:rsidP="002F50C3">
      <w:pPr>
        <w:widowControl w:val="0"/>
        <w:autoSpaceDE w:val="0"/>
        <w:autoSpaceDN w:val="0"/>
        <w:adjustRightInd w:val="0"/>
        <w:rPr>
          <w:rFonts w:ascii="Calibri" w:hAnsi="Calibri" w:cs="Calibri"/>
          <w:sz w:val="22"/>
          <w:szCs w:val="22"/>
        </w:rPr>
      </w:pPr>
    </w:p>
    <w:tbl>
      <w:tblPr>
        <w:tblW w:w="127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170"/>
        <w:gridCol w:w="2700"/>
        <w:gridCol w:w="1530"/>
        <w:gridCol w:w="3600"/>
      </w:tblGrid>
      <w:tr w:rsidR="003C6070" w:rsidRPr="0084344C" w14:paraId="64DC3B05" w14:textId="77777777" w:rsidTr="00E71F88">
        <w:trPr>
          <w:cantSplit/>
          <w:trHeight w:val="690"/>
          <w:tblHeader/>
        </w:trPr>
        <w:tc>
          <w:tcPr>
            <w:tcW w:w="3785" w:type="dxa"/>
            <w:tcBorders>
              <w:bottom w:val="single" w:sz="4" w:space="0" w:color="auto"/>
            </w:tcBorders>
            <w:shd w:val="clear" w:color="auto" w:fill="auto"/>
            <w:noWrap/>
            <w:vAlign w:val="center"/>
            <w:hideMark/>
          </w:tcPr>
          <w:p w14:paraId="17C0BB57" w14:textId="77777777" w:rsidR="003C6070" w:rsidRPr="0084344C" w:rsidRDefault="003C6070"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170" w:type="dxa"/>
            <w:tcBorders>
              <w:bottom w:val="single" w:sz="4" w:space="0" w:color="auto"/>
            </w:tcBorders>
            <w:shd w:val="clear" w:color="auto" w:fill="auto"/>
            <w:noWrap/>
            <w:vAlign w:val="center"/>
            <w:hideMark/>
          </w:tcPr>
          <w:p w14:paraId="57DFCA0D" w14:textId="77777777" w:rsidR="003C6070" w:rsidRPr="00694981" w:rsidRDefault="003C6070"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00" w:type="dxa"/>
            <w:tcBorders>
              <w:bottom w:val="single" w:sz="4" w:space="0" w:color="auto"/>
            </w:tcBorders>
            <w:vAlign w:val="center"/>
          </w:tcPr>
          <w:p w14:paraId="3F573F92" w14:textId="77777777" w:rsidR="003C6070" w:rsidRDefault="003C6070"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auto"/>
            <w:vAlign w:val="center"/>
          </w:tcPr>
          <w:p w14:paraId="112E9EA1" w14:textId="77777777" w:rsidR="003C6070" w:rsidRDefault="003C6070"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488511E" w14:textId="77777777" w:rsidR="003C6070" w:rsidRPr="0084344C" w:rsidRDefault="003C6070"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c>
          <w:tcPr>
            <w:tcW w:w="3600" w:type="dxa"/>
            <w:tcBorders>
              <w:bottom w:val="single" w:sz="4" w:space="0" w:color="auto"/>
            </w:tcBorders>
            <w:vAlign w:val="center"/>
          </w:tcPr>
          <w:p w14:paraId="3C9CC271" w14:textId="4F0A3EBC" w:rsidR="003C6070" w:rsidRDefault="003C6070" w:rsidP="009E7F03">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IAG-CCT </w:t>
            </w:r>
            <w:r w:rsidR="009E7F03">
              <w:rPr>
                <w:rFonts w:ascii="Calibri" w:eastAsia="Times New Roman" w:hAnsi="Calibri" w:cs="Times New Roman"/>
                <w:b/>
                <w:color w:val="000000"/>
                <w:sz w:val="20"/>
                <w:szCs w:val="22"/>
              </w:rPr>
              <w:t>Recommendations</w:t>
            </w:r>
          </w:p>
        </w:tc>
      </w:tr>
      <w:tr w:rsidR="003C6070" w:rsidRPr="00AD5C36" w14:paraId="5A5BC4C3" w14:textId="77777777" w:rsidTr="00E71F88">
        <w:trPr>
          <w:cantSplit/>
        </w:trPr>
        <w:tc>
          <w:tcPr>
            <w:tcW w:w="9185" w:type="dxa"/>
            <w:gridSpan w:val="4"/>
            <w:shd w:val="clear" w:color="auto" w:fill="BFBFBF" w:themeFill="background1" w:themeFillShade="BF"/>
            <w:noWrap/>
          </w:tcPr>
          <w:p w14:paraId="6FD12414" w14:textId="77777777" w:rsidR="003C6070" w:rsidRPr="009D55E9" w:rsidRDefault="003C6070"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c>
          <w:tcPr>
            <w:tcW w:w="3600" w:type="dxa"/>
            <w:shd w:val="clear" w:color="auto" w:fill="BFBFBF" w:themeFill="background1" w:themeFillShade="BF"/>
            <w:vAlign w:val="center"/>
          </w:tcPr>
          <w:p w14:paraId="4561F75F" w14:textId="77777777" w:rsidR="003C6070" w:rsidRPr="009D55E9" w:rsidRDefault="003C6070" w:rsidP="005F63A9">
            <w:pPr>
              <w:spacing w:before="60" w:after="60"/>
              <w:rPr>
                <w:rFonts w:ascii="Calibri" w:eastAsia="Times New Roman" w:hAnsi="Calibri" w:cs="Times New Roman"/>
                <w:b/>
                <w:i/>
                <w:color w:val="000000"/>
                <w:sz w:val="20"/>
                <w:szCs w:val="22"/>
              </w:rPr>
            </w:pPr>
          </w:p>
        </w:tc>
      </w:tr>
      <w:tr w:rsidR="003C6070" w:rsidRPr="00AD5C36" w14:paraId="4F0A5FF5" w14:textId="77777777" w:rsidTr="00E71F88">
        <w:trPr>
          <w:cantSplit/>
          <w:trHeight w:val="690"/>
        </w:trPr>
        <w:tc>
          <w:tcPr>
            <w:tcW w:w="3785" w:type="dxa"/>
            <w:shd w:val="clear" w:color="auto" w:fill="auto"/>
            <w:noWrap/>
            <w:vAlign w:val="center"/>
            <w:hideMark/>
          </w:tcPr>
          <w:p w14:paraId="0D985119" w14:textId="77777777" w:rsidR="003C6070" w:rsidRPr="00AD5C36"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Pr="00AD5C36">
              <w:rPr>
                <w:rFonts w:ascii="Calibri" w:eastAsia="Times New Roman" w:hAnsi="Calibri" w:cs="Times New Roman"/>
                <w:color w:val="000000"/>
                <w:sz w:val="20"/>
                <w:szCs w:val="22"/>
              </w:rPr>
              <w:t>% DNS Service Availability</w:t>
            </w:r>
            <w:r>
              <w:rPr>
                <w:rFonts w:ascii="Calibri" w:eastAsia="Times New Roman" w:hAnsi="Calibri" w:cs="Times New Roman"/>
                <w:color w:val="000000"/>
                <w:sz w:val="20"/>
                <w:szCs w:val="22"/>
              </w:rPr>
              <w:t xml:space="preserve"> (present SLA is 100%).</w:t>
            </w:r>
          </w:p>
        </w:tc>
        <w:tc>
          <w:tcPr>
            <w:tcW w:w="1170" w:type="dxa"/>
            <w:shd w:val="clear" w:color="auto" w:fill="auto"/>
            <w:noWrap/>
            <w:vAlign w:val="center"/>
            <w:hideMark/>
          </w:tcPr>
          <w:p w14:paraId="276BE0E9"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00" w:type="dxa"/>
            <w:vAlign w:val="center"/>
          </w:tcPr>
          <w:p w14:paraId="70A0004A"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538192F"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c>
          <w:tcPr>
            <w:tcW w:w="3600" w:type="dxa"/>
            <w:vAlign w:val="center"/>
          </w:tcPr>
          <w:p w14:paraId="142AF51F" w14:textId="4CDE343C" w:rsidR="003C6070" w:rsidRDefault="00F337B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Metric is feasible and useful. </w:t>
            </w:r>
          </w:p>
        </w:tc>
      </w:tr>
      <w:tr w:rsidR="003C6070" w:rsidRPr="00AD5C36" w14:paraId="5DF11269" w14:textId="77777777" w:rsidTr="00E71F88">
        <w:trPr>
          <w:cantSplit/>
          <w:trHeight w:val="690"/>
        </w:trPr>
        <w:tc>
          <w:tcPr>
            <w:tcW w:w="3785" w:type="dxa"/>
            <w:shd w:val="clear" w:color="auto" w:fill="auto"/>
            <w:noWrap/>
            <w:vAlign w:val="center"/>
            <w:hideMark/>
          </w:tcPr>
          <w:p w14:paraId="5C100E99" w14:textId="77777777" w:rsidR="003C6070" w:rsidRPr="00AD5C36" w:rsidRDefault="003C607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Pr="00AD5C36">
              <w:rPr>
                <w:rFonts w:ascii="Calibri" w:eastAsia="Times New Roman" w:hAnsi="Calibri" w:cs="Times New Roman"/>
                <w:color w:val="000000"/>
                <w:sz w:val="20"/>
                <w:szCs w:val="22"/>
              </w:rPr>
              <w:t>% Availability</w:t>
            </w:r>
            <w:r>
              <w:rPr>
                <w:rFonts w:ascii="Calibri" w:eastAsia="Times New Roman" w:hAnsi="Calibri" w:cs="Times New Roman"/>
                <w:color w:val="000000"/>
                <w:sz w:val="20"/>
                <w:szCs w:val="22"/>
              </w:rPr>
              <w:t xml:space="preserve"> for </w:t>
            </w:r>
            <w:r w:rsidRPr="008571FE">
              <w:rPr>
                <w:rFonts w:ascii="Calibri" w:eastAsia="Times New Roman" w:hAnsi="Calibri" w:cs="Times New Roman"/>
                <w:color w:val="000000"/>
                <w:sz w:val="20"/>
                <w:szCs w:val="22"/>
              </w:rPr>
              <w:t>Registration Data Directory Services</w:t>
            </w:r>
            <w:r>
              <w:rPr>
                <w:rFonts w:ascii="Calibri" w:eastAsia="Times New Roman" w:hAnsi="Calibri" w:cs="Times New Roman"/>
                <w:color w:val="000000"/>
                <w:sz w:val="20"/>
                <w:szCs w:val="22"/>
              </w:rPr>
              <w:t xml:space="preserve"> (RDDS).   (SLA is 98%).</w:t>
            </w:r>
          </w:p>
        </w:tc>
        <w:tc>
          <w:tcPr>
            <w:tcW w:w="1170" w:type="dxa"/>
            <w:shd w:val="clear" w:color="auto" w:fill="auto"/>
            <w:noWrap/>
            <w:vAlign w:val="center"/>
            <w:hideMark/>
          </w:tcPr>
          <w:p w14:paraId="6F0CE031"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00" w:type="dxa"/>
            <w:vAlign w:val="center"/>
          </w:tcPr>
          <w:p w14:paraId="5C01A51F"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62870B3"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c>
          <w:tcPr>
            <w:tcW w:w="3600" w:type="dxa"/>
            <w:vAlign w:val="center"/>
          </w:tcPr>
          <w:p w14:paraId="18786616" w14:textId="55391B00" w:rsidR="003C6070" w:rsidRDefault="00F337B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0E006329" w14:textId="77777777" w:rsidTr="00E71F88">
        <w:trPr>
          <w:cantSplit/>
          <w:trHeight w:val="690"/>
        </w:trPr>
        <w:tc>
          <w:tcPr>
            <w:tcW w:w="3785" w:type="dxa"/>
            <w:shd w:val="clear" w:color="auto" w:fill="auto"/>
            <w:noWrap/>
            <w:vAlign w:val="center"/>
            <w:hideMark/>
          </w:tcPr>
          <w:p w14:paraId="045C3DBC" w14:textId="77777777" w:rsidR="003C6070" w:rsidRPr="000812DC" w:rsidRDefault="003C607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Pr>
                <w:rFonts w:ascii="Calibri" w:eastAsia="Times New Roman" w:hAnsi="Calibri" w:cs="Times New Roman"/>
                <w:color w:val="000000"/>
                <w:sz w:val="20"/>
                <w:szCs w:val="22"/>
              </w:rPr>
              <w:t xml:space="preserve"> </w:t>
            </w:r>
            <w:r w:rsidRPr="008571FE">
              <w:rPr>
                <w:rFonts w:ascii="Calibri" w:eastAsia="Times New Roman" w:hAnsi="Calibri" w:cs="Times New Roman"/>
                <w:color w:val="000000"/>
                <w:sz w:val="20"/>
                <w:szCs w:val="22"/>
              </w:rPr>
              <w:t xml:space="preserve">for </w:t>
            </w:r>
            <w:r>
              <w:rPr>
                <w:rFonts w:ascii="Calibri" w:eastAsia="Times New Roman" w:hAnsi="Calibri" w:cs="Times New Roman"/>
                <w:bCs/>
                <w:color w:val="000000"/>
                <w:sz w:val="20"/>
                <w:szCs w:val="22"/>
              </w:rPr>
              <w:t xml:space="preserve">Shared Registration Services (SRS, using EPP).  (SLA is 98%).  </w:t>
            </w:r>
            <w:r w:rsidRPr="00AB44EC">
              <w:rPr>
                <w:rFonts w:ascii="Calibri" w:eastAsia="Times New Roman" w:hAnsi="Calibri" w:cs="Times New Roman"/>
                <w:bCs/>
                <w:color w:val="000000" w:themeColor="text1"/>
                <w:sz w:val="20"/>
                <w:szCs w:val="22"/>
              </w:rPr>
              <w:t>Open TLDs only</w:t>
            </w:r>
          </w:p>
        </w:tc>
        <w:tc>
          <w:tcPr>
            <w:tcW w:w="1170" w:type="dxa"/>
            <w:shd w:val="clear" w:color="auto" w:fill="auto"/>
            <w:noWrap/>
            <w:vAlign w:val="center"/>
            <w:hideMark/>
          </w:tcPr>
          <w:p w14:paraId="61B904E0"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00" w:type="dxa"/>
            <w:vAlign w:val="center"/>
          </w:tcPr>
          <w:p w14:paraId="11FCEC54"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F031C06"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c>
          <w:tcPr>
            <w:tcW w:w="3600" w:type="dxa"/>
            <w:vAlign w:val="center"/>
          </w:tcPr>
          <w:p w14:paraId="2556CCED" w14:textId="0ACDAF10" w:rsidR="003C6070" w:rsidRDefault="00F337B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6AFDE578" w14:textId="77777777" w:rsidTr="00E71F88">
        <w:trPr>
          <w:cantSplit/>
          <w:trHeight w:val="690"/>
        </w:trPr>
        <w:tc>
          <w:tcPr>
            <w:tcW w:w="3785" w:type="dxa"/>
            <w:shd w:val="clear" w:color="auto" w:fill="auto"/>
            <w:noWrap/>
            <w:vAlign w:val="center"/>
            <w:hideMark/>
          </w:tcPr>
          <w:p w14:paraId="3FE8E52D" w14:textId="77777777" w:rsidR="003C6070" w:rsidRPr="00AD5C36" w:rsidRDefault="003C607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[1.4] </w:t>
            </w:r>
            <w:r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w:t>
            </w:r>
            <w:r>
              <w:rPr>
                <w:rFonts w:ascii="Calibri" w:eastAsia="Times New Roman" w:hAnsi="Calibri" w:cs="Times New Roman"/>
                <w:color w:val="000000"/>
                <w:sz w:val="20"/>
                <w:szCs w:val="22"/>
              </w:rPr>
              <w:t>R</w:t>
            </w:r>
            <w:r w:rsidRPr="0066499A">
              <w:rPr>
                <w:rFonts w:ascii="Calibri" w:eastAsia="Times New Roman" w:hAnsi="Calibri" w:cs="Times New Roman"/>
                <w:color w:val="000000"/>
                <w:sz w:val="20"/>
                <w:szCs w:val="22"/>
              </w:rPr>
              <w:t xml:space="preserve">egistrant and </w:t>
            </w:r>
            <w:r>
              <w:rPr>
                <w:rFonts w:ascii="Calibri" w:eastAsia="Times New Roman" w:hAnsi="Calibri" w:cs="Times New Roman"/>
                <w:color w:val="000000"/>
                <w:sz w:val="20"/>
                <w:szCs w:val="22"/>
              </w:rPr>
              <w:t>I</w:t>
            </w:r>
            <w:r w:rsidRPr="0066499A">
              <w:rPr>
                <w:rFonts w:ascii="Calibri" w:eastAsia="Times New Roman" w:hAnsi="Calibri" w:cs="Times New Roman"/>
                <w:color w:val="000000"/>
                <w:sz w:val="20"/>
                <w:szCs w:val="22"/>
              </w:rPr>
              <w:t xml:space="preserve">nternet </w:t>
            </w:r>
            <w:r>
              <w:rPr>
                <w:rFonts w:ascii="Calibri" w:eastAsia="Times New Roman" w:hAnsi="Calibri" w:cs="Times New Roman"/>
                <w:color w:val="000000"/>
                <w:sz w:val="20"/>
                <w:szCs w:val="22"/>
              </w:rPr>
              <w:t>u</w:t>
            </w:r>
            <w:r w:rsidRPr="0066499A">
              <w:rPr>
                <w:rFonts w:ascii="Calibri" w:eastAsia="Times New Roman" w:hAnsi="Calibri" w:cs="Times New Roman"/>
                <w:color w:val="000000"/>
                <w:sz w:val="20"/>
                <w:szCs w:val="22"/>
              </w:rPr>
              <w:t>ser</w:t>
            </w:r>
            <w:r>
              <w:rPr>
                <w:rFonts w:ascii="Calibri" w:eastAsia="Times New Roman" w:hAnsi="Calibri" w:cs="Times New Roman"/>
                <w:color w:val="000000"/>
                <w:sz w:val="20"/>
                <w:szCs w:val="22"/>
              </w:rPr>
              <w:t>s</w:t>
            </w:r>
            <w:r w:rsidRPr="0066499A">
              <w:rPr>
                <w:rFonts w:ascii="Calibri" w:eastAsia="Times New Roman" w:hAnsi="Calibri" w:cs="Times New Roman"/>
                <w:color w:val="000000"/>
                <w:sz w:val="20"/>
                <w:szCs w:val="22"/>
              </w:rPr>
              <w:t>’ experience with regard to cybersquatting.</w:t>
            </w:r>
            <w:r>
              <w:rPr>
                <w:rFonts w:ascii="Calibri" w:eastAsia="Times New Roman" w:hAnsi="Calibri" w:cs="Times New Roman"/>
                <w:color w:val="000000"/>
                <w:sz w:val="20"/>
                <w:szCs w:val="22"/>
              </w:rPr>
              <w:t xml:space="preserve">  Survey to be conducted every two years (biennial).</w:t>
            </w:r>
          </w:p>
        </w:tc>
        <w:tc>
          <w:tcPr>
            <w:tcW w:w="1170" w:type="dxa"/>
            <w:shd w:val="clear" w:color="auto" w:fill="auto"/>
            <w:noWrap/>
            <w:vAlign w:val="center"/>
            <w:hideMark/>
          </w:tcPr>
          <w:p w14:paraId="64ACBB8C"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00" w:type="dxa"/>
            <w:vAlign w:val="center"/>
          </w:tcPr>
          <w:p w14:paraId="51A3DFA5" w14:textId="77777777" w:rsidR="003C6070" w:rsidRDefault="003C6070"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16C7AB77" w14:textId="77777777" w:rsidR="003C6070" w:rsidRDefault="003C6070"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14:paraId="0509A4A3" w14:textId="77777777" w:rsidR="003C6070"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c>
          <w:tcPr>
            <w:tcW w:w="3600" w:type="dxa"/>
            <w:vAlign w:val="center"/>
          </w:tcPr>
          <w:p w14:paraId="6F721033" w14:textId="77777777" w:rsidR="009E7F03" w:rsidRPr="009E7F03" w:rsidRDefault="009E7F03" w:rsidP="009E7F03">
            <w:pPr>
              <w:pStyle w:val="CommentText"/>
              <w:rPr>
                <w:rFonts w:ascii="Calibri" w:eastAsia="Times New Roman" w:hAnsi="Calibri" w:cs="Times New Roman"/>
                <w:color w:val="000000"/>
              </w:rPr>
            </w:pPr>
            <w:r w:rsidRPr="009E7F03">
              <w:rPr>
                <w:rFonts w:ascii="Calibri" w:eastAsia="Times New Roman" w:hAnsi="Calibri" w:cs="Times New Roman"/>
                <w:color w:val="000000"/>
              </w:rPr>
              <w:t xml:space="preserve">Combined with metrics 2.1, 2.2, 2.3, 2.10, 2.12, 2.13, 4.1, 4.2, 4.3, and 5.1 to be measured as part of the global consumer survey scheduled to launch in Oct. 2014. </w:t>
            </w:r>
            <w:r w:rsidRPr="009E7F03">
              <w:rPr>
                <w:rFonts w:ascii="Calibri" w:hAnsi="Calibri" w:cs="Times New Roman"/>
              </w:rPr>
              <w:t xml:space="preserve">Note that questions related to trust should also include measures of awareness about new gTLDs, and DNS in general. Capture baseline of attitudes now – do not ask survey respondents to recall past attitudes. </w:t>
            </w:r>
            <w:r w:rsidRPr="009E7F03">
              <w:rPr>
                <w:rFonts w:ascii="Calibri" w:eastAsia="Times New Roman" w:hAnsi="Calibri" w:cs="Times New Roman"/>
                <w:color w:val="000000"/>
              </w:rPr>
              <w:t>ICANN provides the following definitions as a starting point for the contracted vendor to refine these terms into clear, common-language definitions that can easily translate into other languages:</w:t>
            </w:r>
          </w:p>
          <w:p w14:paraId="05E45497" w14:textId="77777777" w:rsidR="009E7F03" w:rsidRPr="009E7F03" w:rsidRDefault="009E7F03" w:rsidP="009E7F03">
            <w:pPr>
              <w:rPr>
                <w:rFonts w:ascii="Calibri" w:eastAsia="Times New Roman" w:hAnsi="Calibri" w:cs="Times New Roman"/>
                <w:color w:val="000000"/>
                <w:sz w:val="20"/>
                <w:szCs w:val="20"/>
              </w:rPr>
            </w:pPr>
            <w:r w:rsidRPr="009E7F03">
              <w:rPr>
                <w:rFonts w:ascii="Calibri" w:eastAsia="Times New Roman" w:hAnsi="Calibri" w:cs="Times New Roman"/>
                <w:b/>
                <w:color w:val="000000"/>
                <w:sz w:val="20"/>
                <w:szCs w:val="20"/>
              </w:rPr>
              <w:t>Consumer</w:t>
            </w:r>
            <w:r w:rsidRPr="009E7F03">
              <w:rPr>
                <w:rFonts w:ascii="Calibri" w:eastAsia="Times New Roman" w:hAnsi="Calibri" w:cs="Times New Roman"/>
                <w:color w:val="000000"/>
                <w:sz w:val="20"/>
                <w:szCs w:val="20"/>
              </w:rPr>
              <w:t xml:space="preserve">: Actual Internet users and registrants, and potential registrants. </w:t>
            </w:r>
          </w:p>
          <w:p w14:paraId="238DD33D" w14:textId="77777777" w:rsidR="009E7F03" w:rsidRPr="009E7F03" w:rsidRDefault="009E7F03" w:rsidP="009E7F03">
            <w:pPr>
              <w:rPr>
                <w:rFonts w:ascii="Calibri" w:hAnsi="Calibri" w:cs="Times New Roman"/>
                <w:sz w:val="20"/>
                <w:szCs w:val="20"/>
              </w:rPr>
            </w:pPr>
            <w:r w:rsidRPr="009E7F03">
              <w:rPr>
                <w:rFonts w:ascii="Calibri" w:eastAsia="Times New Roman" w:hAnsi="Calibri" w:cs="Times New Roman"/>
                <w:b/>
                <w:color w:val="000000"/>
                <w:sz w:val="20"/>
                <w:szCs w:val="20"/>
              </w:rPr>
              <w:t>Consumer trust</w:t>
            </w:r>
            <w:r w:rsidRPr="009E7F03">
              <w:rPr>
                <w:rFonts w:ascii="Calibri" w:eastAsia="Times New Roman" w:hAnsi="Calibri" w:cs="Times New Roman"/>
                <w:color w:val="000000"/>
                <w:sz w:val="20"/>
                <w:szCs w:val="20"/>
              </w:rPr>
              <w:t xml:space="preserve">: </w:t>
            </w:r>
            <w:r w:rsidRPr="009E7F03">
              <w:rPr>
                <w:rFonts w:ascii="Calibri" w:hAnsi="Calibri" w:cs="Times New Roman"/>
                <w:sz w:val="20"/>
                <w:szCs w:val="20"/>
              </w:rPr>
              <w:t>The confidence Consumers have in the domain name system. This includes (i) trust in the consistency of name resolution (ii) confidence that a TLD registry operator is fulfilling the Registry’s stated purpose and is complying with ICANN policies and applicable national laws and (iii) confidence in ICANN’s compliance function.</w:t>
            </w:r>
          </w:p>
          <w:p w14:paraId="12ED8F59" w14:textId="77777777" w:rsidR="009E7F03" w:rsidRPr="009E7F03" w:rsidRDefault="009E7F03" w:rsidP="009E7F03">
            <w:pPr>
              <w:rPr>
                <w:rFonts w:ascii="Calibri" w:hAnsi="Calibri" w:cs="Times New Roman"/>
                <w:sz w:val="20"/>
                <w:szCs w:val="20"/>
              </w:rPr>
            </w:pPr>
            <w:r w:rsidRPr="009E7F03">
              <w:rPr>
                <w:rFonts w:ascii="Calibri" w:eastAsia="Times New Roman" w:hAnsi="Calibri" w:cs="Times New Roman"/>
                <w:b/>
                <w:color w:val="000000"/>
                <w:sz w:val="20"/>
                <w:szCs w:val="20"/>
              </w:rPr>
              <w:t xml:space="preserve">Consumer choice: </w:t>
            </w:r>
            <w:r w:rsidRPr="009E7F03">
              <w:rPr>
                <w:rFonts w:ascii="Calibri" w:eastAsia="Times New Roman" w:hAnsi="Calibri" w:cs="Times New Roman"/>
                <w:color w:val="000000"/>
                <w:sz w:val="20"/>
                <w:szCs w:val="20"/>
              </w:rPr>
              <w:t xml:space="preserve">The </w:t>
            </w:r>
            <w:r w:rsidRPr="009E7F03">
              <w:rPr>
                <w:rFonts w:ascii="Calibri" w:hAnsi="Calibri" w:cs="Times New Roman"/>
                <w:sz w:val="20"/>
                <w:szCs w:val="20"/>
              </w:rPr>
              <w:t>range of options available to Consumers for domain scripts and languages, and for TLDs that offer meaningful choices as to the proposed purpose and integrity of their domain name registrants.</w:t>
            </w:r>
          </w:p>
          <w:p w14:paraId="3EA1080C" w14:textId="77777777" w:rsidR="009E7F03" w:rsidRPr="009E7F03" w:rsidRDefault="009E7F03" w:rsidP="009E7F03">
            <w:pPr>
              <w:rPr>
                <w:rFonts w:ascii="Calibri" w:hAnsi="Calibri" w:cs="Times New Roman"/>
                <w:sz w:val="20"/>
                <w:szCs w:val="20"/>
              </w:rPr>
            </w:pPr>
            <w:r w:rsidRPr="009E7F03">
              <w:rPr>
                <w:rFonts w:ascii="Calibri" w:hAnsi="Calibri" w:cs="Times New Roman"/>
                <w:b/>
                <w:sz w:val="20"/>
                <w:szCs w:val="20"/>
              </w:rPr>
              <w:t xml:space="preserve">Phishing: </w:t>
            </w:r>
            <w:r w:rsidRPr="009E7F03">
              <w:rPr>
                <w:rFonts w:ascii="Calibri" w:hAnsi="Calibri" w:cs="Times New Roman"/>
                <w:sz w:val="20"/>
                <w:szCs w:val="20"/>
              </w:rPr>
              <w:t xml:space="preserve">Using social and technical engineering to steal consumers’ personal </w:t>
            </w:r>
            <w:r w:rsidRPr="009E7F03">
              <w:rPr>
                <w:rFonts w:ascii="Calibri" w:hAnsi="Calibri" w:cs="Times New Roman"/>
                <w:sz w:val="20"/>
                <w:szCs w:val="20"/>
              </w:rPr>
              <w:lastRenderedPageBreak/>
              <w:t>identity data and financial account credentials.</w:t>
            </w:r>
          </w:p>
          <w:p w14:paraId="42BE8F79" w14:textId="77777777" w:rsidR="009E7F03" w:rsidRPr="009E7F03" w:rsidRDefault="009E7F03" w:rsidP="009E7F03">
            <w:pPr>
              <w:rPr>
                <w:rFonts w:ascii="Calibri" w:hAnsi="Calibri" w:cs="Times New Roman"/>
                <w:sz w:val="20"/>
                <w:szCs w:val="20"/>
              </w:rPr>
            </w:pPr>
            <w:r w:rsidRPr="009E7F03">
              <w:rPr>
                <w:rFonts w:ascii="Calibri" w:hAnsi="Calibri" w:cs="Times New Roman"/>
                <w:b/>
                <w:sz w:val="20"/>
                <w:szCs w:val="20"/>
              </w:rPr>
              <w:t xml:space="preserve">Malware: </w:t>
            </w:r>
            <w:r w:rsidRPr="009E7F03">
              <w:rPr>
                <w:rFonts w:ascii="Calibri" w:hAnsi="Calibri" w:cs="Times New Roman"/>
                <w:sz w:val="20"/>
                <w:szCs w:val="20"/>
              </w:rPr>
              <w:t>Short for malicious software, used to disrupt computer operations, gather sensitive information or gain access to private computer systems.</w:t>
            </w:r>
          </w:p>
          <w:p w14:paraId="2392EA01" w14:textId="77777777" w:rsidR="009E7F03" w:rsidRPr="009E7F03" w:rsidRDefault="009E7F03" w:rsidP="009E7F03">
            <w:pPr>
              <w:rPr>
                <w:rFonts w:ascii="Calibri" w:hAnsi="Calibri" w:cs="Times New Roman"/>
                <w:sz w:val="20"/>
                <w:szCs w:val="20"/>
              </w:rPr>
            </w:pPr>
            <w:r w:rsidRPr="009E7F03">
              <w:rPr>
                <w:rFonts w:ascii="Calibri" w:hAnsi="Calibri" w:cs="Times New Roman"/>
                <w:b/>
                <w:sz w:val="20"/>
                <w:szCs w:val="20"/>
              </w:rPr>
              <w:t xml:space="preserve">Spam: </w:t>
            </w:r>
            <w:r w:rsidRPr="009E7F03">
              <w:rPr>
                <w:rFonts w:ascii="Calibri" w:hAnsi="Calibri" w:cs="Times New Roman"/>
                <w:sz w:val="20"/>
                <w:szCs w:val="20"/>
              </w:rPr>
              <w:t>Electronic junk mail or junk newsgroup postings. Some people define spam even more generally as any unsolicited email.</w:t>
            </w:r>
          </w:p>
          <w:p w14:paraId="5627E20F" w14:textId="77777777" w:rsidR="009E7F03" w:rsidRPr="009E7F03" w:rsidRDefault="009E7F03" w:rsidP="009E7F03">
            <w:pPr>
              <w:rPr>
                <w:rFonts w:ascii="Calibri" w:hAnsi="Calibri" w:cs="Times New Roman"/>
                <w:sz w:val="20"/>
                <w:szCs w:val="20"/>
              </w:rPr>
            </w:pPr>
            <w:r w:rsidRPr="009E7F03">
              <w:rPr>
                <w:rFonts w:ascii="Calibri" w:hAnsi="Calibri" w:cs="Times New Roman"/>
                <w:b/>
                <w:sz w:val="20"/>
                <w:szCs w:val="20"/>
              </w:rPr>
              <w:t xml:space="preserve">Second-level domains: </w:t>
            </w:r>
            <w:r w:rsidRPr="009E7F03">
              <w:rPr>
                <w:rFonts w:ascii="Calibri" w:hAnsi="Calibri" w:cs="Times New Roman"/>
                <w:sz w:val="20"/>
                <w:szCs w:val="20"/>
              </w:rPr>
              <w:t>The data directly before the top-level domain (TLD). For example, in www.example.com, “example” represents the second level domain, as the suffix "(dot)-com" represents the TLD. The SLD is generally the portion of the URL that identifies the website's domain name.</w:t>
            </w:r>
          </w:p>
          <w:p w14:paraId="53182E0B" w14:textId="77777777" w:rsidR="009E7F03" w:rsidRPr="009E7F03" w:rsidRDefault="009E7F03" w:rsidP="009E7F03">
            <w:pPr>
              <w:rPr>
                <w:rFonts w:ascii="Calibri" w:eastAsia="Times New Roman" w:hAnsi="Calibri" w:cs="Times New Roman"/>
                <w:color w:val="000000"/>
                <w:sz w:val="20"/>
                <w:szCs w:val="20"/>
              </w:rPr>
            </w:pPr>
            <w:r w:rsidRPr="009E7F03">
              <w:rPr>
                <w:rFonts w:ascii="Calibri" w:eastAsia="Times New Roman" w:hAnsi="Calibri" w:cs="Times New Roman"/>
                <w:b/>
                <w:color w:val="000000"/>
                <w:sz w:val="20"/>
                <w:szCs w:val="20"/>
              </w:rPr>
              <w:t xml:space="preserve">Cybersquatting: </w:t>
            </w:r>
            <w:r w:rsidRPr="009E7F03">
              <w:rPr>
                <w:rFonts w:ascii="Calibri" w:eastAsia="Times New Roman" w:hAnsi="Calibri" w:cs="Times New Roman"/>
                <w:color w:val="000000"/>
                <w:sz w:val="20"/>
                <w:szCs w:val="20"/>
              </w:rPr>
              <w:t xml:space="preserve">Registering, trafficking in, or using a domain name with bad faith intent to profit from the goodwill of a trademark belonging to someone else. Note: While the IAG-CCT proposed this as a starting point for a definition in the RFP for the global consumer survey, there was divergence in the group’s opinion on how narrowly to define cybersquatting. In particular, some group members indicated that measuring bad faith registrations would be difficult and potentially undiscernible to the average Internet user. </w:t>
            </w:r>
          </w:p>
          <w:p w14:paraId="5DFDC1BA" w14:textId="61AB389B" w:rsidR="00695061" w:rsidRDefault="009E7F03" w:rsidP="009E7F03">
            <w:pPr>
              <w:spacing w:before="60" w:after="60"/>
              <w:rPr>
                <w:rFonts w:ascii="Calibri" w:eastAsia="Times New Roman" w:hAnsi="Calibri" w:cs="Times New Roman"/>
                <w:color w:val="000000"/>
                <w:sz w:val="20"/>
                <w:szCs w:val="22"/>
              </w:rPr>
            </w:pPr>
            <w:r w:rsidRPr="009E7F03">
              <w:rPr>
                <w:rFonts w:ascii="Calibri" w:hAnsi="Calibri" w:cs="Times New Roman"/>
                <w:b/>
                <w:sz w:val="20"/>
                <w:szCs w:val="20"/>
              </w:rPr>
              <w:t xml:space="preserve">gTLDs: </w:t>
            </w:r>
            <w:r w:rsidRPr="009E7F03">
              <w:rPr>
                <w:rFonts w:ascii="Calibri" w:hAnsi="Calibri" w:cs="Times New Roman"/>
                <w:sz w:val="20"/>
                <w:szCs w:val="20"/>
              </w:rPr>
              <w:t xml:space="preserve">A TLD (top-level domain) appears in a domain name as the string of letters following the last (right-most) dot, such </w:t>
            </w:r>
            <w:r w:rsidRPr="009E7F03">
              <w:rPr>
                <w:rFonts w:ascii="Calibri" w:hAnsi="Calibri" w:cs="Times New Roman"/>
                <w:sz w:val="20"/>
                <w:szCs w:val="20"/>
              </w:rPr>
              <w:lastRenderedPageBreak/>
              <w:t>as “net” in</w:t>
            </w:r>
            <w:r w:rsidRPr="009E7F03">
              <w:rPr>
                <w:rFonts w:ascii="Calibri" w:hAnsi="Calibri" w:cs="Times New Roman"/>
                <w:color w:val="000000"/>
                <w:sz w:val="20"/>
                <w:szCs w:val="20"/>
              </w:rPr>
              <w:t xml:space="preserve"> </w:t>
            </w:r>
            <w:r w:rsidRPr="009E7F03">
              <w:rPr>
                <w:rFonts w:ascii="Calibri" w:hAnsi="Calibri" w:cs="Times New Roman"/>
                <w:color w:val="0000FF"/>
                <w:sz w:val="20"/>
                <w:szCs w:val="20"/>
              </w:rPr>
              <w:t>www.example.net</w:t>
            </w:r>
            <w:r w:rsidRPr="009E7F03">
              <w:rPr>
                <w:rFonts w:ascii="Calibri" w:hAnsi="Calibri" w:cs="Times New Roman"/>
                <w:color w:val="000000"/>
                <w:sz w:val="20"/>
                <w:szCs w:val="20"/>
              </w:rPr>
              <w:t xml:space="preserve">.  </w:t>
            </w:r>
            <w:r w:rsidRPr="009E7F03">
              <w:rPr>
                <w:rFonts w:ascii="Calibri" w:hAnsi="Calibri" w:cs="Times New Roman"/>
                <w:sz w:val="20"/>
                <w:szCs w:val="20"/>
              </w:rPr>
              <w:t>A gTLD (generic TLD) is a TLD that does not correspond to any country code.</w:t>
            </w:r>
            <w:r w:rsidRPr="009E7F03">
              <w:rPr>
                <w:rFonts w:ascii="Calibri" w:eastAsia="Times New Roman" w:hAnsi="Calibri" w:cs="Times New Roman"/>
                <w:color w:val="000000"/>
                <w:sz w:val="20"/>
                <w:szCs w:val="20"/>
              </w:rPr>
              <w:t xml:space="preserve"> </w:t>
            </w:r>
          </w:p>
        </w:tc>
      </w:tr>
      <w:tr w:rsidR="003C6070" w:rsidRPr="00AD5C36" w14:paraId="174DDECA" w14:textId="77777777" w:rsidTr="00E71F88">
        <w:trPr>
          <w:cantSplit/>
          <w:trHeight w:val="690"/>
        </w:trPr>
        <w:tc>
          <w:tcPr>
            <w:tcW w:w="3785" w:type="dxa"/>
            <w:shd w:val="clear" w:color="auto" w:fill="auto"/>
            <w:noWrap/>
            <w:vAlign w:val="center"/>
          </w:tcPr>
          <w:p w14:paraId="295911D3" w14:textId="77777777" w:rsidR="003C6070" w:rsidRPr="00AD5C36" w:rsidRDefault="003C607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[1.5] </w:t>
            </w:r>
            <w:r w:rsidRPr="00AD5C36">
              <w:rPr>
                <w:rFonts w:ascii="Calibri" w:eastAsia="Times New Roman" w:hAnsi="Calibri" w:cs="Times New Roman"/>
                <w:color w:val="000000"/>
                <w:sz w:val="20"/>
                <w:szCs w:val="22"/>
              </w:rPr>
              <w:t xml:space="preserve">% Uptime </w:t>
            </w:r>
            <w:r>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170" w:type="dxa"/>
            <w:shd w:val="clear" w:color="auto" w:fill="auto"/>
            <w:noWrap/>
            <w:vAlign w:val="center"/>
          </w:tcPr>
          <w:p w14:paraId="590D8E6A" w14:textId="77777777" w:rsidR="003C6070"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00" w:type="dxa"/>
            <w:vAlign w:val="center"/>
          </w:tcPr>
          <w:p w14:paraId="781D4C46"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17041C7B" w14:textId="77777777" w:rsidR="003C6070"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c>
          <w:tcPr>
            <w:tcW w:w="3600" w:type="dxa"/>
            <w:vAlign w:val="center"/>
          </w:tcPr>
          <w:p w14:paraId="2324ABD0" w14:textId="77777777" w:rsidR="00DA5E2E" w:rsidRPr="00DA5E2E" w:rsidRDefault="00DA5E2E" w:rsidP="00DA5E2E">
            <w:pPr>
              <w:rPr>
                <w:rFonts w:ascii="Calibri" w:hAnsi="Calibri"/>
                <w:sz w:val="20"/>
                <w:szCs w:val="20"/>
              </w:rPr>
            </w:pPr>
            <w:r w:rsidRPr="00DA5E2E">
              <w:rPr>
                <w:rFonts w:ascii="Calibri" w:hAnsi="Calibri"/>
                <w:sz w:val="20"/>
                <w:szCs w:val="20"/>
              </w:rPr>
              <w:t xml:space="preserve">ICANN’s technical services team can provide data on this metric provided the SLAs are established and ICANN receives reportable data. </w:t>
            </w:r>
          </w:p>
          <w:p w14:paraId="13C568B0" w14:textId="77777777" w:rsidR="003C6070" w:rsidRDefault="003C6070" w:rsidP="005F63A9">
            <w:pPr>
              <w:spacing w:before="60" w:after="60"/>
              <w:jc w:val="center"/>
              <w:rPr>
                <w:rFonts w:ascii="Calibri" w:eastAsia="Times New Roman" w:hAnsi="Calibri" w:cs="Times New Roman"/>
                <w:color w:val="000000"/>
                <w:sz w:val="20"/>
                <w:szCs w:val="22"/>
              </w:rPr>
            </w:pPr>
          </w:p>
        </w:tc>
      </w:tr>
      <w:tr w:rsidR="003C6070" w:rsidRPr="00AD5C36" w14:paraId="4569B22E" w14:textId="77777777" w:rsidTr="00E71F88">
        <w:trPr>
          <w:cantSplit/>
        </w:trPr>
        <w:tc>
          <w:tcPr>
            <w:tcW w:w="12785" w:type="dxa"/>
            <w:gridSpan w:val="5"/>
            <w:shd w:val="clear" w:color="auto" w:fill="BFBFBF" w:themeFill="background1" w:themeFillShade="BF"/>
            <w:noWrap/>
            <w:vAlign w:val="center"/>
          </w:tcPr>
          <w:p w14:paraId="21689D5D" w14:textId="77777777" w:rsidR="003C6070" w:rsidRPr="009D55E9" w:rsidRDefault="003C6070" w:rsidP="005F63A9">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3C6070" w:rsidRPr="00AD5C36" w14:paraId="6BC2936C" w14:textId="77777777" w:rsidTr="00E71F88">
        <w:trPr>
          <w:cantSplit/>
          <w:trHeight w:val="690"/>
        </w:trPr>
        <w:tc>
          <w:tcPr>
            <w:tcW w:w="3785" w:type="dxa"/>
            <w:shd w:val="clear" w:color="auto" w:fill="auto"/>
            <w:noWrap/>
            <w:vAlign w:val="center"/>
            <w:hideMark/>
          </w:tcPr>
          <w:p w14:paraId="02E56DCD" w14:textId="77777777" w:rsidR="003C6070" w:rsidRPr="00AD5C36" w:rsidRDefault="003C6070"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170" w:type="dxa"/>
            <w:shd w:val="clear" w:color="auto" w:fill="auto"/>
            <w:noWrap/>
            <w:vAlign w:val="center"/>
            <w:hideMark/>
          </w:tcPr>
          <w:p w14:paraId="36B1F1D8"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00" w:type="dxa"/>
            <w:vAlign w:val="center"/>
          </w:tcPr>
          <w:p w14:paraId="6397B0EE"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D6B738D" w14:textId="77777777" w:rsidR="003C6070" w:rsidRPr="00AD5C36" w:rsidRDefault="003C6070"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for new gTLDs than for  legacy gTLDs</w:t>
            </w:r>
          </w:p>
        </w:tc>
        <w:tc>
          <w:tcPr>
            <w:tcW w:w="3600" w:type="dxa"/>
            <w:vAlign w:val="center"/>
          </w:tcPr>
          <w:p w14:paraId="2E3CC0F0" w14:textId="0FC1A70C" w:rsidR="003C6070" w:rsidRDefault="00F337B8"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2425959D" w14:textId="77777777" w:rsidTr="00E71F88">
        <w:trPr>
          <w:cantSplit/>
          <w:trHeight w:val="690"/>
        </w:trPr>
        <w:tc>
          <w:tcPr>
            <w:tcW w:w="3785" w:type="dxa"/>
            <w:shd w:val="clear" w:color="auto" w:fill="auto"/>
            <w:noWrap/>
            <w:vAlign w:val="center"/>
            <w:hideMark/>
          </w:tcPr>
          <w:p w14:paraId="229E8714" w14:textId="77777777" w:rsidR="003C6070" w:rsidRPr="00AD5C36"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 provided they reference one or more gTLD(s).</w:t>
            </w:r>
          </w:p>
        </w:tc>
        <w:tc>
          <w:tcPr>
            <w:tcW w:w="1170" w:type="dxa"/>
            <w:shd w:val="clear" w:color="auto" w:fill="auto"/>
            <w:noWrap/>
            <w:vAlign w:val="center"/>
            <w:hideMark/>
          </w:tcPr>
          <w:p w14:paraId="36B0D306"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00" w:type="dxa"/>
            <w:vAlign w:val="center"/>
          </w:tcPr>
          <w:p w14:paraId="389C4EF8"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5F8E4600" w14:textId="77777777" w:rsidR="003C6070" w:rsidRPr="00AD5C36" w:rsidRDefault="003C6070"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for new gTLDs than for legacy gTLDs</w:t>
            </w:r>
          </w:p>
        </w:tc>
        <w:tc>
          <w:tcPr>
            <w:tcW w:w="3600" w:type="dxa"/>
            <w:vAlign w:val="center"/>
          </w:tcPr>
          <w:p w14:paraId="702059E5" w14:textId="13322D9C" w:rsidR="003C6070" w:rsidRDefault="00F337B8"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4F69787E" w14:textId="77777777" w:rsidTr="00E71F88">
        <w:trPr>
          <w:cantSplit/>
          <w:trHeight w:val="690"/>
        </w:trPr>
        <w:tc>
          <w:tcPr>
            <w:tcW w:w="3785" w:type="dxa"/>
            <w:shd w:val="clear" w:color="auto" w:fill="auto"/>
            <w:noWrap/>
            <w:vAlign w:val="center"/>
          </w:tcPr>
          <w:p w14:paraId="50E95F68" w14:textId="77777777" w:rsidR="003C6070" w:rsidRDefault="003C6070"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[1.8] Relative Incidence of Registry &amp; Registrar general complaints submitted to ICANN’s Internic System.</w:t>
            </w:r>
          </w:p>
        </w:tc>
        <w:tc>
          <w:tcPr>
            <w:tcW w:w="1170" w:type="dxa"/>
            <w:shd w:val="clear" w:color="auto" w:fill="auto"/>
            <w:noWrap/>
            <w:vAlign w:val="center"/>
          </w:tcPr>
          <w:p w14:paraId="23FDFB8A"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61A7A00B"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Maybe difficult to establish baseline on existing Internic data versus new system</w:t>
            </w:r>
          </w:p>
        </w:tc>
        <w:tc>
          <w:tcPr>
            <w:tcW w:w="1530" w:type="dxa"/>
            <w:shd w:val="clear" w:color="auto" w:fill="auto"/>
            <w:vAlign w:val="center"/>
          </w:tcPr>
          <w:p w14:paraId="76B3A7B3" w14:textId="77777777" w:rsidR="003C6070" w:rsidRDefault="003C6070"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Lower for new gTLDs than for  legacy gTLDs </w:t>
            </w:r>
          </w:p>
        </w:tc>
        <w:tc>
          <w:tcPr>
            <w:tcW w:w="3600" w:type="dxa"/>
            <w:vAlign w:val="center"/>
          </w:tcPr>
          <w:p w14:paraId="653578D5" w14:textId="070C80A2" w:rsidR="003C6070" w:rsidRDefault="00F337B8"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1873DAF0" w14:textId="77777777" w:rsidTr="00E71F88">
        <w:trPr>
          <w:cantSplit/>
          <w:trHeight w:val="690"/>
        </w:trPr>
        <w:tc>
          <w:tcPr>
            <w:tcW w:w="3785" w:type="dxa"/>
            <w:shd w:val="clear" w:color="auto" w:fill="auto"/>
            <w:noWrap/>
            <w:vAlign w:val="center"/>
            <w:hideMark/>
          </w:tcPr>
          <w:p w14:paraId="1C404FF2" w14:textId="77777777" w:rsidR="003C6070" w:rsidRPr="00AD5C36" w:rsidRDefault="003C6070"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may be comparable to UDRP complaints in legacy gTLDs.</w:t>
            </w:r>
          </w:p>
        </w:tc>
        <w:tc>
          <w:tcPr>
            <w:tcW w:w="1170" w:type="dxa"/>
            <w:shd w:val="clear" w:color="auto" w:fill="auto"/>
            <w:noWrap/>
            <w:vAlign w:val="center"/>
            <w:hideMark/>
          </w:tcPr>
          <w:p w14:paraId="6A47A60B"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00" w:type="dxa"/>
            <w:vAlign w:val="center"/>
          </w:tcPr>
          <w:p w14:paraId="59B9D780"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498D2BBB" w14:textId="77777777" w:rsidR="003C6070" w:rsidRPr="00AD5C36" w:rsidRDefault="003C6070"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Pr>
                <w:rFonts w:ascii="Calibri" w:eastAsia="Times New Roman" w:hAnsi="Calibri" w:cs="Times New Roman"/>
                <w:color w:val="000000"/>
                <w:sz w:val="20"/>
                <w:szCs w:val="22"/>
              </w:rPr>
              <w:t>for new gTLDs</w:t>
            </w:r>
            <w:r w:rsidRPr="00CD4646">
              <w:rPr>
                <w:rFonts w:ascii="Calibri" w:eastAsia="Times New Roman" w:hAnsi="Calibri" w:cs="Times New Roman"/>
                <w:color w:val="000000"/>
                <w:sz w:val="20"/>
                <w:szCs w:val="22"/>
              </w:rPr>
              <w:t xml:space="preserve"> than </w:t>
            </w:r>
            <w:r>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 in legacy gTLDs</w:t>
            </w:r>
            <w:r>
              <w:rPr>
                <w:rFonts w:ascii="Calibri" w:eastAsia="Times New Roman" w:hAnsi="Calibri" w:cs="Times New Roman"/>
                <w:color w:val="000000"/>
                <w:sz w:val="20"/>
                <w:szCs w:val="22"/>
              </w:rPr>
              <w:t xml:space="preserve"> </w:t>
            </w:r>
          </w:p>
        </w:tc>
        <w:tc>
          <w:tcPr>
            <w:tcW w:w="3600" w:type="dxa"/>
            <w:vAlign w:val="center"/>
          </w:tcPr>
          <w:p w14:paraId="47D383CB" w14:textId="05AF7ADB" w:rsidR="003C6070" w:rsidRDefault="00F337B8" w:rsidP="006941B3">
            <w:pPr>
              <w:spacing w:before="60" w:after="60"/>
              <w:jc w:val="center"/>
            </w:pPr>
            <w:r>
              <w:rPr>
                <w:rFonts w:ascii="Calibri" w:eastAsia="Times New Roman" w:hAnsi="Calibri" w:cs="Times New Roman"/>
                <w:color w:val="000000"/>
                <w:sz w:val="20"/>
                <w:szCs w:val="22"/>
              </w:rPr>
              <w:t>Metric is feasible and useful.</w:t>
            </w:r>
          </w:p>
        </w:tc>
      </w:tr>
      <w:tr w:rsidR="003C6070" w:rsidRPr="00AD5C36" w14:paraId="4082EF7F" w14:textId="77777777" w:rsidTr="00E71F88">
        <w:trPr>
          <w:cantSplit/>
          <w:trHeight w:val="690"/>
        </w:trPr>
        <w:tc>
          <w:tcPr>
            <w:tcW w:w="3785" w:type="dxa"/>
            <w:shd w:val="clear" w:color="auto" w:fill="auto"/>
            <w:noWrap/>
            <w:vAlign w:val="center"/>
            <w:hideMark/>
          </w:tcPr>
          <w:p w14:paraId="2FA2FB03" w14:textId="77777777" w:rsidR="003C6070" w:rsidRPr="00034BA0" w:rsidRDefault="003C6070"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r>
              <w:rPr>
                <w:rFonts w:ascii="Calibri" w:eastAsia="Times New Roman" w:hAnsi="Calibri" w:cs="Times New Roman"/>
                <w:color w:val="000000"/>
                <w:sz w:val="20"/>
                <w:szCs w:val="22"/>
              </w:rPr>
              <w:t xml:space="preserve"> URS is required only in new gTLDs, so combined UDRP and URS decisions may be comparable to UDRP decisions in legacy gTLDs.</w:t>
            </w:r>
          </w:p>
        </w:tc>
        <w:tc>
          <w:tcPr>
            <w:tcW w:w="1170" w:type="dxa"/>
            <w:shd w:val="clear" w:color="auto" w:fill="auto"/>
            <w:noWrap/>
            <w:vAlign w:val="center"/>
            <w:hideMark/>
          </w:tcPr>
          <w:p w14:paraId="1A84630E"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00" w:type="dxa"/>
            <w:vAlign w:val="center"/>
          </w:tcPr>
          <w:p w14:paraId="63D8D611"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10993D0B" w14:textId="77777777" w:rsidR="003C6070" w:rsidRPr="00AD5C36" w:rsidRDefault="003C6070"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Pr>
                <w:rFonts w:ascii="Calibri" w:eastAsia="Times New Roman" w:hAnsi="Calibri" w:cs="Times New Roman"/>
                <w:color w:val="000000"/>
                <w:sz w:val="20"/>
                <w:szCs w:val="22"/>
              </w:rPr>
              <w:t>for new gTLDs</w:t>
            </w:r>
            <w:r w:rsidRPr="00CD4646">
              <w:rPr>
                <w:rFonts w:ascii="Calibri" w:eastAsia="Times New Roman" w:hAnsi="Calibri" w:cs="Times New Roman"/>
                <w:color w:val="000000"/>
                <w:sz w:val="20"/>
                <w:szCs w:val="22"/>
              </w:rPr>
              <w:t xml:space="preserve"> than</w:t>
            </w:r>
            <w:r>
              <w:rPr>
                <w:rFonts w:ascii="Calibri" w:eastAsia="Times New Roman" w:hAnsi="Calibri" w:cs="Times New Roman"/>
                <w:color w:val="000000"/>
                <w:sz w:val="20"/>
                <w:szCs w:val="22"/>
              </w:rPr>
              <w:t xml:space="preserve"> for </w:t>
            </w:r>
            <w:r w:rsidRPr="00CD4646">
              <w:rPr>
                <w:rFonts w:ascii="Calibri" w:eastAsia="Times New Roman" w:hAnsi="Calibri" w:cs="Times New Roman"/>
                <w:color w:val="000000"/>
                <w:sz w:val="20"/>
                <w:szCs w:val="22"/>
              </w:rPr>
              <w:t xml:space="preserve"> UDRPs in legacy gTLDs</w:t>
            </w:r>
          </w:p>
        </w:tc>
        <w:tc>
          <w:tcPr>
            <w:tcW w:w="3600" w:type="dxa"/>
            <w:vAlign w:val="center"/>
          </w:tcPr>
          <w:p w14:paraId="61C793EE" w14:textId="3808D948" w:rsidR="003C6070" w:rsidRDefault="00F337B8" w:rsidP="006941B3">
            <w:pPr>
              <w:spacing w:before="60" w:after="60"/>
              <w:jc w:val="center"/>
            </w:pPr>
            <w:r>
              <w:rPr>
                <w:rFonts w:ascii="Calibri" w:eastAsia="Times New Roman" w:hAnsi="Calibri" w:cs="Times New Roman"/>
                <w:color w:val="000000"/>
                <w:sz w:val="20"/>
                <w:szCs w:val="22"/>
              </w:rPr>
              <w:t>Metric is feasible and useful.</w:t>
            </w:r>
          </w:p>
        </w:tc>
      </w:tr>
      <w:tr w:rsidR="003C6070" w:rsidRPr="00AD5C36" w14:paraId="3CD0D98A" w14:textId="77777777" w:rsidTr="00E71F88">
        <w:trPr>
          <w:cantSplit/>
          <w:trHeight w:val="690"/>
        </w:trPr>
        <w:tc>
          <w:tcPr>
            <w:tcW w:w="3785" w:type="dxa"/>
            <w:shd w:val="clear" w:color="auto" w:fill="auto"/>
            <w:noWrap/>
            <w:vAlign w:val="center"/>
          </w:tcPr>
          <w:p w14:paraId="7A2AB366" w14:textId="77777777" w:rsidR="003C6070" w:rsidRDefault="003C6070"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14:paraId="53314F35" w14:textId="77777777" w:rsidR="003C6070" w:rsidRDefault="003C6070"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14:paraId="25B88789" w14:textId="77777777" w:rsidR="003C6070" w:rsidRDefault="003C6070"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14:paraId="33346019" w14:textId="77777777" w:rsidR="003C6070" w:rsidRDefault="003C607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gLTDs;</w:t>
            </w:r>
          </w:p>
          <w:p w14:paraId="7B5763F0" w14:textId="77777777" w:rsidR="003C6070" w:rsidRDefault="003C607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14:paraId="62A1EB9E" w14:textId="77777777" w:rsidR="003C6070" w:rsidRDefault="003C6070"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14:paraId="78D8E8EF" w14:textId="77777777" w:rsidR="003C6070" w:rsidRDefault="003C6070"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14:paraId="346CFF2D" w14:textId="77777777" w:rsidR="003C6070" w:rsidRDefault="003C6070"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Pr>
                <w:rFonts w:ascii="Calibri" w:eastAsia="Times New Roman" w:hAnsi="Calibri" w:cs="Times New Roman"/>
                <w:color w:val="000000"/>
                <w:sz w:val="20"/>
                <w:szCs w:val="22"/>
              </w:rPr>
              <w:t>Demonstrable 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170" w:type="dxa"/>
            <w:shd w:val="clear" w:color="auto" w:fill="auto"/>
            <w:noWrap/>
            <w:vAlign w:val="center"/>
          </w:tcPr>
          <w:p w14:paraId="54863FFB" w14:textId="77777777" w:rsidR="003C6070" w:rsidRPr="00AD5C36" w:rsidRDefault="003C6070"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00" w:type="dxa"/>
            <w:vAlign w:val="center"/>
          </w:tcPr>
          <w:p w14:paraId="3D5169D5" w14:textId="77777777" w:rsidR="003C6070" w:rsidRDefault="003C6070"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14:paraId="7755EE90" w14:textId="77777777" w:rsidR="003C6070" w:rsidRDefault="003C6070" w:rsidP="005F63A9">
            <w:pPr>
              <w:spacing w:before="60" w:after="60"/>
              <w:rPr>
                <w:rFonts w:ascii="Calibri" w:eastAsia="Times New Roman" w:hAnsi="Calibri" w:cs="Times New Roman"/>
                <w:color w:val="000000"/>
                <w:sz w:val="20"/>
                <w:szCs w:val="22"/>
              </w:rPr>
            </w:pPr>
          </w:p>
          <w:p w14:paraId="36ADF084" w14:textId="77777777" w:rsidR="003C6070" w:rsidRDefault="003C6070"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14:paraId="49F0C880" w14:textId="77777777" w:rsidR="003C6070" w:rsidRPr="00EC219E" w:rsidRDefault="003C6070"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14:paraId="3548BA75" w14:textId="77777777" w:rsidR="003C6070" w:rsidRPr="00EC219E" w:rsidRDefault="003C6070" w:rsidP="00EC219E">
            <w:pPr>
              <w:spacing w:before="60" w:after="60"/>
              <w:rPr>
                <w:rFonts w:ascii="Calibri" w:eastAsia="Times New Roman" w:hAnsi="Calibri" w:cs="Times New Roman"/>
                <w:color w:val="000000"/>
                <w:sz w:val="20"/>
                <w:szCs w:val="22"/>
              </w:rPr>
            </w:pPr>
          </w:p>
          <w:p w14:paraId="4225D9D2" w14:textId="77777777" w:rsidR="003C6070" w:rsidRDefault="003C6070"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14:paraId="4122136C" w14:textId="77777777" w:rsidR="003C6070" w:rsidDel="00EC219E"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c>
          <w:tcPr>
            <w:tcW w:w="3600" w:type="dxa"/>
            <w:vAlign w:val="center"/>
          </w:tcPr>
          <w:p w14:paraId="534FF0AC" w14:textId="7642811B" w:rsidR="003C6070" w:rsidRPr="00A01B08" w:rsidRDefault="00A01B08" w:rsidP="0080347C">
            <w:pPr>
              <w:spacing w:before="60" w:after="60"/>
              <w:rPr>
                <w:rFonts w:ascii="Calibri" w:eastAsia="Times New Roman" w:hAnsi="Calibri" w:cs="Times New Roman"/>
                <w:color w:val="000000"/>
                <w:sz w:val="20"/>
                <w:szCs w:val="20"/>
              </w:rPr>
            </w:pPr>
            <w:r w:rsidRPr="00A01B08">
              <w:rPr>
                <w:rFonts w:ascii="Calibri" w:hAnsi="Calibri"/>
                <w:sz w:val="20"/>
                <w:szCs w:val="20"/>
              </w:rPr>
              <w:t>External, IAG-CCT members exploring feasibility with International Trademark Association (INTA,) which has expressed an interesting in polling their members on this topic. Subject to some definition of terms, such as which costs would be included, whether these are internal or external (in-house vs. outside counsel.)</w:t>
            </w:r>
          </w:p>
        </w:tc>
      </w:tr>
      <w:tr w:rsidR="003C6070" w:rsidRPr="00AD5C36" w14:paraId="4792236D" w14:textId="77777777" w:rsidTr="00E71F88">
        <w:trPr>
          <w:cantSplit/>
          <w:trHeight w:val="690"/>
        </w:trPr>
        <w:tc>
          <w:tcPr>
            <w:tcW w:w="3785" w:type="dxa"/>
            <w:shd w:val="clear" w:color="auto" w:fill="auto"/>
            <w:noWrap/>
            <w:vAlign w:val="center"/>
            <w:hideMark/>
          </w:tcPr>
          <w:p w14:paraId="333661EB" w14:textId="77777777" w:rsidR="003C6070" w:rsidRPr="00AD5C36"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170" w:type="dxa"/>
            <w:shd w:val="clear" w:color="auto" w:fill="auto"/>
            <w:noWrap/>
            <w:vAlign w:val="center"/>
            <w:hideMark/>
          </w:tcPr>
          <w:p w14:paraId="48574598"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00" w:type="dxa"/>
            <w:vAlign w:val="center"/>
          </w:tcPr>
          <w:p w14:paraId="5715AE29"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5C741D8"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c>
          <w:tcPr>
            <w:tcW w:w="3600" w:type="dxa"/>
            <w:vAlign w:val="center"/>
          </w:tcPr>
          <w:p w14:paraId="7835EB55" w14:textId="46848210" w:rsidR="003C6070" w:rsidRDefault="00F337B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0770123C" w14:textId="77777777" w:rsidTr="00E71F88">
        <w:trPr>
          <w:cantSplit/>
          <w:trHeight w:val="690"/>
        </w:trPr>
        <w:tc>
          <w:tcPr>
            <w:tcW w:w="3785" w:type="dxa"/>
            <w:shd w:val="clear" w:color="auto" w:fill="auto"/>
            <w:noWrap/>
            <w:vAlign w:val="center"/>
            <w:hideMark/>
          </w:tcPr>
          <w:p w14:paraId="4C65D6B4" w14:textId="77777777" w:rsidR="003C6070" w:rsidRPr="00AD5C36" w:rsidRDefault="003C6070"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r>
              <w:rPr>
                <w:rFonts w:ascii="Calibri" w:eastAsia="Times New Roman" w:hAnsi="Calibri" w:cs="Times New Roman"/>
                <w:color w:val="000000"/>
                <w:sz w:val="20"/>
                <w:szCs w:val="22"/>
              </w:rPr>
              <w:t xml:space="preserve"> at Registries and Registrars.</w:t>
            </w:r>
          </w:p>
        </w:tc>
        <w:tc>
          <w:tcPr>
            <w:tcW w:w="1170" w:type="dxa"/>
            <w:shd w:val="clear" w:color="auto" w:fill="auto"/>
            <w:noWrap/>
            <w:vAlign w:val="center"/>
            <w:hideMark/>
          </w:tcPr>
          <w:p w14:paraId="79EA8384"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00" w:type="dxa"/>
            <w:vAlign w:val="center"/>
          </w:tcPr>
          <w:p w14:paraId="34C44DC6"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69E87148"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c>
          <w:tcPr>
            <w:tcW w:w="3600" w:type="dxa"/>
            <w:vAlign w:val="center"/>
          </w:tcPr>
          <w:p w14:paraId="4E892B88" w14:textId="77777777" w:rsidR="00E72FA3" w:rsidRPr="00E72FA3" w:rsidRDefault="00E72FA3" w:rsidP="00E72FA3">
            <w:pPr>
              <w:rPr>
                <w:rFonts w:ascii="Calibri" w:hAnsi="Calibri"/>
                <w:sz w:val="20"/>
                <w:szCs w:val="20"/>
              </w:rPr>
            </w:pPr>
            <w:r w:rsidRPr="00E72FA3">
              <w:rPr>
                <w:rFonts w:ascii="Calibri" w:hAnsi="Calibri"/>
                <w:sz w:val="20"/>
                <w:szCs w:val="20"/>
              </w:rPr>
              <w:t>ICANN staff working with its liaisons in the law enforcement community determined there was no reliable way to gather data linking compliance concerns and “applicable” national laws. As such, the group decided to drop the first part of the metric. In addition, as data security breaches are required to be reported to ICANN, this part of the metric will be counted. The rephrased metric now reads: “Number of reported data security breaches.”</w:t>
            </w:r>
          </w:p>
          <w:p w14:paraId="154EB485" w14:textId="696B2577" w:rsidR="003C6070" w:rsidRDefault="003C6070" w:rsidP="005F63A9">
            <w:pPr>
              <w:spacing w:before="60" w:after="60"/>
              <w:jc w:val="center"/>
              <w:rPr>
                <w:rFonts w:ascii="Calibri" w:eastAsia="Times New Roman" w:hAnsi="Calibri" w:cs="Times New Roman"/>
                <w:color w:val="000000"/>
                <w:sz w:val="20"/>
                <w:szCs w:val="22"/>
              </w:rPr>
            </w:pPr>
          </w:p>
        </w:tc>
      </w:tr>
      <w:tr w:rsidR="003C6070" w:rsidRPr="00AD5C36" w14:paraId="03B632A8" w14:textId="77777777" w:rsidTr="00E71F88">
        <w:trPr>
          <w:cantSplit/>
          <w:trHeight w:val="690"/>
        </w:trPr>
        <w:tc>
          <w:tcPr>
            <w:tcW w:w="3785" w:type="dxa"/>
            <w:shd w:val="clear" w:color="auto" w:fill="auto"/>
            <w:noWrap/>
            <w:vAlign w:val="center"/>
            <w:hideMark/>
          </w:tcPr>
          <w:p w14:paraId="717838F2" w14:textId="77777777" w:rsidR="003C6070" w:rsidRPr="00AD5C36"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including takedowns required by law enforcement .</w:t>
            </w:r>
          </w:p>
        </w:tc>
        <w:tc>
          <w:tcPr>
            <w:tcW w:w="1170" w:type="dxa"/>
            <w:shd w:val="clear" w:color="auto" w:fill="auto"/>
            <w:noWrap/>
            <w:vAlign w:val="center"/>
            <w:hideMark/>
          </w:tcPr>
          <w:p w14:paraId="2C2DA21D" w14:textId="77777777" w:rsidR="003C6070" w:rsidRPr="00AD5C36" w:rsidRDefault="003C6070"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00" w:type="dxa"/>
            <w:vAlign w:val="center"/>
          </w:tcPr>
          <w:p w14:paraId="6DB0F24C"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384C3D8E"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Align w:val="center"/>
          </w:tcPr>
          <w:p w14:paraId="00354B4C" w14:textId="77777777" w:rsidR="005B3593" w:rsidRPr="005B3593" w:rsidRDefault="005B3593" w:rsidP="005B3593">
            <w:pPr>
              <w:rPr>
                <w:rFonts w:ascii="Calibri" w:hAnsi="Calibri"/>
                <w:sz w:val="20"/>
                <w:szCs w:val="20"/>
              </w:rPr>
            </w:pPr>
            <w:r w:rsidRPr="005B3593">
              <w:rPr>
                <w:rFonts w:ascii="Calibri" w:hAnsi="Calibri"/>
                <w:sz w:val="20"/>
                <w:szCs w:val="20"/>
              </w:rPr>
              <w:t xml:space="preserve">ICANN will reach out to registries to provide this information, which they are not required to provide. It will be important to gauge the incidences of takedowns in the context of the reasons for the takedowns. For examples, were domains taken down for nonpayment of services or due to law enforcement concerns? The relative incidence of various justifications may provide greater insight into the nature of abusive behavior in particular TLDs. It may also require additional information from governments or law enforcement authorities, who may only provide partial data on some of these requests. </w:t>
            </w:r>
          </w:p>
          <w:p w14:paraId="5FE23272" w14:textId="77777777" w:rsidR="003C6070" w:rsidRDefault="003C6070" w:rsidP="005F63A9">
            <w:pPr>
              <w:spacing w:before="60" w:after="60"/>
              <w:jc w:val="center"/>
              <w:rPr>
                <w:rFonts w:ascii="Calibri" w:eastAsia="Times New Roman" w:hAnsi="Calibri" w:cs="Times New Roman"/>
                <w:color w:val="000000"/>
                <w:sz w:val="20"/>
                <w:szCs w:val="22"/>
              </w:rPr>
            </w:pPr>
          </w:p>
        </w:tc>
      </w:tr>
      <w:tr w:rsidR="005B3593" w:rsidRPr="009F24F1" w14:paraId="645FC3F4" w14:textId="77777777" w:rsidTr="00E71F88">
        <w:trPr>
          <w:cantSplit/>
          <w:trHeight w:val="690"/>
        </w:trPr>
        <w:tc>
          <w:tcPr>
            <w:tcW w:w="3785" w:type="dxa"/>
            <w:shd w:val="clear" w:color="auto" w:fill="auto"/>
            <w:noWrap/>
            <w:vAlign w:val="center"/>
            <w:hideMark/>
          </w:tcPr>
          <w:p w14:paraId="7FC21871" w14:textId="77777777" w:rsidR="005B3593" w:rsidRPr="009F24F1" w:rsidRDefault="005B3593"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170" w:type="dxa"/>
            <w:shd w:val="clear" w:color="auto" w:fill="auto"/>
            <w:noWrap/>
            <w:vAlign w:val="center"/>
            <w:hideMark/>
          </w:tcPr>
          <w:p w14:paraId="543096D8" w14:textId="77777777" w:rsidR="005B3593" w:rsidRPr="009F24F1"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SpamHaus</w:t>
            </w:r>
          </w:p>
        </w:tc>
        <w:tc>
          <w:tcPr>
            <w:tcW w:w="2700" w:type="dxa"/>
            <w:vAlign w:val="center"/>
          </w:tcPr>
          <w:p w14:paraId="6717B69B" w14:textId="77777777" w:rsidR="005B3593"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3C545DB" w14:textId="77777777" w:rsidR="005B3593" w:rsidRPr="009F24F1"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Merge w:val="restart"/>
            <w:vAlign w:val="center"/>
          </w:tcPr>
          <w:p w14:paraId="1215AB78" w14:textId="77053D99" w:rsidR="005B3593" w:rsidRPr="005B3593" w:rsidRDefault="005B3593" w:rsidP="005B3593">
            <w:pPr>
              <w:spacing w:before="60" w:after="60"/>
              <w:rPr>
                <w:rFonts w:ascii="Calibri" w:eastAsia="Times New Roman" w:hAnsi="Calibri" w:cs="Times New Roman"/>
                <w:color w:val="000000"/>
                <w:sz w:val="20"/>
                <w:szCs w:val="20"/>
              </w:rPr>
            </w:pPr>
            <w:r w:rsidRPr="005B3593">
              <w:rPr>
                <w:rFonts w:ascii="Calibri" w:hAnsi="Calibri"/>
                <w:sz w:val="20"/>
                <w:szCs w:val="20"/>
              </w:rPr>
              <w:t>Data on abusive behavior in the DNS is widely available and collected by third parties. Though these data sets often come with a fee – and will require some technical expertise to interpret and analyze the numbers – the IAG-CCT members agreed that this is important data to collect and compare against a baseline of abusive behavior in the legacy TLDs. Given the fact that multiple streams of data define particularly botnets and malware in different ways, the group recommended exploring multiple sources of information to compare the data and help the review team reach a conclusion about how this behavior is changing over time. Spam and phishing statistics may be best provided by Spamhaus and the Anti-Phishing Working Group.</w:t>
            </w:r>
          </w:p>
        </w:tc>
      </w:tr>
      <w:tr w:rsidR="005B3593" w:rsidRPr="00AD5C36" w14:paraId="50057327" w14:textId="77777777" w:rsidTr="00E71F88">
        <w:trPr>
          <w:cantSplit/>
          <w:trHeight w:val="690"/>
        </w:trPr>
        <w:tc>
          <w:tcPr>
            <w:tcW w:w="3785" w:type="dxa"/>
            <w:shd w:val="clear" w:color="auto" w:fill="auto"/>
            <w:noWrap/>
            <w:vAlign w:val="center"/>
            <w:hideMark/>
          </w:tcPr>
          <w:p w14:paraId="48ED4BAB" w14:textId="77777777" w:rsidR="005B3593" w:rsidRPr="00AD5C36"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170" w:type="dxa"/>
            <w:shd w:val="clear" w:color="auto" w:fill="auto"/>
            <w:noWrap/>
            <w:vAlign w:val="center"/>
          </w:tcPr>
          <w:p w14:paraId="527CCBC4" w14:textId="77777777" w:rsidR="005B3593" w:rsidRPr="00AD5C36"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00" w:type="dxa"/>
            <w:vAlign w:val="center"/>
          </w:tcPr>
          <w:p w14:paraId="18A20695" w14:textId="77777777" w:rsidR="005B3593"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1AE33695" w14:textId="77777777" w:rsidR="005B3593" w:rsidRPr="00AD5C36"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Merge/>
            <w:vAlign w:val="center"/>
          </w:tcPr>
          <w:p w14:paraId="19B1AB4D" w14:textId="76E13BED" w:rsidR="005B3593" w:rsidRDefault="005B3593" w:rsidP="005F63A9">
            <w:pPr>
              <w:spacing w:before="60" w:after="60"/>
              <w:jc w:val="center"/>
              <w:rPr>
                <w:rFonts w:ascii="Calibri" w:eastAsia="Times New Roman" w:hAnsi="Calibri" w:cs="Times New Roman"/>
                <w:color w:val="000000"/>
                <w:sz w:val="20"/>
                <w:szCs w:val="22"/>
              </w:rPr>
            </w:pPr>
          </w:p>
        </w:tc>
      </w:tr>
      <w:tr w:rsidR="005B3593" w:rsidRPr="00AD5C36" w14:paraId="1D346263" w14:textId="77777777" w:rsidTr="00E71F88">
        <w:trPr>
          <w:cantSplit/>
          <w:trHeight w:val="690"/>
        </w:trPr>
        <w:tc>
          <w:tcPr>
            <w:tcW w:w="3785" w:type="dxa"/>
            <w:shd w:val="clear" w:color="auto" w:fill="auto"/>
            <w:noWrap/>
            <w:vAlign w:val="center"/>
            <w:hideMark/>
          </w:tcPr>
          <w:p w14:paraId="2E59ED7E" w14:textId="77777777" w:rsidR="005B3593" w:rsidRPr="00AD5C36"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170" w:type="dxa"/>
            <w:shd w:val="clear" w:color="auto" w:fill="auto"/>
            <w:noWrap/>
            <w:vAlign w:val="center"/>
          </w:tcPr>
          <w:p w14:paraId="4AF8C4E1" w14:textId="77777777" w:rsidR="005B3593" w:rsidRPr="00AD5C36"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00" w:type="dxa"/>
            <w:vAlign w:val="center"/>
          </w:tcPr>
          <w:p w14:paraId="44A5B7DE" w14:textId="77777777" w:rsidR="005B3593"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48B881B" w14:textId="77777777" w:rsidR="005B3593" w:rsidRPr="00AD5C36"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Merge/>
            <w:vAlign w:val="center"/>
          </w:tcPr>
          <w:p w14:paraId="17F14017" w14:textId="39C4F9F8" w:rsidR="005B3593" w:rsidRDefault="005B3593" w:rsidP="005F63A9">
            <w:pPr>
              <w:spacing w:before="60" w:after="60"/>
              <w:jc w:val="center"/>
              <w:rPr>
                <w:rFonts w:ascii="Calibri" w:eastAsia="Times New Roman" w:hAnsi="Calibri" w:cs="Times New Roman"/>
                <w:color w:val="000000"/>
                <w:sz w:val="20"/>
                <w:szCs w:val="22"/>
              </w:rPr>
            </w:pPr>
          </w:p>
        </w:tc>
      </w:tr>
      <w:tr w:rsidR="005B3593" w:rsidRPr="00AD5C36" w14:paraId="21E8D339" w14:textId="77777777" w:rsidTr="00E71F88">
        <w:trPr>
          <w:cantSplit/>
          <w:trHeight w:val="690"/>
        </w:trPr>
        <w:tc>
          <w:tcPr>
            <w:tcW w:w="3785" w:type="dxa"/>
            <w:shd w:val="clear" w:color="auto" w:fill="auto"/>
            <w:noWrap/>
            <w:vAlign w:val="center"/>
          </w:tcPr>
          <w:p w14:paraId="7DAF33FF" w14:textId="77777777" w:rsidR="005B3593"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170" w:type="dxa"/>
            <w:shd w:val="clear" w:color="auto" w:fill="auto"/>
            <w:noWrap/>
            <w:vAlign w:val="center"/>
          </w:tcPr>
          <w:p w14:paraId="456ABB24" w14:textId="77777777" w:rsidR="005B3593"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00" w:type="dxa"/>
            <w:vAlign w:val="center"/>
          </w:tcPr>
          <w:p w14:paraId="2A9A3782" w14:textId="77777777" w:rsidR="005B3593" w:rsidRDefault="005B3593"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14:paraId="7950517C" w14:textId="77777777" w:rsidR="005B3593" w:rsidRDefault="005B3593"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Merge/>
            <w:vAlign w:val="center"/>
          </w:tcPr>
          <w:p w14:paraId="19530B65" w14:textId="54B67722" w:rsidR="005B3593" w:rsidRDefault="005B3593" w:rsidP="005F63A9">
            <w:pPr>
              <w:spacing w:before="60" w:after="60"/>
              <w:jc w:val="center"/>
              <w:rPr>
                <w:rFonts w:ascii="Calibri" w:eastAsia="Times New Roman" w:hAnsi="Calibri" w:cs="Times New Roman"/>
                <w:color w:val="000000"/>
                <w:sz w:val="20"/>
                <w:szCs w:val="22"/>
              </w:rPr>
            </w:pPr>
          </w:p>
        </w:tc>
      </w:tr>
      <w:tr w:rsidR="003C6070" w:rsidRPr="00AD5C36" w14:paraId="2F4A95A2" w14:textId="77777777" w:rsidTr="00E71F88">
        <w:trPr>
          <w:cantSplit/>
          <w:trHeight w:val="690"/>
        </w:trPr>
        <w:tc>
          <w:tcPr>
            <w:tcW w:w="3785" w:type="dxa"/>
            <w:shd w:val="clear" w:color="auto" w:fill="auto"/>
            <w:noWrap/>
            <w:vAlign w:val="center"/>
          </w:tcPr>
          <w:p w14:paraId="7BFBE7A7"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170" w:type="dxa"/>
            <w:shd w:val="clear" w:color="auto" w:fill="auto"/>
            <w:noWrap/>
            <w:vAlign w:val="center"/>
          </w:tcPr>
          <w:p w14:paraId="09F2E97B" w14:textId="77777777" w:rsidR="003C6070"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LEA/Govt</w:t>
            </w:r>
          </w:p>
        </w:tc>
        <w:tc>
          <w:tcPr>
            <w:tcW w:w="2700" w:type="dxa"/>
            <w:vAlign w:val="center"/>
          </w:tcPr>
          <w:p w14:paraId="46F3D83E"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Will require Govt/LEA contribution</w:t>
            </w:r>
          </w:p>
        </w:tc>
        <w:tc>
          <w:tcPr>
            <w:tcW w:w="1530" w:type="dxa"/>
            <w:shd w:val="clear" w:color="auto" w:fill="auto"/>
            <w:vAlign w:val="center"/>
          </w:tcPr>
          <w:p w14:paraId="13BBA415" w14:textId="77777777" w:rsidR="003C6070"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Align w:val="center"/>
          </w:tcPr>
          <w:p w14:paraId="20928024" w14:textId="35FBF940" w:rsidR="003C6070" w:rsidRPr="005B3593" w:rsidRDefault="005B3593" w:rsidP="005B3593">
            <w:pPr>
              <w:rPr>
                <w:rFonts w:ascii="Calibri" w:hAnsi="Calibri"/>
                <w:sz w:val="20"/>
                <w:szCs w:val="20"/>
              </w:rPr>
            </w:pPr>
            <w:r w:rsidRPr="005B3593">
              <w:rPr>
                <w:rFonts w:ascii="Calibri" w:hAnsi="Calibri"/>
                <w:sz w:val="20"/>
                <w:szCs w:val="20"/>
              </w:rPr>
              <w:t xml:space="preserve">IAG-CCT members investigated the possibility of asking an academic or graduate students to conduct this research as it may require a complex mapping effort or more detailed research efforts than can be provided in-house. IAG-CCT members also noted the data that is available may only provide a snapshot of a larger, underground network, making it more important to capture a baseline soon. </w:t>
            </w:r>
          </w:p>
        </w:tc>
      </w:tr>
      <w:tr w:rsidR="003C6070" w:rsidRPr="00AD5C36" w14:paraId="0FAC0818" w14:textId="77777777" w:rsidTr="00E71F88">
        <w:trPr>
          <w:cantSplit/>
          <w:trHeight w:val="690"/>
        </w:trPr>
        <w:tc>
          <w:tcPr>
            <w:tcW w:w="3785" w:type="dxa"/>
            <w:shd w:val="clear" w:color="auto" w:fill="auto"/>
            <w:noWrap/>
            <w:vAlign w:val="center"/>
            <w:hideMark/>
          </w:tcPr>
          <w:p w14:paraId="5B5B364D" w14:textId="77777777" w:rsidR="003C6070" w:rsidRPr="00AD5C36" w:rsidRDefault="003C607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[1.20] Quantity and relative incidence of complaints filed to ICANN 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170" w:type="dxa"/>
            <w:shd w:val="clear" w:color="auto" w:fill="auto"/>
            <w:noWrap/>
            <w:vAlign w:val="center"/>
          </w:tcPr>
          <w:p w14:paraId="553F08A1"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6E3AEE77"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5DB2D3C"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Align w:val="center"/>
          </w:tcPr>
          <w:p w14:paraId="2463471E" w14:textId="647E70A9" w:rsidR="003C6070" w:rsidRDefault="00F337B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C6070" w:rsidRPr="00AD5C36" w14:paraId="54F41CB5" w14:textId="77777777" w:rsidTr="00E71F88">
        <w:trPr>
          <w:cantSplit/>
          <w:trHeight w:val="690"/>
        </w:trPr>
        <w:tc>
          <w:tcPr>
            <w:tcW w:w="3785" w:type="dxa"/>
            <w:shd w:val="clear" w:color="auto" w:fill="auto"/>
            <w:noWrap/>
            <w:vAlign w:val="center"/>
            <w:hideMark/>
          </w:tcPr>
          <w:p w14:paraId="55BF2B0D" w14:textId="77777777" w:rsidR="003C6070" w:rsidRPr="00AD5C36"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170" w:type="dxa"/>
            <w:shd w:val="clear" w:color="auto" w:fill="auto"/>
            <w:noWrap/>
            <w:vAlign w:val="center"/>
          </w:tcPr>
          <w:p w14:paraId="21E3839E" w14:textId="77777777" w:rsidR="003C6070" w:rsidRPr="00AD5C36"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303CFB79"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2E8817D7" w14:textId="77777777" w:rsidR="003C6070"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c>
          <w:tcPr>
            <w:tcW w:w="3600" w:type="dxa"/>
            <w:vAlign w:val="center"/>
          </w:tcPr>
          <w:p w14:paraId="32FC7383" w14:textId="77777777" w:rsidR="005B3593" w:rsidRPr="005B3593" w:rsidRDefault="005B3593" w:rsidP="005B3593">
            <w:pPr>
              <w:rPr>
                <w:rFonts w:ascii="Calibri" w:hAnsi="Calibri"/>
                <w:sz w:val="20"/>
                <w:szCs w:val="20"/>
              </w:rPr>
            </w:pPr>
            <w:r w:rsidRPr="005B3593">
              <w:rPr>
                <w:rFonts w:ascii="Calibri" w:hAnsi="Calibri"/>
                <w:sz w:val="20"/>
                <w:szCs w:val="20"/>
              </w:rPr>
              <w:t xml:space="preserve">While this is data that can be internally gathered, IAG-CCT members were asked to provide a further definition of “errors” in the case of gTLD zones. Some initial definitions included the following: Errors may be caused by commas instead of dots, bad IP addresses or malformed domains. ICANN is working with its technical services team to better define measures to capture this data. </w:t>
            </w:r>
          </w:p>
          <w:p w14:paraId="19E848BA" w14:textId="77777777" w:rsidR="005B3593" w:rsidRPr="005B3593" w:rsidRDefault="005B3593" w:rsidP="005B3593">
            <w:pPr>
              <w:rPr>
                <w:rFonts w:ascii="Calibri" w:hAnsi="Calibri"/>
                <w:sz w:val="20"/>
                <w:szCs w:val="20"/>
              </w:rPr>
            </w:pPr>
            <w:r w:rsidRPr="005B3593">
              <w:rPr>
                <w:rFonts w:ascii="Calibri" w:hAnsi="Calibri"/>
                <w:sz w:val="20"/>
                <w:szCs w:val="20"/>
              </w:rPr>
              <w:t xml:space="preserve">Upon consultation with ICANN’s technical services team, ICANN staff recommends using a test based on that which is used to measure lame delegations. In short, the test would query a given TLD for domain names registered and whether they are actually represented in the zone file. ICANN staff suggested that syntactic errors (such as commas instead of dots) are extremely difficult to measure due to DNS resiliency. The distinction is that the chosen test should measure the quality of the registration data and not the quality of registrants’ DNS operations. </w:t>
            </w:r>
          </w:p>
          <w:p w14:paraId="36076680" w14:textId="77777777" w:rsidR="003C6070" w:rsidRDefault="003C6070" w:rsidP="005F63A9">
            <w:pPr>
              <w:spacing w:before="60" w:after="60"/>
              <w:jc w:val="center"/>
              <w:rPr>
                <w:rFonts w:ascii="Calibri" w:eastAsia="Times New Roman" w:hAnsi="Calibri" w:cs="Times New Roman"/>
                <w:color w:val="000000"/>
                <w:sz w:val="20"/>
                <w:szCs w:val="22"/>
              </w:rPr>
            </w:pPr>
          </w:p>
        </w:tc>
      </w:tr>
      <w:tr w:rsidR="003C6070" w:rsidRPr="00AD5C36" w14:paraId="16E6B3E0" w14:textId="77777777" w:rsidTr="00E71F88">
        <w:trPr>
          <w:cantSplit/>
          <w:trHeight w:val="690"/>
        </w:trPr>
        <w:tc>
          <w:tcPr>
            <w:tcW w:w="3785" w:type="dxa"/>
            <w:tcBorders>
              <w:bottom w:val="single" w:sz="4" w:space="0" w:color="auto"/>
            </w:tcBorders>
            <w:shd w:val="clear" w:color="auto" w:fill="auto"/>
            <w:noWrap/>
            <w:vAlign w:val="center"/>
          </w:tcPr>
          <w:p w14:paraId="33FE2E49" w14:textId="77777777" w:rsidR="003C6070" w:rsidRDefault="003C6070"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[1.22] Qualitative comparison of mission and purpose set forth in the Question 18 of the new gTLD Application with current actual use of the gTLD.</w:t>
            </w:r>
          </w:p>
        </w:tc>
        <w:tc>
          <w:tcPr>
            <w:tcW w:w="1170" w:type="dxa"/>
            <w:tcBorders>
              <w:bottom w:val="single" w:sz="4" w:space="0" w:color="auto"/>
            </w:tcBorders>
            <w:shd w:val="clear" w:color="auto" w:fill="auto"/>
            <w:noWrap/>
            <w:vAlign w:val="center"/>
          </w:tcPr>
          <w:p w14:paraId="39427AE4" w14:textId="77777777" w:rsidR="003C6070" w:rsidRDefault="003C60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tcBorders>
              <w:bottom w:val="single" w:sz="4" w:space="0" w:color="auto"/>
            </w:tcBorders>
            <w:vAlign w:val="center"/>
          </w:tcPr>
          <w:p w14:paraId="46714489" w14:textId="77777777" w:rsidR="003C6070" w:rsidRDefault="003C60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14:paraId="025F0F18" w14:textId="77777777" w:rsidR="003C6070" w:rsidRDefault="003C6070"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c>
          <w:tcPr>
            <w:tcW w:w="3600" w:type="dxa"/>
            <w:tcBorders>
              <w:bottom w:val="single" w:sz="4" w:space="0" w:color="auto"/>
            </w:tcBorders>
            <w:vAlign w:val="center"/>
          </w:tcPr>
          <w:p w14:paraId="13D2BE99" w14:textId="0FAC9BE7" w:rsidR="003C6070" w:rsidRPr="005B3593" w:rsidRDefault="005B3593" w:rsidP="005B3593">
            <w:pPr>
              <w:spacing w:before="60" w:after="60"/>
              <w:rPr>
                <w:rFonts w:ascii="Calibri" w:eastAsia="Times New Roman" w:hAnsi="Calibri" w:cs="Times New Roman"/>
                <w:color w:val="000000"/>
                <w:sz w:val="20"/>
                <w:szCs w:val="20"/>
              </w:rPr>
            </w:pPr>
            <w:r w:rsidRPr="005B3593">
              <w:rPr>
                <w:rFonts w:ascii="Calibri" w:hAnsi="Calibri"/>
                <w:sz w:val="20"/>
                <w:szCs w:val="20"/>
              </w:rPr>
              <w:t>Qualitative study may be conducted externally or may require a third party’s analysis.</w:t>
            </w:r>
          </w:p>
        </w:tc>
      </w:tr>
      <w:tr w:rsidR="00CE30A2" w:rsidRPr="00CE30A2" w14:paraId="236C10FF" w14:textId="77777777" w:rsidTr="00E71F88">
        <w:trPr>
          <w:cantSplit/>
          <w:trHeight w:val="690"/>
        </w:trPr>
        <w:tc>
          <w:tcPr>
            <w:tcW w:w="12785" w:type="dxa"/>
            <w:gridSpan w:val="5"/>
            <w:shd w:val="clear" w:color="auto" w:fill="E6E6E6"/>
            <w:noWrap/>
            <w:vAlign w:val="center"/>
          </w:tcPr>
          <w:p w14:paraId="72A79E2D" w14:textId="3231A440" w:rsidR="00CE30A2" w:rsidRPr="00CE30A2" w:rsidRDefault="000635BA" w:rsidP="000635BA">
            <w:pPr>
              <w:spacing w:before="60" w:after="60"/>
              <w:rPr>
                <w:rFonts w:ascii="Calibri" w:eastAsia="Times New Roman" w:hAnsi="Calibri" w:cs="Times New Roman"/>
                <w:i/>
                <w:color w:val="000000"/>
                <w:sz w:val="20"/>
                <w:szCs w:val="22"/>
              </w:rPr>
            </w:pPr>
            <w:r>
              <w:rPr>
                <w:rFonts w:ascii="Calibri" w:eastAsia="Times New Roman" w:hAnsi="Calibri" w:cs="Times New Roman"/>
                <w:b/>
                <w:bCs/>
                <w:i/>
                <w:color w:val="000000"/>
                <w:sz w:val="20"/>
                <w:szCs w:val="22"/>
              </w:rPr>
              <w:t xml:space="preserve">ALAC additional measures of Consumer Trust:  </w:t>
            </w:r>
            <w:r w:rsidR="00CE30A2" w:rsidRPr="00CE30A2">
              <w:rPr>
                <w:rFonts w:ascii="Calibri" w:eastAsia="Times New Roman" w:hAnsi="Calibri" w:cs="Times New Roman"/>
                <w:b/>
                <w:bCs/>
                <w:i/>
                <w:color w:val="000000"/>
                <w:sz w:val="20"/>
                <w:szCs w:val="22"/>
              </w:rPr>
              <w:t>End-User Confusion</w:t>
            </w:r>
          </w:p>
        </w:tc>
      </w:tr>
      <w:tr w:rsidR="005B3593" w:rsidRPr="00AD5C36" w14:paraId="6CFAC783" w14:textId="77777777" w:rsidTr="00E71F88">
        <w:trPr>
          <w:cantSplit/>
          <w:trHeight w:val="690"/>
        </w:trPr>
        <w:tc>
          <w:tcPr>
            <w:tcW w:w="3785" w:type="dxa"/>
            <w:shd w:val="clear" w:color="auto" w:fill="auto"/>
            <w:noWrap/>
            <w:vAlign w:val="center"/>
          </w:tcPr>
          <w:p w14:paraId="03D4C8CD" w14:textId="024F2607" w:rsidR="005B3593" w:rsidRDefault="005B359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[4.1] </w:t>
            </w:r>
            <w:r w:rsidRPr="00CE30A2">
              <w:rPr>
                <w:rFonts w:ascii="Calibri" w:eastAsia="Times New Roman" w:hAnsi="Calibri" w:cs="Times New Roman"/>
                <w:color w:val="000000"/>
                <w:sz w:val="20"/>
                <w:szCs w:val="22"/>
              </w:rPr>
              <w:t>Frequency of success in reaching the intended information supplier through direct entry of domain names</w:t>
            </w:r>
          </w:p>
        </w:tc>
        <w:tc>
          <w:tcPr>
            <w:tcW w:w="1170" w:type="dxa"/>
            <w:shd w:val="clear" w:color="auto" w:fill="auto"/>
            <w:noWrap/>
            <w:vAlign w:val="center"/>
          </w:tcPr>
          <w:p w14:paraId="152822DD" w14:textId="4B03745E" w:rsidR="005B3593" w:rsidRDefault="005B3593" w:rsidP="00CE30A2">
            <w:pPr>
              <w:spacing w:before="60" w:after="60"/>
              <w:jc w:val="center"/>
              <w:rPr>
                <w:rFonts w:ascii="Calibri" w:eastAsia="Times New Roman" w:hAnsi="Calibri" w:cs="Times New Roman"/>
                <w:color w:val="000000"/>
                <w:sz w:val="20"/>
                <w:szCs w:val="22"/>
              </w:rPr>
            </w:pPr>
            <w:r w:rsidRPr="00CE30A2">
              <w:rPr>
                <w:rFonts w:ascii="Calibri" w:eastAsia="Times New Roman" w:hAnsi="Calibri" w:cs="Times New Roman"/>
                <w:color w:val="000000"/>
                <w:sz w:val="20"/>
                <w:szCs w:val="22"/>
              </w:rPr>
              <w:t>Survey of end-users; SEO research</w:t>
            </w:r>
          </w:p>
        </w:tc>
        <w:tc>
          <w:tcPr>
            <w:tcW w:w="2700" w:type="dxa"/>
            <w:vAlign w:val="center"/>
          </w:tcPr>
          <w:p w14:paraId="3FCE2937" w14:textId="1735BBDA" w:rsidR="005B3593" w:rsidRDefault="005B3593" w:rsidP="00CE30A2">
            <w:pPr>
              <w:spacing w:before="60" w:after="60"/>
              <w:rPr>
                <w:rFonts w:ascii="Calibri" w:eastAsia="Times New Roman" w:hAnsi="Calibri" w:cs="Times New Roman"/>
                <w:color w:val="000000"/>
                <w:sz w:val="20"/>
                <w:szCs w:val="22"/>
              </w:rPr>
            </w:pPr>
            <w:r w:rsidRPr="00714DCC">
              <w:rPr>
                <w:rFonts w:ascii="Calibri" w:eastAsia="Times New Roman" w:hAnsi="Calibri" w:cs="Times New Roman"/>
                <w:color w:val="000000"/>
                <w:sz w:val="20"/>
                <w:szCs w:val="22"/>
              </w:rPr>
              <w:t>Note 1 </w:t>
            </w:r>
          </w:p>
        </w:tc>
        <w:tc>
          <w:tcPr>
            <w:tcW w:w="1530" w:type="dxa"/>
            <w:shd w:val="clear" w:color="auto" w:fill="auto"/>
            <w:vAlign w:val="center"/>
          </w:tcPr>
          <w:p w14:paraId="630FEDE8" w14:textId="79C4F6F3" w:rsidR="005B3593" w:rsidRDefault="005B3593" w:rsidP="00CE30A2">
            <w:pPr>
              <w:spacing w:before="60" w:after="60"/>
              <w:jc w:val="center"/>
              <w:rPr>
                <w:rFonts w:ascii="Calibri" w:eastAsia="Times New Roman" w:hAnsi="Calibri" w:cs="Times New Roman"/>
                <w:color w:val="000000"/>
                <w:sz w:val="20"/>
                <w:szCs w:val="22"/>
              </w:rPr>
            </w:pPr>
            <w:r w:rsidRPr="00714DCC">
              <w:rPr>
                <w:rFonts w:ascii="Calibri" w:eastAsia="Times New Roman" w:hAnsi="Calibri" w:cs="Times New Roman"/>
                <w:color w:val="000000"/>
                <w:sz w:val="20"/>
                <w:szCs w:val="22"/>
              </w:rPr>
              <w:t>Neutral or increase</w:t>
            </w:r>
          </w:p>
        </w:tc>
        <w:tc>
          <w:tcPr>
            <w:tcW w:w="3600" w:type="dxa"/>
            <w:vMerge w:val="restart"/>
            <w:vAlign w:val="center"/>
          </w:tcPr>
          <w:p w14:paraId="7526CFB2" w14:textId="252BFBAD" w:rsidR="005B3593" w:rsidRPr="005B3593" w:rsidRDefault="005B3593" w:rsidP="0080347C">
            <w:pPr>
              <w:spacing w:before="60" w:after="60"/>
              <w:rPr>
                <w:rFonts w:ascii="Calibri" w:eastAsia="Times New Roman" w:hAnsi="Calibri" w:cs="Times New Roman"/>
                <w:sz w:val="20"/>
                <w:szCs w:val="22"/>
              </w:rPr>
            </w:pPr>
            <w:r w:rsidRPr="005B3593">
              <w:rPr>
                <w:rFonts w:ascii="Calibri" w:eastAsia="Calibri" w:hAnsi="Calibri" w:cs="Calibri"/>
                <w:sz w:val="20"/>
              </w:rPr>
              <w:t xml:space="preserve">Included in global consumer survey metrics. Question will be posed to a sample of Internet users. </w:t>
            </w:r>
          </w:p>
        </w:tc>
      </w:tr>
      <w:tr w:rsidR="005B3593" w:rsidRPr="00AD5C36" w14:paraId="24356A01" w14:textId="77777777" w:rsidTr="00E71F88">
        <w:trPr>
          <w:cantSplit/>
          <w:trHeight w:val="690"/>
        </w:trPr>
        <w:tc>
          <w:tcPr>
            <w:tcW w:w="3785" w:type="dxa"/>
            <w:shd w:val="clear" w:color="auto" w:fill="auto"/>
            <w:noWrap/>
            <w:vAlign w:val="center"/>
          </w:tcPr>
          <w:p w14:paraId="6BC4E380" w14:textId="754B93E9" w:rsidR="005B3593" w:rsidRDefault="005B359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[4.2] </w:t>
            </w:r>
            <w:r w:rsidRPr="00714DCC">
              <w:rPr>
                <w:rFonts w:ascii="Calibri" w:eastAsia="Times New Roman" w:hAnsi="Calibri" w:cs="Times New Roman"/>
                <w:color w:val="000000"/>
                <w:sz w:val="20"/>
                <w:szCs w:val="22"/>
              </w:rPr>
              <w:t>Frequency of landing at unintended destinations</w:t>
            </w:r>
          </w:p>
        </w:tc>
        <w:tc>
          <w:tcPr>
            <w:tcW w:w="1170" w:type="dxa"/>
            <w:shd w:val="clear" w:color="auto" w:fill="auto"/>
            <w:noWrap/>
            <w:vAlign w:val="center"/>
          </w:tcPr>
          <w:p w14:paraId="7B588987" w14:textId="7E2FF064" w:rsidR="005B3593" w:rsidRDefault="005B3593" w:rsidP="00714DCC">
            <w:pPr>
              <w:spacing w:before="60" w:after="60"/>
              <w:jc w:val="center"/>
              <w:rPr>
                <w:rFonts w:ascii="Calibri" w:eastAsia="Times New Roman" w:hAnsi="Calibri" w:cs="Times New Roman"/>
                <w:color w:val="000000"/>
                <w:sz w:val="20"/>
                <w:szCs w:val="22"/>
              </w:rPr>
            </w:pPr>
            <w:r w:rsidRPr="00CE30A2">
              <w:rPr>
                <w:rFonts w:ascii="Calibri" w:eastAsia="Times New Roman" w:hAnsi="Calibri" w:cs="Times New Roman"/>
                <w:color w:val="000000"/>
                <w:sz w:val="20"/>
                <w:szCs w:val="22"/>
              </w:rPr>
              <w:t xml:space="preserve">Survey of end-users; SEO </w:t>
            </w:r>
            <w:r>
              <w:rPr>
                <w:rFonts w:ascii="Calibri" w:eastAsia="Times New Roman" w:hAnsi="Calibri" w:cs="Times New Roman"/>
                <w:color w:val="000000"/>
                <w:sz w:val="20"/>
                <w:szCs w:val="22"/>
              </w:rPr>
              <w:t>analytics</w:t>
            </w:r>
          </w:p>
        </w:tc>
        <w:tc>
          <w:tcPr>
            <w:tcW w:w="2700" w:type="dxa"/>
            <w:vAlign w:val="center"/>
          </w:tcPr>
          <w:p w14:paraId="0EA0ECC4" w14:textId="49111BDB" w:rsidR="005B3593" w:rsidRDefault="005B3593" w:rsidP="00E71F88">
            <w:pPr>
              <w:spacing w:before="60" w:after="60"/>
              <w:rPr>
                <w:rFonts w:ascii="Calibri" w:eastAsia="Times New Roman" w:hAnsi="Calibri" w:cs="Times New Roman"/>
                <w:color w:val="000000"/>
                <w:sz w:val="20"/>
                <w:szCs w:val="22"/>
              </w:rPr>
            </w:pPr>
            <w:r w:rsidRPr="000635BA">
              <w:rPr>
                <w:rFonts w:ascii="Calibri" w:eastAsia="Times New Roman" w:hAnsi="Calibri" w:cs="Times New Roman"/>
                <w:color w:val="000000"/>
                <w:sz w:val="20"/>
                <w:szCs w:val="22"/>
              </w:rPr>
              <w:t>Note 1</w:t>
            </w:r>
            <w:r>
              <w:rPr>
                <w:rFonts w:ascii="Calibri" w:eastAsia="Times New Roman" w:hAnsi="Calibri" w:cs="Times New Roman"/>
                <w:color w:val="000000"/>
                <w:sz w:val="20"/>
                <w:szCs w:val="22"/>
              </w:rPr>
              <w:t xml:space="preserve">.  </w:t>
            </w:r>
            <w:r w:rsidRPr="000635BA">
              <w:rPr>
                <w:rFonts w:ascii="Calibri" w:eastAsia="Times New Roman" w:hAnsi="Calibri" w:cs="Times New Roman"/>
                <w:color w:val="000000"/>
                <w:sz w:val="20"/>
                <w:szCs w:val="22"/>
              </w:rPr>
              <w:t>Selective sampl</w:t>
            </w:r>
            <w:r>
              <w:rPr>
                <w:rFonts w:ascii="Calibri" w:eastAsia="Times New Roman" w:hAnsi="Calibri" w:cs="Times New Roman"/>
                <w:color w:val="000000"/>
                <w:sz w:val="20"/>
                <w:szCs w:val="22"/>
              </w:rPr>
              <w:t>e</w:t>
            </w:r>
            <w:r w:rsidRPr="000635BA">
              <w:rPr>
                <w:rFonts w:ascii="Calibri" w:eastAsia="Times New Roman" w:hAnsi="Calibri" w:cs="Times New Roman"/>
                <w:color w:val="000000"/>
                <w:sz w:val="20"/>
                <w:szCs w:val="22"/>
              </w:rPr>
              <w:t xml:space="preserve"> of analytics may determine the success of typo-squatting or other unintended destinations</w:t>
            </w:r>
          </w:p>
        </w:tc>
        <w:tc>
          <w:tcPr>
            <w:tcW w:w="1530" w:type="dxa"/>
            <w:shd w:val="clear" w:color="auto" w:fill="auto"/>
            <w:vAlign w:val="center"/>
          </w:tcPr>
          <w:p w14:paraId="4EA7E442" w14:textId="40299874" w:rsidR="005B3593" w:rsidRDefault="005B3593" w:rsidP="000635BA">
            <w:pPr>
              <w:spacing w:before="60" w:after="60"/>
              <w:jc w:val="center"/>
              <w:rPr>
                <w:rFonts w:ascii="Calibri" w:eastAsia="Times New Roman" w:hAnsi="Calibri" w:cs="Times New Roman"/>
                <w:color w:val="000000"/>
                <w:sz w:val="20"/>
                <w:szCs w:val="22"/>
              </w:rPr>
            </w:pPr>
            <w:r w:rsidRPr="00714DCC">
              <w:rPr>
                <w:rFonts w:ascii="Calibri" w:eastAsia="Times New Roman" w:hAnsi="Calibri" w:cs="Times New Roman"/>
                <w:color w:val="000000"/>
                <w:sz w:val="20"/>
                <w:szCs w:val="22"/>
              </w:rPr>
              <w:t xml:space="preserve">Neutral or </w:t>
            </w:r>
            <w:r>
              <w:rPr>
                <w:rFonts w:ascii="Calibri" w:eastAsia="Times New Roman" w:hAnsi="Calibri" w:cs="Times New Roman"/>
                <w:color w:val="000000"/>
                <w:sz w:val="20"/>
                <w:szCs w:val="22"/>
              </w:rPr>
              <w:t>decrease</w:t>
            </w:r>
          </w:p>
        </w:tc>
        <w:tc>
          <w:tcPr>
            <w:tcW w:w="3600" w:type="dxa"/>
            <w:vMerge/>
            <w:vAlign w:val="center"/>
          </w:tcPr>
          <w:p w14:paraId="19EC95A4" w14:textId="13928E5B" w:rsidR="005B3593" w:rsidRDefault="005B3593" w:rsidP="0080347C">
            <w:pPr>
              <w:spacing w:before="60" w:after="60"/>
              <w:rPr>
                <w:rFonts w:ascii="Calibri" w:eastAsia="Times New Roman" w:hAnsi="Calibri" w:cs="Times New Roman"/>
                <w:color w:val="000000"/>
                <w:sz w:val="20"/>
                <w:szCs w:val="22"/>
              </w:rPr>
            </w:pPr>
          </w:p>
        </w:tc>
      </w:tr>
      <w:tr w:rsidR="00CE30A2" w:rsidRPr="00AD5C36" w14:paraId="50F715A1" w14:textId="77777777" w:rsidTr="00E71F88">
        <w:trPr>
          <w:cantSplit/>
          <w:trHeight w:val="690"/>
        </w:trPr>
        <w:tc>
          <w:tcPr>
            <w:tcW w:w="3785" w:type="dxa"/>
            <w:shd w:val="clear" w:color="auto" w:fill="auto"/>
            <w:noWrap/>
            <w:vAlign w:val="center"/>
          </w:tcPr>
          <w:p w14:paraId="30306F66" w14:textId="2153C881" w:rsidR="00CE30A2" w:rsidRDefault="00714DCC"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[4.3] </w:t>
            </w:r>
            <w:r w:rsidRPr="00714DCC">
              <w:rPr>
                <w:rFonts w:ascii="Calibri" w:eastAsia="Times New Roman" w:hAnsi="Calibri" w:cs="Times New Roman"/>
                <w:color w:val="000000"/>
                <w:sz w:val="20"/>
                <w:szCs w:val="22"/>
              </w:rPr>
              <w:t>Frequency of redundant or defensive domains (ie, multiple domains pointing to the same destination)</w:t>
            </w:r>
          </w:p>
        </w:tc>
        <w:tc>
          <w:tcPr>
            <w:tcW w:w="1170" w:type="dxa"/>
            <w:shd w:val="clear" w:color="auto" w:fill="auto"/>
            <w:noWrap/>
            <w:vAlign w:val="center"/>
          </w:tcPr>
          <w:p w14:paraId="4D2E5706" w14:textId="3E2CAC9E" w:rsidR="00CE30A2" w:rsidRDefault="00714DCC" w:rsidP="00714DC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of registrants</w:t>
            </w:r>
          </w:p>
        </w:tc>
        <w:tc>
          <w:tcPr>
            <w:tcW w:w="2700" w:type="dxa"/>
            <w:vAlign w:val="center"/>
          </w:tcPr>
          <w:p w14:paraId="05CD5926" w14:textId="04B47160" w:rsidR="00CE30A2" w:rsidRDefault="000635BA"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2</w:t>
            </w:r>
          </w:p>
        </w:tc>
        <w:tc>
          <w:tcPr>
            <w:tcW w:w="1530" w:type="dxa"/>
            <w:shd w:val="clear" w:color="auto" w:fill="auto"/>
            <w:vAlign w:val="center"/>
          </w:tcPr>
          <w:p w14:paraId="31E1C3B9" w14:textId="6F297D5B" w:rsidR="00CE30A2" w:rsidRDefault="000635BA" w:rsidP="000635BA">
            <w:pPr>
              <w:spacing w:before="60" w:after="60"/>
              <w:jc w:val="center"/>
              <w:rPr>
                <w:rFonts w:ascii="Calibri" w:eastAsia="Times New Roman" w:hAnsi="Calibri" w:cs="Times New Roman"/>
                <w:color w:val="000000"/>
                <w:sz w:val="20"/>
                <w:szCs w:val="22"/>
              </w:rPr>
            </w:pPr>
            <w:r w:rsidRPr="00714DCC">
              <w:rPr>
                <w:rFonts w:ascii="Calibri" w:eastAsia="Times New Roman" w:hAnsi="Calibri" w:cs="Times New Roman"/>
                <w:color w:val="000000"/>
                <w:sz w:val="20"/>
                <w:szCs w:val="22"/>
              </w:rPr>
              <w:t xml:space="preserve">Neutral or </w:t>
            </w:r>
            <w:r>
              <w:rPr>
                <w:rFonts w:ascii="Calibri" w:eastAsia="Times New Roman" w:hAnsi="Calibri" w:cs="Times New Roman"/>
                <w:color w:val="000000"/>
                <w:sz w:val="20"/>
                <w:szCs w:val="22"/>
              </w:rPr>
              <w:t>decrease</w:t>
            </w:r>
          </w:p>
        </w:tc>
        <w:tc>
          <w:tcPr>
            <w:tcW w:w="3600" w:type="dxa"/>
            <w:vAlign w:val="center"/>
          </w:tcPr>
          <w:p w14:paraId="576530AE" w14:textId="77777777" w:rsidR="007D2AFB" w:rsidRPr="007D2AFB" w:rsidRDefault="007D2AFB" w:rsidP="007D2AFB">
            <w:pPr>
              <w:contextualSpacing/>
              <w:rPr>
                <w:rFonts w:ascii="Calibri" w:eastAsia="Calibri" w:hAnsi="Calibri" w:cs="Times New Roman"/>
                <w:sz w:val="20"/>
                <w:szCs w:val="20"/>
                <w:lang w:bidi="en-US"/>
              </w:rPr>
            </w:pPr>
            <w:r w:rsidRPr="007D2AFB">
              <w:rPr>
                <w:rFonts w:ascii="Calibri" w:hAnsi="Calibri" w:cs="Times New Roman"/>
                <w:sz w:val="20"/>
                <w:szCs w:val="20"/>
              </w:rPr>
              <w:t>R</w:t>
            </w:r>
            <w:r w:rsidRPr="007D2AFB">
              <w:rPr>
                <w:rFonts w:ascii="Calibri" w:eastAsia="Calibri" w:hAnsi="Calibri" w:cs="Times New Roman"/>
                <w:sz w:val="20"/>
                <w:szCs w:val="20"/>
                <w:lang w:bidi="en-US"/>
              </w:rPr>
              <w:t>esponses will likely be dependent on awareness of new gTLDs and perhaps on the financial resources of registrants. For registrants who are aware of new gTLDs, the survey instrument should be constructed to measure:</w:t>
            </w:r>
          </w:p>
          <w:p w14:paraId="60097241" w14:textId="77777777" w:rsidR="007D2AFB" w:rsidRPr="007D2AFB" w:rsidRDefault="007D2AFB" w:rsidP="007D2AFB">
            <w:pPr>
              <w:pStyle w:val="ListParagraph"/>
              <w:numPr>
                <w:ilvl w:val="0"/>
                <w:numId w:val="16"/>
              </w:numPr>
              <w:spacing w:after="200"/>
              <w:rPr>
                <w:rFonts w:ascii="Calibri" w:eastAsia="Calibri" w:hAnsi="Calibri" w:cs="Times New Roman"/>
                <w:sz w:val="20"/>
                <w:szCs w:val="20"/>
                <w:lang w:bidi="en-US"/>
              </w:rPr>
            </w:pPr>
            <w:r w:rsidRPr="007D2AFB">
              <w:rPr>
                <w:rFonts w:ascii="Calibri" w:eastAsia="Calibri" w:hAnsi="Calibri" w:cs="Times New Roman"/>
                <w:sz w:val="20"/>
                <w:szCs w:val="20"/>
                <w:lang w:bidi="en-US"/>
              </w:rPr>
              <w:t>Prevalence of registrants holding multiple domains</w:t>
            </w:r>
          </w:p>
          <w:p w14:paraId="657108CB" w14:textId="77777777" w:rsidR="007D2AFB" w:rsidRPr="007D2AFB" w:rsidRDefault="007D2AFB" w:rsidP="007D2AFB">
            <w:pPr>
              <w:pStyle w:val="ListParagraph"/>
              <w:numPr>
                <w:ilvl w:val="0"/>
                <w:numId w:val="16"/>
              </w:numPr>
              <w:spacing w:after="200"/>
              <w:rPr>
                <w:rFonts w:ascii="Calibri" w:eastAsia="Calibri" w:hAnsi="Calibri" w:cs="Times New Roman"/>
                <w:sz w:val="20"/>
                <w:szCs w:val="20"/>
                <w:lang w:bidi="en-US"/>
              </w:rPr>
            </w:pPr>
            <w:r w:rsidRPr="007D2AFB">
              <w:rPr>
                <w:rFonts w:ascii="Calibri" w:eastAsia="Calibri" w:hAnsi="Calibri" w:cs="Times New Roman"/>
                <w:sz w:val="20"/>
                <w:szCs w:val="20"/>
                <w:lang w:bidi="en-US"/>
              </w:rPr>
              <w:t xml:space="preserve">Motivation for registering (e.g., defensive) and not registering (e.g., lack of resources) multiple domains, regardless of knowledge of new gTLDs. </w:t>
            </w:r>
          </w:p>
          <w:p w14:paraId="3D1E5D89" w14:textId="3C6B4424" w:rsidR="00CE30A2" w:rsidRDefault="007D2AFB" w:rsidP="007D2AFB">
            <w:pPr>
              <w:spacing w:before="60" w:after="60"/>
              <w:rPr>
                <w:rFonts w:ascii="Calibri" w:eastAsia="Times New Roman" w:hAnsi="Calibri" w:cs="Times New Roman"/>
                <w:color w:val="000000"/>
                <w:sz w:val="20"/>
                <w:szCs w:val="22"/>
              </w:rPr>
            </w:pPr>
            <w:r w:rsidRPr="007D2AFB">
              <w:rPr>
                <w:rFonts w:ascii="Calibri" w:eastAsia="Calibri" w:hAnsi="Calibri" w:cs="Times New Roman"/>
                <w:sz w:val="20"/>
                <w:szCs w:val="20"/>
                <w:lang w:bidi="en-US"/>
              </w:rPr>
              <w:t>For registrants who are aware of expansion, measure attitudes towards expansion and satisfaction with expansion of gTLDs. For example, the instrument might inquire about what the expansion means to the respondent (what are the implications, such as providing increased choice or necessitating defensive measures), and inquiries about the potential benefits in comparison to the potential costs.</w:t>
            </w:r>
          </w:p>
        </w:tc>
      </w:tr>
      <w:tr w:rsidR="00CE30A2" w:rsidRPr="00AD5C36" w14:paraId="3AEEC63C" w14:textId="77777777" w:rsidTr="00E71F88">
        <w:trPr>
          <w:cantSplit/>
          <w:trHeight w:val="690"/>
        </w:trPr>
        <w:tc>
          <w:tcPr>
            <w:tcW w:w="3785" w:type="dxa"/>
            <w:shd w:val="clear" w:color="auto" w:fill="auto"/>
            <w:noWrap/>
            <w:vAlign w:val="center"/>
          </w:tcPr>
          <w:p w14:paraId="3205988E" w14:textId="62D74281" w:rsidR="00CE30A2" w:rsidRDefault="00714DCC"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[4.4] </w:t>
            </w:r>
            <w:r w:rsidRPr="00714DCC">
              <w:rPr>
                <w:rFonts w:ascii="Calibri" w:eastAsia="Times New Roman" w:hAnsi="Calibri" w:cs="Times New Roman"/>
                <w:color w:val="000000"/>
                <w:sz w:val="20"/>
                <w:szCs w:val="22"/>
              </w:rPr>
              <w:t>Frequency of dead-end domains (registered but do not resolve)</w:t>
            </w:r>
          </w:p>
        </w:tc>
        <w:tc>
          <w:tcPr>
            <w:tcW w:w="1170" w:type="dxa"/>
            <w:shd w:val="clear" w:color="auto" w:fill="auto"/>
            <w:noWrap/>
            <w:vAlign w:val="center"/>
          </w:tcPr>
          <w:p w14:paraId="1BBA5BFA" w14:textId="6CBAF94A" w:rsidR="00CE30A2" w:rsidRDefault="000635BA" w:rsidP="00CE30A2">
            <w:pPr>
              <w:spacing w:before="60" w:after="60"/>
              <w:jc w:val="center"/>
              <w:rPr>
                <w:rFonts w:ascii="Calibri" w:eastAsia="Times New Roman" w:hAnsi="Calibri" w:cs="Times New Roman"/>
                <w:color w:val="000000"/>
                <w:sz w:val="20"/>
                <w:szCs w:val="22"/>
              </w:rPr>
            </w:pPr>
            <w:r w:rsidRPr="000635BA">
              <w:rPr>
                <w:rFonts w:ascii="Calibri" w:eastAsia="Times New Roman" w:hAnsi="Calibri" w:cs="Times New Roman"/>
                <w:color w:val="000000"/>
                <w:sz w:val="20"/>
                <w:szCs w:val="22"/>
              </w:rPr>
              <w:t>Registry data + automated sampling</w:t>
            </w:r>
          </w:p>
        </w:tc>
        <w:tc>
          <w:tcPr>
            <w:tcW w:w="2700" w:type="dxa"/>
            <w:vAlign w:val="center"/>
          </w:tcPr>
          <w:p w14:paraId="576737DF" w14:textId="196E1917" w:rsidR="00CE30A2" w:rsidRDefault="000635BA"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3</w:t>
            </w:r>
          </w:p>
        </w:tc>
        <w:tc>
          <w:tcPr>
            <w:tcW w:w="1530" w:type="dxa"/>
            <w:shd w:val="clear" w:color="auto" w:fill="auto"/>
            <w:vAlign w:val="center"/>
          </w:tcPr>
          <w:p w14:paraId="2DD74CBD" w14:textId="2FC53716" w:rsidR="00CE30A2" w:rsidRDefault="000635BA" w:rsidP="00CE30A2">
            <w:pPr>
              <w:spacing w:before="60" w:after="60"/>
              <w:jc w:val="center"/>
              <w:rPr>
                <w:rFonts w:ascii="Calibri" w:eastAsia="Times New Roman" w:hAnsi="Calibri" w:cs="Times New Roman"/>
                <w:color w:val="000000"/>
                <w:sz w:val="20"/>
                <w:szCs w:val="22"/>
              </w:rPr>
            </w:pPr>
            <w:r w:rsidRPr="000635BA">
              <w:rPr>
                <w:rFonts w:ascii="Calibri" w:eastAsia="Times New Roman" w:hAnsi="Calibri" w:cs="Times New Roman"/>
                <w:color w:val="000000"/>
                <w:sz w:val="20"/>
                <w:szCs w:val="22"/>
              </w:rPr>
              <w:t>Proportion relative to total domains should decrease</w:t>
            </w:r>
          </w:p>
        </w:tc>
        <w:tc>
          <w:tcPr>
            <w:tcW w:w="3600" w:type="dxa"/>
            <w:vAlign w:val="center"/>
          </w:tcPr>
          <w:p w14:paraId="37A7C9A0" w14:textId="545BA1DC" w:rsidR="00CE30A2" w:rsidRPr="007D2AFB" w:rsidRDefault="007D2AFB" w:rsidP="007D2AFB">
            <w:pPr>
              <w:spacing w:before="60" w:after="60"/>
              <w:rPr>
                <w:rFonts w:ascii="Calibri" w:eastAsia="Times New Roman" w:hAnsi="Calibri" w:cs="Times New Roman"/>
                <w:color w:val="000000"/>
                <w:sz w:val="20"/>
                <w:szCs w:val="20"/>
              </w:rPr>
            </w:pPr>
            <w:r w:rsidRPr="007D2AFB">
              <w:rPr>
                <w:rFonts w:ascii="Calibri" w:hAnsi="Calibri"/>
                <w:sz w:val="20"/>
                <w:szCs w:val="20"/>
              </w:rPr>
              <w:t>ICANN staff recommends further refining the definition of “dead-end domains.” Domains that are registered but do not resolve may be attributed to IDN variants, where a set of variants may be registered but only one may resolve. Measuring parked domains may also result in faulty data as some domains may be registered for email or other such purposes. Similarly, websites that redirect may also result in false reports of “dead-end domains.” Finally, a dead-end domain could be one registered and delegated but the authoritative servers for the name are inoperable, unreachable or otherwise misfiring. This might be a measure of how little a registrant values a name registration in the TLD or just bad management by the registrant.</w:t>
            </w:r>
          </w:p>
        </w:tc>
      </w:tr>
      <w:tr w:rsidR="00CE30A2" w:rsidRPr="00AD5C36" w14:paraId="4910FBD8" w14:textId="77777777" w:rsidTr="00E71F88">
        <w:trPr>
          <w:cantSplit/>
          <w:trHeight w:val="690"/>
        </w:trPr>
        <w:tc>
          <w:tcPr>
            <w:tcW w:w="3785" w:type="dxa"/>
            <w:tcBorders>
              <w:bottom w:val="single" w:sz="4" w:space="0" w:color="auto"/>
            </w:tcBorders>
            <w:shd w:val="clear" w:color="auto" w:fill="auto"/>
            <w:noWrap/>
            <w:vAlign w:val="center"/>
          </w:tcPr>
          <w:p w14:paraId="7537ADBB" w14:textId="20538746" w:rsidR="00CE30A2" w:rsidRDefault="00714DCC"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[4.5] </w:t>
            </w:r>
            <w:r w:rsidRPr="00714DCC">
              <w:rPr>
                <w:rFonts w:ascii="Calibri" w:eastAsia="Times New Roman" w:hAnsi="Calibri" w:cs="Times New Roman"/>
                <w:color w:val="000000"/>
                <w:sz w:val="20"/>
                <w:szCs w:val="22"/>
              </w:rPr>
              <w:t>Numbers of complaints received by ICANN regarding improper use of domains</w:t>
            </w:r>
          </w:p>
        </w:tc>
        <w:tc>
          <w:tcPr>
            <w:tcW w:w="1170" w:type="dxa"/>
            <w:tcBorders>
              <w:bottom w:val="single" w:sz="4" w:space="0" w:color="auto"/>
            </w:tcBorders>
            <w:shd w:val="clear" w:color="auto" w:fill="auto"/>
            <w:noWrap/>
            <w:vAlign w:val="center"/>
          </w:tcPr>
          <w:p w14:paraId="7410D924" w14:textId="78495093" w:rsidR="00CE30A2" w:rsidRDefault="000635BA"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tcBorders>
              <w:bottom w:val="single" w:sz="4" w:space="0" w:color="auto"/>
            </w:tcBorders>
            <w:vAlign w:val="center"/>
          </w:tcPr>
          <w:p w14:paraId="45671DCF" w14:textId="496F1D02" w:rsidR="00CE30A2" w:rsidRDefault="000635BA" w:rsidP="00CE30A2">
            <w:pPr>
              <w:spacing w:before="60" w:after="60"/>
              <w:rPr>
                <w:rFonts w:ascii="Calibri" w:eastAsia="Times New Roman" w:hAnsi="Calibri" w:cs="Times New Roman"/>
                <w:color w:val="000000"/>
                <w:sz w:val="20"/>
                <w:szCs w:val="22"/>
              </w:rPr>
            </w:pPr>
            <w:r w:rsidRPr="000635BA">
              <w:rPr>
                <w:rFonts w:ascii="Calibri" w:eastAsia="Times New Roman" w:hAnsi="Calibri" w:cs="Times New Roman"/>
                <w:color w:val="000000"/>
                <w:sz w:val="20"/>
                <w:szCs w:val="22"/>
              </w:rPr>
              <w:t>Supplements GNSO metric 1.9 by assessing volume of end-user complaints (which may not come from name owners or result in URS/UDRP action)</w:t>
            </w:r>
          </w:p>
        </w:tc>
        <w:tc>
          <w:tcPr>
            <w:tcW w:w="1530" w:type="dxa"/>
            <w:tcBorders>
              <w:bottom w:val="single" w:sz="4" w:space="0" w:color="auto"/>
            </w:tcBorders>
            <w:shd w:val="clear" w:color="auto" w:fill="auto"/>
            <w:vAlign w:val="center"/>
          </w:tcPr>
          <w:p w14:paraId="1FEF5F0D" w14:textId="77777777" w:rsidR="00CE30A2" w:rsidRDefault="00CE30A2" w:rsidP="00CE30A2">
            <w:pPr>
              <w:spacing w:before="60" w:after="60"/>
              <w:jc w:val="center"/>
              <w:rPr>
                <w:rFonts w:ascii="Calibri" w:eastAsia="Times New Roman" w:hAnsi="Calibri" w:cs="Times New Roman"/>
                <w:color w:val="000000"/>
                <w:sz w:val="20"/>
                <w:szCs w:val="22"/>
              </w:rPr>
            </w:pPr>
          </w:p>
        </w:tc>
        <w:tc>
          <w:tcPr>
            <w:tcW w:w="3600" w:type="dxa"/>
            <w:tcBorders>
              <w:bottom w:val="single" w:sz="4" w:space="0" w:color="auto"/>
            </w:tcBorders>
            <w:vAlign w:val="center"/>
          </w:tcPr>
          <w:p w14:paraId="1E44B000" w14:textId="77777777" w:rsidR="007D2AFB" w:rsidRPr="007D2AFB" w:rsidRDefault="007D2AFB" w:rsidP="007D2AFB">
            <w:pPr>
              <w:rPr>
                <w:rFonts w:ascii="Calibri" w:hAnsi="Calibri"/>
                <w:sz w:val="20"/>
                <w:szCs w:val="20"/>
              </w:rPr>
            </w:pPr>
            <w:r w:rsidRPr="007D2AFB">
              <w:rPr>
                <w:rFonts w:ascii="Calibri" w:eastAsia="Calibri" w:hAnsi="Calibri" w:cs="Calibri"/>
                <w:sz w:val="20"/>
                <w:szCs w:val="20"/>
              </w:rPr>
              <w:t xml:space="preserve">With metric 8.1, </w:t>
            </w:r>
            <w:r w:rsidRPr="007D2AFB">
              <w:rPr>
                <w:rFonts w:ascii="Calibri" w:hAnsi="Calibri"/>
                <w:sz w:val="20"/>
                <w:szCs w:val="20"/>
              </w:rPr>
              <w:t xml:space="preserve">These metrics both required further definition to be able to parse data available from ICANN’s contractual compliance department. Because the compliance department tracks complaints based on certain types of complaints, ICANN staff worked with the IAG-CCT members to identify complaint types that were most applicable to these metrics. </w:t>
            </w:r>
          </w:p>
          <w:p w14:paraId="4C20BA8E" w14:textId="77777777" w:rsidR="007D2AFB" w:rsidRPr="007D2AFB" w:rsidRDefault="007D2AFB" w:rsidP="007D2AFB">
            <w:pPr>
              <w:rPr>
                <w:rFonts w:ascii="Calibri" w:hAnsi="Calibri"/>
                <w:sz w:val="20"/>
                <w:szCs w:val="20"/>
              </w:rPr>
            </w:pPr>
            <w:r w:rsidRPr="007D2AFB">
              <w:rPr>
                <w:rFonts w:ascii="Calibri" w:hAnsi="Calibri"/>
                <w:sz w:val="20"/>
                <w:szCs w:val="20"/>
              </w:rPr>
              <w:t xml:space="preserve">Complaints related to improper use of domains: </w:t>
            </w:r>
          </w:p>
          <w:p w14:paraId="1EA1A92A" w14:textId="77777777" w:rsidR="007D2AFB" w:rsidRPr="007D2AFB" w:rsidRDefault="007D2AFB" w:rsidP="007D2AFB">
            <w:pPr>
              <w:pStyle w:val="ListParagraph"/>
              <w:numPr>
                <w:ilvl w:val="0"/>
                <w:numId w:val="17"/>
              </w:numPr>
              <w:spacing w:after="160" w:line="259" w:lineRule="auto"/>
              <w:rPr>
                <w:rFonts w:ascii="Calibri" w:hAnsi="Calibri"/>
                <w:sz w:val="20"/>
                <w:szCs w:val="20"/>
              </w:rPr>
            </w:pPr>
            <w:r w:rsidRPr="007D2AFB">
              <w:rPr>
                <w:rFonts w:ascii="Calibri" w:hAnsi="Calibri"/>
                <w:sz w:val="20"/>
                <w:szCs w:val="20"/>
              </w:rPr>
              <w:t>Reports of alleged illegal activity: These complaints are referred to government or law enforcement agencies.</w:t>
            </w:r>
          </w:p>
          <w:p w14:paraId="3AE35FFD" w14:textId="77777777" w:rsidR="007D2AFB" w:rsidRPr="007D2AFB" w:rsidRDefault="007D2AFB" w:rsidP="007D2AFB">
            <w:pPr>
              <w:pStyle w:val="ListParagraph"/>
              <w:numPr>
                <w:ilvl w:val="0"/>
                <w:numId w:val="17"/>
              </w:numPr>
              <w:spacing w:after="160" w:line="259" w:lineRule="auto"/>
              <w:rPr>
                <w:rFonts w:ascii="Calibri" w:hAnsi="Calibri"/>
                <w:sz w:val="20"/>
                <w:szCs w:val="20"/>
              </w:rPr>
            </w:pPr>
            <w:r w:rsidRPr="007D2AFB">
              <w:rPr>
                <w:rFonts w:ascii="Calibri" w:hAnsi="Calibri"/>
                <w:sz w:val="20"/>
                <w:szCs w:val="20"/>
              </w:rPr>
              <w:t>Legitimate domain use: Registrants are not required to use their websites in any particular way.</w:t>
            </w:r>
          </w:p>
          <w:p w14:paraId="3FE63B6F" w14:textId="77777777" w:rsidR="007D2AFB" w:rsidRPr="007D2AFB" w:rsidRDefault="007D2AFB" w:rsidP="007D2AFB">
            <w:pPr>
              <w:pStyle w:val="ListParagraph"/>
              <w:numPr>
                <w:ilvl w:val="0"/>
                <w:numId w:val="17"/>
              </w:numPr>
              <w:spacing w:after="160" w:line="259" w:lineRule="auto"/>
              <w:rPr>
                <w:rFonts w:ascii="Calibri" w:hAnsi="Calibri"/>
                <w:sz w:val="20"/>
                <w:szCs w:val="20"/>
              </w:rPr>
            </w:pPr>
            <w:r w:rsidRPr="007D2AFB">
              <w:rPr>
                <w:rFonts w:ascii="Calibri" w:hAnsi="Calibri"/>
                <w:sz w:val="20"/>
                <w:szCs w:val="20"/>
              </w:rPr>
              <w:t xml:space="preserve">Website content: As ICANN does not have the authority to police website content, these complaints are closed. </w:t>
            </w:r>
          </w:p>
          <w:p w14:paraId="7E82F8F2" w14:textId="77777777" w:rsidR="007D2AFB" w:rsidRPr="007D2AFB" w:rsidRDefault="007D2AFB" w:rsidP="007D2AFB">
            <w:pPr>
              <w:pStyle w:val="ListParagraph"/>
              <w:numPr>
                <w:ilvl w:val="0"/>
                <w:numId w:val="17"/>
              </w:numPr>
              <w:spacing w:after="160" w:line="259" w:lineRule="auto"/>
              <w:rPr>
                <w:rFonts w:ascii="Calibri" w:hAnsi="Calibri"/>
                <w:sz w:val="20"/>
                <w:szCs w:val="20"/>
              </w:rPr>
            </w:pPr>
            <w:r w:rsidRPr="007D2AFB">
              <w:rPr>
                <w:rFonts w:ascii="Calibri" w:hAnsi="Calibri"/>
                <w:sz w:val="20"/>
                <w:szCs w:val="20"/>
              </w:rPr>
              <w:t xml:space="preserve">Hijacking (email or control panel): Hijacking of email addresses or access credentials should be reported to law enforcement. </w:t>
            </w:r>
          </w:p>
          <w:p w14:paraId="01956423" w14:textId="77777777" w:rsidR="007D2AFB" w:rsidRPr="007D2AFB" w:rsidRDefault="007D2AFB" w:rsidP="007D2AFB">
            <w:pPr>
              <w:pStyle w:val="ListParagraph"/>
              <w:numPr>
                <w:ilvl w:val="0"/>
                <w:numId w:val="17"/>
              </w:numPr>
              <w:spacing w:after="160" w:line="259" w:lineRule="auto"/>
              <w:rPr>
                <w:rFonts w:ascii="Calibri" w:hAnsi="Calibri"/>
                <w:sz w:val="20"/>
                <w:szCs w:val="20"/>
              </w:rPr>
            </w:pPr>
            <w:r w:rsidRPr="007D2AFB">
              <w:rPr>
                <w:rFonts w:ascii="Calibri" w:hAnsi="Calibri"/>
                <w:sz w:val="20"/>
                <w:szCs w:val="20"/>
              </w:rPr>
              <w:t xml:space="preserve">Denied OK – Evidence of fraud: The registrar was justified in refusing to transfer a domain </w:t>
            </w:r>
            <w:r w:rsidRPr="007D2AFB">
              <w:rPr>
                <w:rFonts w:ascii="Calibri" w:hAnsi="Calibri"/>
                <w:sz w:val="20"/>
                <w:szCs w:val="20"/>
              </w:rPr>
              <w:lastRenderedPageBreak/>
              <w:t>name because of evidence of fraud.</w:t>
            </w:r>
          </w:p>
          <w:p w14:paraId="5B2F4EE2" w14:textId="77777777" w:rsidR="007D2AFB" w:rsidRPr="007D2AFB" w:rsidRDefault="007D2AFB" w:rsidP="007D2AFB">
            <w:pPr>
              <w:pStyle w:val="ListParagraph"/>
              <w:numPr>
                <w:ilvl w:val="0"/>
                <w:numId w:val="17"/>
              </w:numPr>
              <w:spacing w:after="160" w:line="259" w:lineRule="auto"/>
              <w:rPr>
                <w:rFonts w:ascii="Calibri" w:hAnsi="Calibri"/>
                <w:sz w:val="20"/>
                <w:szCs w:val="20"/>
              </w:rPr>
            </w:pPr>
            <w:r w:rsidRPr="007D2AFB">
              <w:rPr>
                <w:rFonts w:ascii="Calibri" w:hAnsi="Calibri"/>
                <w:sz w:val="20"/>
                <w:szCs w:val="20"/>
              </w:rPr>
              <w:t>Spam: ICANN does not have authority to address complaints about spam.</w:t>
            </w:r>
          </w:p>
          <w:p w14:paraId="3D1E28D3" w14:textId="7A760FAF" w:rsidR="00CE30A2" w:rsidRDefault="00CE30A2" w:rsidP="00CE30A2">
            <w:pPr>
              <w:spacing w:before="60" w:after="60"/>
              <w:jc w:val="center"/>
              <w:rPr>
                <w:rFonts w:ascii="Calibri" w:eastAsia="Times New Roman" w:hAnsi="Calibri" w:cs="Times New Roman"/>
                <w:color w:val="000000"/>
                <w:sz w:val="20"/>
                <w:szCs w:val="22"/>
              </w:rPr>
            </w:pPr>
          </w:p>
        </w:tc>
      </w:tr>
      <w:tr w:rsidR="00714DCC" w:rsidRPr="00714DCC" w14:paraId="7951EAF9" w14:textId="77777777" w:rsidTr="00E71F88">
        <w:trPr>
          <w:cantSplit/>
          <w:trHeight w:val="690"/>
        </w:trPr>
        <w:tc>
          <w:tcPr>
            <w:tcW w:w="12785" w:type="dxa"/>
            <w:gridSpan w:val="5"/>
            <w:shd w:val="clear" w:color="auto" w:fill="E6E6E6"/>
            <w:noWrap/>
            <w:vAlign w:val="center"/>
          </w:tcPr>
          <w:p w14:paraId="4955BD74" w14:textId="14090BA5" w:rsidR="00714DCC" w:rsidRPr="00714DCC" w:rsidRDefault="000635BA" w:rsidP="00714DCC">
            <w:pPr>
              <w:spacing w:before="60" w:after="60"/>
              <w:rPr>
                <w:rFonts w:ascii="Calibri" w:eastAsia="Times New Roman" w:hAnsi="Calibri" w:cs="Times New Roman"/>
                <w:i/>
                <w:color w:val="000000"/>
                <w:sz w:val="20"/>
                <w:szCs w:val="22"/>
              </w:rPr>
            </w:pPr>
            <w:r>
              <w:rPr>
                <w:rFonts w:ascii="Calibri" w:eastAsia="Times New Roman" w:hAnsi="Calibri" w:cs="Times New Roman"/>
                <w:b/>
                <w:bCs/>
                <w:i/>
                <w:color w:val="000000"/>
                <w:sz w:val="20"/>
                <w:szCs w:val="22"/>
              </w:rPr>
              <w:lastRenderedPageBreak/>
              <w:t xml:space="preserve">ALAC additional measures of Consumer Trust:  </w:t>
            </w:r>
            <w:r w:rsidR="00714DCC" w:rsidRPr="00714DCC">
              <w:rPr>
                <w:rFonts w:ascii="Calibri" w:eastAsia="Times New Roman" w:hAnsi="Calibri" w:cs="Times New Roman"/>
                <w:b/>
                <w:bCs/>
                <w:i/>
                <w:color w:val="000000"/>
                <w:sz w:val="20"/>
                <w:szCs w:val="22"/>
              </w:rPr>
              <w:t>Growth in use of both domain-based and non-domain-based alternatives for Internet resource access</w:t>
            </w:r>
          </w:p>
        </w:tc>
      </w:tr>
      <w:tr w:rsidR="00CE30A2" w:rsidRPr="00AD5C36" w14:paraId="0D030FDB" w14:textId="77777777" w:rsidTr="00E71F88">
        <w:trPr>
          <w:cantSplit/>
          <w:trHeight w:val="690"/>
        </w:trPr>
        <w:tc>
          <w:tcPr>
            <w:tcW w:w="3785" w:type="dxa"/>
            <w:shd w:val="clear" w:color="auto" w:fill="auto"/>
            <w:noWrap/>
            <w:vAlign w:val="center"/>
          </w:tcPr>
          <w:p w14:paraId="56B03882" w14:textId="75C61512" w:rsidR="00CE30A2" w:rsidRDefault="00C83B9B"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[5.1] </w:t>
            </w:r>
            <w:r w:rsidRPr="00C83B9B">
              <w:rPr>
                <w:rFonts w:ascii="Calibri" w:eastAsia="Times New Roman" w:hAnsi="Calibri" w:cs="Times New Roman"/>
                <w:color w:val="000000"/>
                <w:sz w:val="20"/>
                <w:szCs w:val="22"/>
              </w:rPr>
              <w:t>Relative preference of explicit use of domain names versus search engines for end-user general Internet use</w:t>
            </w:r>
          </w:p>
        </w:tc>
        <w:tc>
          <w:tcPr>
            <w:tcW w:w="1170" w:type="dxa"/>
            <w:shd w:val="clear" w:color="auto" w:fill="auto"/>
            <w:noWrap/>
            <w:vAlign w:val="center"/>
          </w:tcPr>
          <w:p w14:paraId="4174BC5A" w14:textId="41CCFEEF" w:rsidR="00CE30A2" w:rsidRDefault="00C83B9B" w:rsidP="00CE30A2">
            <w:pPr>
              <w:spacing w:before="60" w:after="60"/>
              <w:jc w:val="center"/>
              <w:rPr>
                <w:rFonts w:ascii="Calibri" w:eastAsia="Times New Roman" w:hAnsi="Calibri" w:cs="Times New Roman"/>
                <w:color w:val="000000"/>
                <w:sz w:val="20"/>
                <w:szCs w:val="22"/>
              </w:rPr>
            </w:pPr>
            <w:r w:rsidRPr="00C83B9B">
              <w:rPr>
                <w:rFonts w:ascii="Calibri" w:eastAsia="Times New Roman" w:hAnsi="Calibri" w:cs="Times New Roman"/>
                <w:color w:val="000000"/>
                <w:sz w:val="20"/>
                <w:szCs w:val="22"/>
              </w:rPr>
              <w:t>Survey of end users; SEO analytics</w:t>
            </w:r>
          </w:p>
        </w:tc>
        <w:tc>
          <w:tcPr>
            <w:tcW w:w="2700" w:type="dxa"/>
            <w:vAlign w:val="center"/>
          </w:tcPr>
          <w:p w14:paraId="366A9C77" w14:textId="006C50F0" w:rsidR="00CE30A2" w:rsidRDefault="000635BA"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1</w:t>
            </w:r>
          </w:p>
        </w:tc>
        <w:tc>
          <w:tcPr>
            <w:tcW w:w="1530" w:type="dxa"/>
            <w:shd w:val="clear" w:color="auto" w:fill="auto"/>
            <w:vAlign w:val="center"/>
          </w:tcPr>
          <w:p w14:paraId="33015DEB" w14:textId="5669A622" w:rsidR="00CE30A2" w:rsidRDefault="000635BA"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4</w:t>
            </w:r>
          </w:p>
        </w:tc>
        <w:tc>
          <w:tcPr>
            <w:tcW w:w="3600" w:type="dxa"/>
            <w:vAlign w:val="center"/>
          </w:tcPr>
          <w:p w14:paraId="567CCE4C" w14:textId="61FE4477" w:rsidR="00CE30A2" w:rsidRPr="00C349A3" w:rsidRDefault="00C349A3" w:rsidP="0080347C">
            <w:pPr>
              <w:spacing w:before="60" w:after="60"/>
              <w:rPr>
                <w:rFonts w:ascii="Calibri" w:eastAsia="Times New Roman" w:hAnsi="Calibri" w:cs="Times New Roman"/>
                <w:sz w:val="20"/>
                <w:szCs w:val="20"/>
              </w:rPr>
            </w:pPr>
            <w:r w:rsidRPr="00C349A3">
              <w:rPr>
                <w:rFonts w:ascii="Calibri" w:eastAsia="Calibri" w:hAnsi="Calibri" w:cs="Calibri"/>
                <w:sz w:val="20"/>
                <w:szCs w:val="20"/>
              </w:rPr>
              <w:t xml:space="preserve">To be included in the global consumer survey questions. </w:t>
            </w:r>
            <w:r w:rsidRPr="00C349A3">
              <w:rPr>
                <w:rFonts w:ascii="Calibri" w:eastAsia="Times New Roman" w:hAnsi="Calibri" w:cs="Times New Roman"/>
                <w:sz w:val="20"/>
                <w:szCs w:val="20"/>
              </w:rPr>
              <w:t>T</w:t>
            </w:r>
            <w:r w:rsidRPr="00C349A3">
              <w:rPr>
                <w:rFonts w:ascii="Calibri" w:eastAsia="Calibri" w:hAnsi="Calibri" w:cs="Times New Roman"/>
                <w:sz w:val="20"/>
                <w:szCs w:val="20"/>
                <w:lang w:bidi="en-US"/>
              </w:rPr>
              <w:t>he survey should also consider including as part of this topic, other tools that do not reveal TLDs such as those mentioned in Metric 2.12.</w:t>
            </w:r>
          </w:p>
        </w:tc>
      </w:tr>
      <w:tr w:rsidR="00C349A3" w:rsidRPr="00AD5C36" w14:paraId="1BC85711" w14:textId="77777777" w:rsidTr="00E71F88">
        <w:trPr>
          <w:cantSplit/>
          <w:trHeight w:val="690"/>
        </w:trPr>
        <w:tc>
          <w:tcPr>
            <w:tcW w:w="3785" w:type="dxa"/>
            <w:shd w:val="clear" w:color="auto" w:fill="auto"/>
            <w:noWrap/>
            <w:vAlign w:val="center"/>
          </w:tcPr>
          <w:p w14:paraId="4983FAA8" w14:textId="3CC1BB2E" w:rsidR="00C349A3" w:rsidRDefault="00C349A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[5.2] </w:t>
            </w:r>
            <w:r w:rsidRPr="00C83B9B">
              <w:rPr>
                <w:rFonts w:ascii="Calibri" w:eastAsia="Times New Roman" w:hAnsi="Calibri" w:cs="Times New Roman"/>
                <w:color w:val="000000"/>
                <w:sz w:val="20"/>
                <w:szCs w:val="22"/>
              </w:rPr>
              <w:t>Growth in use of hosted pages for organizations (such as Facebook or Google+)</w:t>
            </w:r>
          </w:p>
        </w:tc>
        <w:tc>
          <w:tcPr>
            <w:tcW w:w="1170" w:type="dxa"/>
            <w:shd w:val="clear" w:color="auto" w:fill="auto"/>
            <w:noWrap/>
            <w:vAlign w:val="center"/>
          </w:tcPr>
          <w:p w14:paraId="6733DE6A" w14:textId="77DB6E8F" w:rsidR="00C349A3" w:rsidRDefault="00C349A3"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Market Research</w:t>
            </w:r>
          </w:p>
        </w:tc>
        <w:tc>
          <w:tcPr>
            <w:tcW w:w="2700" w:type="dxa"/>
            <w:vAlign w:val="center"/>
          </w:tcPr>
          <w:p w14:paraId="4BE86B1D" w14:textId="6B1AAEE3" w:rsidR="00C349A3" w:rsidRDefault="00C349A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e.g., Comscore</w:t>
            </w:r>
          </w:p>
        </w:tc>
        <w:tc>
          <w:tcPr>
            <w:tcW w:w="1530" w:type="dxa"/>
            <w:shd w:val="clear" w:color="auto" w:fill="auto"/>
            <w:vAlign w:val="center"/>
          </w:tcPr>
          <w:p w14:paraId="2E6212E0" w14:textId="6C3AA593" w:rsidR="00C349A3" w:rsidRDefault="00C349A3"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4</w:t>
            </w:r>
          </w:p>
        </w:tc>
        <w:tc>
          <w:tcPr>
            <w:tcW w:w="3600" w:type="dxa"/>
            <w:vMerge w:val="restart"/>
            <w:vAlign w:val="center"/>
          </w:tcPr>
          <w:p w14:paraId="1447D2DF" w14:textId="77777777" w:rsidR="00C349A3" w:rsidRPr="00C349A3" w:rsidRDefault="00C349A3" w:rsidP="00C349A3">
            <w:pPr>
              <w:rPr>
                <w:rFonts w:asciiTheme="majorHAnsi" w:hAnsiTheme="majorHAnsi"/>
                <w:sz w:val="20"/>
                <w:szCs w:val="20"/>
              </w:rPr>
            </w:pPr>
            <w:r w:rsidRPr="00C349A3">
              <w:rPr>
                <w:rFonts w:asciiTheme="majorHAnsi" w:hAnsiTheme="majorHAnsi"/>
                <w:sz w:val="20"/>
                <w:szCs w:val="20"/>
              </w:rPr>
              <w:t xml:space="preserve">There was disagreement among IAG-CCT members on the utility of these metrics as gauges of trust in the DNS. Some members argued that growth in the use of alternative tools to access content on the Internet is more a reflection of </w:t>
            </w:r>
            <w:r w:rsidRPr="00C349A3">
              <w:rPr>
                <w:rFonts w:asciiTheme="majorHAnsi" w:hAnsiTheme="majorHAnsi"/>
                <w:sz w:val="20"/>
                <w:szCs w:val="20"/>
              </w:rPr>
              <w:lastRenderedPageBreak/>
              <w:t xml:space="preserve">changes in how people interact with the DNS than a measure of trust. As such, some members argued that it may be a better indicator of choice, though not choice in the DNS. </w:t>
            </w:r>
          </w:p>
          <w:p w14:paraId="22716B69" w14:textId="77777777" w:rsidR="00C349A3" w:rsidRPr="00C349A3" w:rsidRDefault="00C349A3" w:rsidP="00C349A3">
            <w:pPr>
              <w:rPr>
                <w:rFonts w:asciiTheme="majorHAnsi" w:hAnsiTheme="majorHAnsi"/>
                <w:sz w:val="20"/>
                <w:szCs w:val="20"/>
              </w:rPr>
            </w:pPr>
            <w:r w:rsidRPr="00C349A3">
              <w:rPr>
                <w:rFonts w:asciiTheme="majorHAnsi" w:hAnsiTheme="majorHAnsi"/>
                <w:sz w:val="20"/>
                <w:szCs w:val="20"/>
              </w:rPr>
              <w:t xml:space="preserve">Other IAG-CCT members suggested the metrics are reliable indicators of trust because growth in the use of these services may indicate diminished trust in and use of what may arguably be more memorable domain names in the new gTLDs. </w:t>
            </w:r>
          </w:p>
          <w:p w14:paraId="037ADEF7" w14:textId="650C7D11" w:rsidR="00C349A3" w:rsidRDefault="00C349A3" w:rsidP="0080347C">
            <w:pPr>
              <w:spacing w:before="60" w:after="60"/>
              <w:rPr>
                <w:rFonts w:ascii="Calibri" w:eastAsia="Times New Roman" w:hAnsi="Calibri" w:cs="Times New Roman"/>
                <w:color w:val="000000"/>
                <w:sz w:val="20"/>
                <w:szCs w:val="22"/>
              </w:rPr>
            </w:pPr>
            <w:r w:rsidRPr="00C349A3">
              <w:rPr>
                <w:rFonts w:asciiTheme="majorHAnsi" w:hAnsiTheme="majorHAnsi"/>
                <w:sz w:val="20"/>
                <w:szCs w:val="20"/>
              </w:rPr>
              <w:t>Because the data is available, for a fee, using market research and other web analytic firms, the group decided to recommend collection of this data to the review team. ICANN staff recommend considering the findings in context, perhaps in consideration with DNS traffic in new gTLDs to be measured in metric 2.14.</w:t>
            </w:r>
          </w:p>
        </w:tc>
      </w:tr>
      <w:tr w:rsidR="00C349A3" w:rsidRPr="00AD5C36" w14:paraId="6D4EF5F5" w14:textId="77777777" w:rsidTr="00E71F88">
        <w:trPr>
          <w:cantSplit/>
          <w:trHeight w:val="690"/>
        </w:trPr>
        <w:tc>
          <w:tcPr>
            <w:tcW w:w="3785" w:type="dxa"/>
            <w:shd w:val="clear" w:color="auto" w:fill="auto"/>
            <w:noWrap/>
            <w:vAlign w:val="center"/>
          </w:tcPr>
          <w:p w14:paraId="6FC0D687" w14:textId="78B780F9" w:rsidR="00C349A3" w:rsidRDefault="00C349A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[5.3] </w:t>
            </w:r>
            <w:r w:rsidRPr="00C83B9B">
              <w:rPr>
                <w:rFonts w:ascii="Calibri" w:eastAsia="Times New Roman" w:hAnsi="Calibri" w:cs="Times New Roman"/>
                <w:color w:val="000000"/>
                <w:sz w:val="20"/>
                <w:szCs w:val="22"/>
              </w:rPr>
              <w:t>Growth in use of QR codes</w:t>
            </w:r>
          </w:p>
        </w:tc>
        <w:tc>
          <w:tcPr>
            <w:tcW w:w="1170" w:type="dxa"/>
            <w:shd w:val="clear" w:color="auto" w:fill="auto"/>
            <w:noWrap/>
            <w:vAlign w:val="center"/>
          </w:tcPr>
          <w:p w14:paraId="53F2F174" w14:textId="4F5661E5" w:rsidR="00C349A3" w:rsidRDefault="00C349A3"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Market Research</w:t>
            </w:r>
          </w:p>
        </w:tc>
        <w:tc>
          <w:tcPr>
            <w:tcW w:w="2700" w:type="dxa"/>
            <w:vAlign w:val="center"/>
          </w:tcPr>
          <w:p w14:paraId="2A25C516" w14:textId="79B41CC4" w:rsidR="00C349A3" w:rsidRDefault="00C349A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e.g., ScanLife</w:t>
            </w:r>
          </w:p>
        </w:tc>
        <w:tc>
          <w:tcPr>
            <w:tcW w:w="1530" w:type="dxa"/>
            <w:shd w:val="clear" w:color="auto" w:fill="auto"/>
            <w:vAlign w:val="center"/>
          </w:tcPr>
          <w:p w14:paraId="06069D96" w14:textId="20EEDFA8" w:rsidR="00C349A3" w:rsidRDefault="00C349A3"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4</w:t>
            </w:r>
          </w:p>
        </w:tc>
        <w:tc>
          <w:tcPr>
            <w:tcW w:w="3600" w:type="dxa"/>
            <w:vMerge/>
            <w:vAlign w:val="center"/>
          </w:tcPr>
          <w:p w14:paraId="46D826A2" w14:textId="294CEAB8" w:rsidR="00C349A3" w:rsidRDefault="00C349A3" w:rsidP="0080347C">
            <w:pPr>
              <w:spacing w:before="60" w:after="60"/>
              <w:rPr>
                <w:rFonts w:ascii="Calibri" w:eastAsia="Times New Roman" w:hAnsi="Calibri" w:cs="Times New Roman"/>
                <w:color w:val="000000"/>
                <w:sz w:val="20"/>
                <w:szCs w:val="22"/>
              </w:rPr>
            </w:pPr>
          </w:p>
        </w:tc>
      </w:tr>
      <w:tr w:rsidR="00C349A3" w:rsidRPr="00AD5C36" w14:paraId="31EDADC1" w14:textId="77777777" w:rsidTr="00E71F88">
        <w:trPr>
          <w:cantSplit/>
          <w:trHeight w:val="690"/>
        </w:trPr>
        <w:tc>
          <w:tcPr>
            <w:tcW w:w="3785" w:type="dxa"/>
            <w:shd w:val="clear" w:color="auto" w:fill="auto"/>
            <w:noWrap/>
            <w:vAlign w:val="center"/>
          </w:tcPr>
          <w:p w14:paraId="093EA16F" w14:textId="669B7B24" w:rsidR="00C349A3" w:rsidRDefault="00C349A3"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[5.4] </w:t>
            </w:r>
            <w:r w:rsidRPr="00C83B9B">
              <w:rPr>
                <w:rFonts w:ascii="Calibri" w:eastAsia="Times New Roman" w:hAnsi="Calibri" w:cs="Times New Roman"/>
                <w:color w:val="000000"/>
                <w:sz w:val="20"/>
                <w:szCs w:val="22"/>
              </w:rPr>
              <w:t>Growth in use of URL shortening services</w:t>
            </w:r>
          </w:p>
        </w:tc>
        <w:tc>
          <w:tcPr>
            <w:tcW w:w="1170" w:type="dxa"/>
            <w:shd w:val="clear" w:color="auto" w:fill="auto"/>
            <w:noWrap/>
            <w:vAlign w:val="center"/>
          </w:tcPr>
          <w:p w14:paraId="42C3C251" w14:textId="4165DA09" w:rsidR="00C349A3" w:rsidRDefault="00C349A3"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Market Research</w:t>
            </w:r>
          </w:p>
        </w:tc>
        <w:tc>
          <w:tcPr>
            <w:tcW w:w="2700" w:type="dxa"/>
            <w:vAlign w:val="center"/>
          </w:tcPr>
          <w:p w14:paraId="6B027098" w14:textId="77777777" w:rsidR="00C349A3" w:rsidRDefault="00C349A3" w:rsidP="00CE30A2">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57A668E2" w14:textId="0706EF33" w:rsidR="00C349A3" w:rsidRDefault="00C349A3"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4</w:t>
            </w:r>
          </w:p>
        </w:tc>
        <w:tc>
          <w:tcPr>
            <w:tcW w:w="3600" w:type="dxa"/>
            <w:vMerge/>
            <w:vAlign w:val="center"/>
          </w:tcPr>
          <w:p w14:paraId="26129513" w14:textId="5F5FAAA9" w:rsidR="00C349A3" w:rsidRDefault="00C349A3" w:rsidP="0080347C">
            <w:pPr>
              <w:spacing w:before="60" w:after="60"/>
              <w:rPr>
                <w:rFonts w:ascii="Calibri" w:eastAsia="Times New Roman" w:hAnsi="Calibri" w:cs="Times New Roman"/>
                <w:color w:val="000000"/>
                <w:sz w:val="20"/>
                <w:szCs w:val="22"/>
              </w:rPr>
            </w:pPr>
          </w:p>
        </w:tc>
      </w:tr>
      <w:tr w:rsidR="00CE30A2" w:rsidRPr="00AD5C36" w14:paraId="6FB49E7E" w14:textId="77777777" w:rsidTr="00E71F88">
        <w:trPr>
          <w:cantSplit/>
          <w:trHeight w:val="690"/>
        </w:trPr>
        <w:tc>
          <w:tcPr>
            <w:tcW w:w="3785" w:type="dxa"/>
            <w:shd w:val="clear" w:color="auto" w:fill="auto"/>
            <w:noWrap/>
            <w:vAlign w:val="center"/>
          </w:tcPr>
          <w:p w14:paraId="062F9344" w14:textId="6E1ADB11" w:rsidR="00CE30A2" w:rsidRDefault="00C83B9B"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[5.5] </w:t>
            </w:r>
            <w:r w:rsidRPr="00C83B9B">
              <w:rPr>
                <w:rFonts w:ascii="Calibri" w:eastAsia="Times New Roman" w:hAnsi="Calibri" w:cs="Times New Roman"/>
                <w:color w:val="000000"/>
                <w:sz w:val="20"/>
                <w:szCs w:val="22"/>
              </w:rPr>
              <w:t>Growth in registrations in ccTLDs relative to gTLDs</w:t>
            </w:r>
          </w:p>
        </w:tc>
        <w:tc>
          <w:tcPr>
            <w:tcW w:w="1170" w:type="dxa"/>
            <w:shd w:val="clear" w:color="auto" w:fill="auto"/>
            <w:noWrap/>
            <w:vAlign w:val="center"/>
          </w:tcPr>
          <w:p w14:paraId="6A315C7C" w14:textId="1A93E158" w:rsidR="00CE30A2" w:rsidRDefault="00C83B9B"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data</w:t>
            </w:r>
          </w:p>
        </w:tc>
        <w:tc>
          <w:tcPr>
            <w:tcW w:w="2700" w:type="dxa"/>
            <w:vAlign w:val="center"/>
          </w:tcPr>
          <w:p w14:paraId="02B5F783" w14:textId="0DC09766" w:rsidR="00CE30A2" w:rsidRDefault="000635BA" w:rsidP="00CE30A2">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3</w:t>
            </w:r>
          </w:p>
        </w:tc>
        <w:tc>
          <w:tcPr>
            <w:tcW w:w="1530" w:type="dxa"/>
            <w:shd w:val="clear" w:color="auto" w:fill="auto"/>
            <w:vAlign w:val="center"/>
          </w:tcPr>
          <w:p w14:paraId="19E516BD" w14:textId="26A188F1" w:rsidR="00CE30A2" w:rsidRDefault="000635BA" w:rsidP="000635BA">
            <w:pPr>
              <w:spacing w:before="60" w:after="60"/>
              <w:jc w:val="center"/>
              <w:rPr>
                <w:rFonts w:ascii="Calibri" w:eastAsia="Times New Roman" w:hAnsi="Calibri" w:cs="Times New Roman"/>
                <w:color w:val="000000"/>
                <w:sz w:val="20"/>
                <w:szCs w:val="22"/>
              </w:rPr>
            </w:pPr>
            <w:r w:rsidRPr="000635BA">
              <w:rPr>
                <w:rFonts w:ascii="Calibri" w:eastAsia="Times New Roman" w:hAnsi="Calibri" w:cs="Times New Roman"/>
                <w:color w:val="000000"/>
                <w:sz w:val="20"/>
                <w:szCs w:val="22"/>
              </w:rPr>
              <w:t>significant increase in use of ccTLDs could mean reduced trust in generic TLDs</w:t>
            </w:r>
          </w:p>
        </w:tc>
        <w:tc>
          <w:tcPr>
            <w:tcW w:w="3600" w:type="dxa"/>
            <w:vAlign w:val="center"/>
          </w:tcPr>
          <w:p w14:paraId="04A60258" w14:textId="128CE2A5" w:rsidR="00CE30A2" w:rsidRPr="00C349A3" w:rsidRDefault="00C349A3" w:rsidP="0080347C">
            <w:pPr>
              <w:spacing w:before="60" w:after="60"/>
              <w:rPr>
                <w:rFonts w:asciiTheme="majorHAnsi" w:eastAsia="Times New Roman" w:hAnsiTheme="majorHAnsi" w:cs="Times New Roman"/>
                <w:color w:val="000000"/>
                <w:sz w:val="20"/>
                <w:szCs w:val="20"/>
              </w:rPr>
            </w:pPr>
            <w:r w:rsidRPr="00C349A3">
              <w:rPr>
                <w:rFonts w:asciiTheme="majorHAnsi" w:hAnsiTheme="majorHAnsi"/>
                <w:sz w:val="20"/>
                <w:szCs w:val="20"/>
              </w:rPr>
              <w:t>Will require data from ccTLDs, which may not provide a representative sample. In addition, ccTLD data may have use restrictions.</w:t>
            </w:r>
          </w:p>
        </w:tc>
      </w:tr>
      <w:tr w:rsidR="00C83B9B" w:rsidRPr="00AD5C36" w14:paraId="37119A90" w14:textId="77777777" w:rsidTr="00E71F88">
        <w:trPr>
          <w:cantSplit/>
          <w:trHeight w:val="690"/>
        </w:trPr>
        <w:tc>
          <w:tcPr>
            <w:tcW w:w="3785" w:type="dxa"/>
            <w:tcBorders>
              <w:bottom w:val="single" w:sz="4" w:space="0" w:color="auto"/>
            </w:tcBorders>
            <w:shd w:val="clear" w:color="auto" w:fill="auto"/>
            <w:noWrap/>
            <w:vAlign w:val="center"/>
          </w:tcPr>
          <w:p w14:paraId="7F312E46" w14:textId="1F5D558D" w:rsidR="00C83B9B" w:rsidRPr="00527116" w:rsidRDefault="00C83B9B" w:rsidP="00CE30A2">
            <w:pPr>
              <w:spacing w:before="60" w:after="60"/>
              <w:rPr>
                <w:rFonts w:ascii="Calibri" w:eastAsia="Times New Roman" w:hAnsi="Calibri" w:cs="Times New Roman"/>
                <w:strike/>
                <w:color w:val="000000"/>
                <w:sz w:val="20"/>
                <w:szCs w:val="22"/>
              </w:rPr>
            </w:pPr>
            <w:r w:rsidRPr="00527116">
              <w:rPr>
                <w:rFonts w:ascii="Calibri" w:eastAsia="Times New Roman" w:hAnsi="Calibri" w:cs="Times New Roman"/>
                <w:strike/>
                <w:color w:val="000000"/>
                <w:sz w:val="20"/>
                <w:szCs w:val="22"/>
              </w:rPr>
              <w:lastRenderedPageBreak/>
              <w:t>[5.6] Growth of Software Defined Networking (SDN) as alternative to the DNS</w:t>
            </w:r>
          </w:p>
        </w:tc>
        <w:tc>
          <w:tcPr>
            <w:tcW w:w="1170" w:type="dxa"/>
            <w:tcBorders>
              <w:bottom w:val="single" w:sz="4" w:space="0" w:color="auto"/>
            </w:tcBorders>
            <w:shd w:val="clear" w:color="auto" w:fill="auto"/>
            <w:noWrap/>
            <w:vAlign w:val="center"/>
          </w:tcPr>
          <w:p w14:paraId="1CC91FDA" w14:textId="28AFDACF" w:rsidR="00C83B9B" w:rsidRDefault="00C83B9B"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Market Research</w:t>
            </w:r>
          </w:p>
        </w:tc>
        <w:tc>
          <w:tcPr>
            <w:tcW w:w="2700" w:type="dxa"/>
            <w:tcBorders>
              <w:bottom w:val="single" w:sz="4" w:space="0" w:color="auto"/>
            </w:tcBorders>
            <w:vAlign w:val="center"/>
          </w:tcPr>
          <w:p w14:paraId="6AD7C1BD" w14:textId="77777777" w:rsidR="00C83B9B" w:rsidRDefault="00C83B9B" w:rsidP="00CE30A2">
            <w:pPr>
              <w:spacing w:before="60" w:after="60"/>
              <w:rPr>
                <w:rFonts w:ascii="Calibri" w:eastAsia="Times New Roman" w:hAnsi="Calibri" w:cs="Times New Roman"/>
                <w:color w:val="000000"/>
                <w:sz w:val="20"/>
                <w:szCs w:val="22"/>
              </w:rPr>
            </w:pPr>
          </w:p>
        </w:tc>
        <w:tc>
          <w:tcPr>
            <w:tcW w:w="1530" w:type="dxa"/>
            <w:tcBorders>
              <w:bottom w:val="single" w:sz="4" w:space="0" w:color="auto"/>
            </w:tcBorders>
            <w:shd w:val="clear" w:color="auto" w:fill="auto"/>
            <w:vAlign w:val="center"/>
          </w:tcPr>
          <w:p w14:paraId="72305DCD" w14:textId="30132FBA" w:rsidR="00C83B9B" w:rsidRDefault="000635BA" w:rsidP="00CE30A2">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Note 4</w:t>
            </w:r>
          </w:p>
        </w:tc>
        <w:tc>
          <w:tcPr>
            <w:tcW w:w="3600" w:type="dxa"/>
            <w:tcBorders>
              <w:bottom w:val="single" w:sz="4" w:space="0" w:color="auto"/>
            </w:tcBorders>
            <w:vAlign w:val="center"/>
          </w:tcPr>
          <w:p w14:paraId="448B8246" w14:textId="01F2DBAE" w:rsidR="00C83B9B" w:rsidRPr="00C349A3" w:rsidRDefault="00C349A3" w:rsidP="00C349A3">
            <w:pPr>
              <w:rPr>
                <w:rFonts w:ascii="Calibri" w:hAnsi="Calibri"/>
                <w:sz w:val="20"/>
                <w:szCs w:val="20"/>
              </w:rPr>
            </w:pPr>
            <w:r w:rsidRPr="00C349A3">
              <w:rPr>
                <w:rFonts w:ascii="Calibri" w:hAnsi="Calibri"/>
                <w:sz w:val="20"/>
                <w:szCs w:val="20"/>
              </w:rPr>
              <w:t xml:space="preserve">For the purposes of this analysis, SDN was defined as those tools that hide a URL when navigating the Internet, such as QR codes. Given that the group recommended the collection of data related to tools that present an alternative to memorable domain names in metrics 5.2-5.4, the IAG-CCT members chose to recommend this metric for exclusion from the analysis. IAG-CCT members also noted another definition for SDN as a different approach to computer networking. </w:t>
            </w:r>
          </w:p>
        </w:tc>
      </w:tr>
      <w:tr w:rsidR="0049376C" w:rsidRPr="0049376C" w14:paraId="65785B22" w14:textId="77777777" w:rsidTr="00E71F88">
        <w:trPr>
          <w:cantSplit/>
          <w:trHeight w:val="690"/>
        </w:trPr>
        <w:tc>
          <w:tcPr>
            <w:tcW w:w="12785" w:type="dxa"/>
            <w:gridSpan w:val="5"/>
            <w:shd w:val="clear" w:color="auto" w:fill="E6E6E6"/>
            <w:noWrap/>
            <w:vAlign w:val="center"/>
          </w:tcPr>
          <w:p w14:paraId="12BC8649" w14:textId="3A107F3A" w:rsidR="0049376C" w:rsidRPr="0049376C" w:rsidRDefault="000635BA" w:rsidP="0049376C">
            <w:pPr>
              <w:spacing w:before="60" w:after="60"/>
              <w:rPr>
                <w:rFonts w:ascii="Calibri" w:eastAsia="Times New Roman" w:hAnsi="Calibri" w:cs="Times New Roman"/>
                <w:b/>
                <w:i/>
                <w:color w:val="000000"/>
                <w:sz w:val="20"/>
                <w:szCs w:val="22"/>
              </w:rPr>
            </w:pPr>
            <w:r>
              <w:rPr>
                <w:rFonts w:ascii="Calibri" w:eastAsia="Times New Roman" w:hAnsi="Calibri" w:cs="Times New Roman"/>
                <w:b/>
                <w:bCs/>
                <w:i/>
                <w:color w:val="000000"/>
                <w:sz w:val="20"/>
                <w:szCs w:val="22"/>
              </w:rPr>
              <w:t xml:space="preserve">ALAC additional measures of Consumer Trust:  </w:t>
            </w:r>
            <w:r w:rsidR="0049376C" w:rsidRPr="0049376C">
              <w:rPr>
                <w:rFonts w:ascii="Calibri" w:eastAsia="Times New Roman" w:hAnsi="Calibri" w:cs="Times New Roman"/>
                <w:b/>
                <w:i/>
                <w:color w:val="000000"/>
                <w:sz w:val="20"/>
                <w:szCs w:val="22"/>
              </w:rPr>
              <w:t>Complaints to, and action taken by, police, regulatory agencies and advocacy groups</w:t>
            </w:r>
          </w:p>
        </w:tc>
      </w:tr>
      <w:tr w:rsidR="00CE30A2" w:rsidRPr="00AD5C36" w14:paraId="35F842A4" w14:textId="77777777" w:rsidTr="00E71F88">
        <w:trPr>
          <w:cantSplit/>
          <w:trHeight w:val="690"/>
        </w:trPr>
        <w:tc>
          <w:tcPr>
            <w:tcW w:w="3785" w:type="dxa"/>
            <w:shd w:val="clear" w:color="auto" w:fill="auto"/>
            <w:noWrap/>
            <w:vAlign w:val="center"/>
          </w:tcPr>
          <w:p w14:paraId="67595920" w14:textId="5D11AF3E" w:rsidR="00CE30A2" w:rsidRPr="00527116" w:rsidRDefault="0049376C" w:rsidP="00F42DAF">
            <w:pPr>
              <w:spacing w:before="60" w:after="60"/>
              <w:rPr>
                <w:rFonts w:ascii="Calibri" w:eastAsia="Times New Roman" w:hAnsi="Calibri" w:cs="Times New Roman"/>
                <w:strike/>
                <w:color w:val="000000"/>
                <w:sz w:val="20"/>
                <w:szCs w:val="22"/>
              </w:rPr>
            </w:pPr>
            <w:r w:rsidRPr="00527116">
              <w:rPr>
                <w:rFonts w:ascii="Calibri" w:eastAsia="Times New Roman" w:hAnsi="Calibri" w:cs="Times New Roman"/>
                <w:strike/>
                <w:color w:val="000000"/>
                <w:sz w:val="20"/>
                <w:szCs w:val="22"/>
              </w:rPr>
              <w:t xml:space="preserve">[6.1] </w:t>
            </w:r>
            <w:r w:rsidR="0056609E" w:rsidRPr="00527116">
              <w:rPr>
                <w:rFonts w:ascii="Calibri" w:eastAsia="Times New Roman" w:hAnsi="Calibri" w:cs="Times New Roman"/>
                <w:strike/>
                <w:color w:val="000000"/>
                <w:sz w:val="20"/>
                <w:szCs w:val="22"/>
              </w:rPr>
              <w:t>Number of consumer complaints to government agencies related to confusing or misleading domain names</w:t>
            </w:r>
          </w:p>
        </w:tc>
        <w:tc>
          <w:tcPr>
            <w:tcW w:w="1170" w:type="dxa"/>
            <w:shd w:val="clear" w:color="auto" w:fill="auto"/>
            <w:noWrap/>
            <w:vAlign w:val="center"/>
          </w:tcPr>
          <w:p w14:paraId="69BD1609" w14:textId="02948914" w:rsidR="00CE30A2" w:rsidRDefault="0056609E" w:rsidP="0056609E">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Govt</w:t>
            </w:r>
            <w:r w:rsidRPr="0056609E">
              <w:rPr>
                <w:rFonts w:ascii="Calibri" w:eastAsia="Times New Roman" w:hAnsi="Calibri" w:cs="Times New Roman"/>
                <w:color w:val="000000"/>
                <w:sz w:val="20"/>
                <w:szCs w:val="22"/>
              </w:rPr>
              <w:t xml:space="preserve"> regulatory agencies</w:t>
            </w:r>
          </w:p>
        </w:tc>
        <w:tc>
          <w:tcPr>
            <w:tcW w:w="2700" w:type="dxa"/>
            <w:vAlign w:val="center"/>
          </w:tcPr>
          <w:p w14:paraId="16034950" w14:textId="4BE9F82B" w:rsidR="00CE30A2" w:rsidRDefault="0056609E" w:rsidP="005F63A9">
            <w:pPr>
              <w:spacing w:before="60" w:after="60"/>
              <w:rPr>
                <w:rFonts w:ascii="Calibri" w:eastAsia="Times New Roman" w:hAnsi="Calibri" w:cs="Times New Roman"/>
                <w:color w:val="000000"/>
                <w:sz w:val="20"/>
                <w:szCs w:val="22"/>
              </w:rPr>
            </w:pPr>
            <w:r w:rsidRPr="0056609E">
              <w:rPr>
                <w:rFonts w:ascii="Calibri" w:eastAsia="Times New Roman" w:hAnsi="Calibri" w:cs="Times New Roman"/>
                <w:color w:val="000000"/>
                <w:sz w:val="20"/>
                <w:szCs w:val="22"/>
              </w:rPr>
              <w:t>Establishing relationships with consumer protection and regulatory agencies may be difficult to initiate; however ICANN is expected to have such relationships in place anyway, either directly or through GAC representatives</w:t>
            </w:r>
          </w:p>
        </w:tc>
        <w:tc>
          <w:tcPr>
            <w:tcW w:w="1530" w:type="dxa"/>
            <w:shd w:val="clear" w:color="auto" w:fill="auto"/>
            <w:vAlign w:val="center"/>
          </w:tcPr>
          <w:p w14:paraId="17204713" w14:textId="50D4159B" w:rsidR="00CE30A2" w:rsidRDefault="0056609E" w:rsidP="00FF675B">
            <w:pPr>
              <w:spacing w:before="60" w:after="60"/>
              <w:jc w:val="center"/>
              <w:rPr>
                <w:rFonts w:ascii="Calibri" w:eastAsia="Times New Roman" w:hAnsi="Calibri" w:cs="Times New Roman"/>
                <w:color w:val="000000"/>
                <w:sz w:val="20"/>
                <w:szCs w:val="22"/>
              </w:rPr>
            </w:pPr>
            <w:r w:rsidRPr="0056609E">
              <w:rPr>
                <w:rFonts w:ascii="Calibri" w:eastAsia="Times New Roman" w:hAnsi="Calibri" w:cs="Times New Roman"/>
                <w:color w:val="000000"/>
                <w:sz w:val="20"/>
                <w:szCs w:val="22"/>
              </w:rPr>
              <w:t>Proportion relative to total domains should decrease</w:t>
            </w:r>
          </w:p>
        </w:tc>
        <w:tc>
          <w:tcPr>
            <w:tcW w:w="3600" w:type="dxa"/>
            <w:vAlign w:val="center"/>
          </w:tcPr>
          <w:p w14:paraId="4C53628B" w14:textId="65E9408D" w:rsidR="00CE30A2" w:rsidRPr="00CF4906" w:rsidRDefault="00CF4906" w:rsidP="00CF4906">
            <w:pPr>
              <w:rPr>
                <w:rFonts w:ascii="Calibri" w:hAnsi="Calibri"/>
                <w:sz w:val="20"/>
                <w:szCs w:val="20"/>
              </w:rPr>
            </w:pPr>
            <w:r w:rsidRPr="00CF4906">
              <w:rPr>
                <w:rFonts w:ascii="Calibri" w:hAnsi="Calibri"/>
                <w:sz w:val="20"/>
                <w:szCs w:val="20"/>
              </w:rPr>
              <w:t>The IAG-CCT members agreed that this would be difficult data to capture from government agencies that may track data in disparate ways</w:t>
            </w:r>
            <w:r w:rsidR="00385482">
              <w:rPr>
                <w:rFonts w:ascii="Calibri" w:hAnsi="Calibri"/>
                <w:sz w:val="20"/>
                <w:szCs w:val="20"/>
              </w:rPr>
              <w:t xml:space="preserve"> and so recommended excluding it from the metrics</w:t>
            </w:r>
            <w:r w:rsidRPr="00CF4906">
              <w:rPr>
                <w:rFonts w:ascii="Calibri" w:hAnsi="Calibri"/>
                <w:sz w:val="20"/>
                <w:szCs w:val="20"/>
              </w:rPr>
              <w:t>. In addition, the group expressed concern that the “confusing or misleading domain names” may be difficult to define in a consistent way across different le</w:t>
            </w:r>
            <w:r w:rsidR="00385482">
              <w:rPr>
                <w:rFonts w:ascii="Calibri" w:hAnsi="Calibri"/>
                <w:sz w:val="20"/>
                <w:szCs w:val="20"/>
              </w:rPr>
              <w:t xml:space="preserve">gal environments and cultures. </w:t>
            </w:r>
          </w:p>
        </w:tc>
      </w:tr>
      <w:tr w:rsidR="0049376C" w:rsidRPr="00AD5C36" w14:paraId="7B2F68BD" w14:textId="77777777" w:rsidTr="00E71F88">
        <w:trPr>
          <w:cantSplit/>
          <w:trHeight w:val="690"/>
        </w:trPr>
        <w:tc>
          <w:tcPr>
            <w:tcW w:w="3785" w:type="dxa"/>
            <w:shd w:val="clear" w:color="auto" w:fill="auto"/>
            <w:noWrap/>
            <w:vAlign w:val="center"/>
          </w:tcPr>
          <w:p w14:paraId="405E4ED1" w14:textId="62402AE3" w:rsidR="0049376C" w:rsidRDefault="0049376C"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[6.2] </w:t>
            </w:r>
            <w:r w:rsidR="0056609E" w:rsidRPr="0056609E">
              <w:rPr>
                <w:rFonts w:ascii="Calibri" w:eastAsia="Times New Roman" w:hAnsi="Calibri" w:cs="Times New Roman"/>
                <w:color w:val="000000"/>
                <w:sz w:val="20"/>
                <w:szCs w:val="22"/>
              </w:rPr>
              <w:t>Number of complaints to police agencies alleging fraud or misrepresentation based on – or traced to – domain names</w:t>
            </w:r>
          </w:p>
        </w:tc>
        <w:tc>
          <w:tcPr>
            <w:tcW w:w="1170" w:type="dxa"/>
            <w:shd w:val="clear" w:color="auto" w:fill="auto"/>
            <w:noWrap/>
            <w:vAlign w:val="center"/>
          </w:tcPr>
          <w:p w14:paraId="7D027E51" w14:textId="3067A88C" w:rsidR="0049376C" w:rsidRDefault="0056609E"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
        </w:tc>
        <w:tc>
          <w:tcPr>
            <w:tcW w:w="2700" w:type="dxa"/>
            <w:vAlign w:val="center"/>
          </w:tcPr>
          <w:p w14:paraId="63B4D3D2" w14:textId="60F75D70" w:rsidR="0049376C" w:rsidRDefault="0056609E" w:rsidP="0049376C">
            <w:pPr>
              <w:spacing w:before="60" w:after="60"/>
              <w:rPr>
                <w:rFonts w:ascii="Calibri" w:eastAsia="Times New Roman" w:hAnsi="Calibri" w:cs="Times New Roman"/>
                <w:color w:val="000000"/>
                <w:sz w:val="20"/>
                <w:szCs w:val="22"/>
              </w:rPr>
            </w:pPr>
            <w:r w:rsidRPr="0056609E">
              <w:rPr>
                <w:rFonts w:ascii="Calibri" w:eastAsia="Times New Roman" w:hAnsi="Calibri" w:cs="Times New Roman"/>
                <w:color w:val="000000"/>
                <w:sz w:val="20"/>
                <w:szCs w:val="22"/>
              </w:rPr>
              <w:t>ICANN already has existing communications with LEA groups. Supplements GNSO metrics 1.15 and 1.16 by adding complaints as well as remedial action</w:t>
            </w:r>
          </w:p>
        </w:tc>
        <w:tc>
          <w:tcPr>
            <w:tcW w:w="1530" w:type="dxa"/>
            <w:shd w:val="clear" w:color="auto" w:fill="auto"/>
            <w:vAlign w:val="center"/>
          </w:tcPr>
          <w:p w14:paraId="2B2F1CCC" w14:textId="77777777" w:rsidR="0049376C" w:rsidRDefault="0049376C" w:rsidP="0049376C">
            <w:pPr>
              <w:spacing w:before="60" w:after="60"/>
              <w:jc w:val="center"/>
              <w:rPr>
                <w:rFonts w:ascii="Calibri" w:eastAsia="Times New Roman" w:hAnsi="Calibri" w:cs="Times New Roman"/>
                <w:color w:val="000000"/>
                <w:sz w:val="20"/>
                <w:szCs w:val="22"/>
              </w:rPr>
            </w:pPr>
          </w:p>
        </w:tc>
        <w:tc>
          <w:tcPr>
            <w:tcW w:w="3600" w:type="dxa"/>
            <w:vAlign w:val="center"/>
          </w:tcPr>
          <w:p w14:paraId="49707B1A" w14:textId="11F3BC6B" w:rsidR="0049376C" w:rsidRPr="00124FE3" w:rsidRDefault="00124FE3" w:rsidP="00124FE3">
            <w:pPr>
              <w:rPr>
                <w:rFonts w:ascii="Calibri" w:hAnsi="Calibri"/>
                <w:sz w:val="20"/>
                <w:szCs w:val="20"/>
              </w:rPr>
            </w:pPr>
            <w:r w:rsidRPr="00124FE3">
              <w:rPr>
                <w:rFonts w:ascii="Calibri" w:hAnsi="Calibri"/>
                <w:sz w:val="20"/>
                <w:szCs w:val="20"/>
              </w:rPr>
              <w:t xml:space="preserve">The review team may want to consider rephrasing this metric to be more broadly inclusive of cyber crime or cyber fraud, as opposed to connecting those crimes to domain names, which may be difficult to track. There is global data available on cyber crime, such as Kroll’s Global Fraud Report and econsumer.gov, an initiative of the International Consumer Protection and Enforcement Network. </w:t>
            </w:r>
          </w:p>
        </w:tc>
      </w:tr>
      <w:tr w:rsidR="0049376C" w:rsidRPr="00AD5C36" w14:paraId="20FD91F2" w14:textId="77777777" w:rsidTr="00E71F88">
        <w:trPr>
          <w:cantSplit/>
          <w:trHeight w:val="690"/>
        </w:trPr>
        <w:tc>
          <w:tcPr>
            <w:tcW w:w="3785" w:type="dxa"/>
            <w:shd w:val="clear" w:color="auto" w:fill="auto"/>
            <w:noWrap/>
            <w:vAlign w:val="center"/>
          </w:tcPr>
          <w:p w14:paraId="64D201C2" w14:textId="138B27C0" w:rsidR="0049376C" w:rsidRPr="00527116" w:rsidRDefault="0049376C" w:rsidP="0049376C">
            <w:pPr>
              <w:spacing w:before="60" w:after="60"/>
              <w:rPr>
                <w:rFonts w:ascii="Calibri" w:eastAsia="Times New Roman" w:hAnsi="Calibri" w:cs="Times New Roman"/>
                <w:strike/>
                <w:color w:val="000000"/>
                <w:sz w:val="20"/>
                <w:szCs w:val="22"/>
              </w:rPr>
            </w:pPr>
            <w:r w:rsidRPr="00527116">
              <w:rPr>
                <w:rFonts w:ascii="Calibri" w:eastAsia="Times New Roman" w:hAnsi="Calibri" w:cs="Times New Roman"/>
                <w:strike/>
                <w:color w:val="000000"/>
                <w:sz w:val="20"/>
                <w:szCs w:val="22"/>
              </w:rPr>
              <w:t xml:space="preserve">[6.3] </w:t>
            </w:r>
            <w:r w:rsidR="0056609E" w:rsidRPr="00527116">
              <w:rPr>
                <w:rFonts w:ascii="Calibri" w:eastAsia="Times New Roman" w:hAnsi="Calibri" w:cs="Times New Roman"/>
                <w:strike/>
                <w:color w:val="000000"/>
                <w:sz w:val="20"/>
                <w:szCs w:val="22"/>
              </w:rPr>
              <w:t>Number of fraud investigations where WHOIS information positively assisted investigation and identification of offending parties</w:t>
            </w:r>
          </w:p>
        </w:tc>
        <w:tc>
          <w:tcPr>
            <w:tcW w:w="1170" w:type="dxa"/>
            <w:shd w:val="clear" w:color="auto" w:fill="auto"/>
            <w:noWrap/>
            <w:vAlign w:val="center"/>
          </w:tcPr>
          <w:p w14:paraId="679A6D47" w14:textId="5CE72A1A" w:rsidR="0049376C" w:rsidRDefault="0056609E"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
        </w:tc>
        <w:tc>
          <w:tcPr>
            <w:tcW w:w="2700" w:type="dxa"/>
            <w:vAlign w:val="center"/>
          </w:tcPr>
          <w:p w14:paraId="2A5F3C06" w14:textId="77777777" w:rsidR="0049376C" w:rsidRDefault="0049376C" w:rsidP="0049376C">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28E75FE" w14:textId="77777777" w:rsidR="0049376C" w:rsidRDefault="0049376C" w:rsidP="0049376C">
            <w:pPr>
              <w:spacing w:before="60" w:after="60"/>
              <w:jc w:val="center"/>
              <w:rPr>
                <w:rFonts w:ascii="Calibri" w:eastAsia="Times New Roman" w:hAnsi="Calibri" w:cs="Times New Roman"/>
                <w:color w:val="000000"/>
                <w:sz w:val="20"/>
                <w:szCs w:val="22"/>
              </w:rPr>
            </w:pPr>
          </w:p>
        </w:tc>
        <w:tc>
          <w:tcPr>
            <w:tcW w:w="3600" w:type="dxa"/>
            <w:vAlign w:val="center"/>
          </w:tcPr>
          <w:p w14:paraId="4E515382" w14:textId="124529CF" w:rsidR="0049376C" w:rsidRPr="00C81853" w:rsidRDefault="00C81853" w:rsidP="00C81853">
            <w:pPr>
              <w:rPr>
                <w:rFonts w:ascii="Calibri" w:hAnsi="Calibri"/>
                <w:sz w:val="20"/>
                <w:szCs w:val="20"/>
              </w:rPr>
            </w:pPr>
            <w:r w:rsidRPr="00C81853">
              <w:rPr>
                <w:rFonts w:ascii="Calibri" w:hAnsi="Calibri"/>
                <w:sz w:val="20"/>
                <w:szCs w:val="20"/>
              </w:rPr>
              <w:t xml:space="preserve">The group recommended this metric be excluded from the evaluation as feedback indicated law enforcement would be unwilling to reveal their investigation techniques in a public way, nor were they likely to keep track of this data on a larger scale. Further, some members suggested that there was little connection between this metric and the success of the New gTLD Program. </w:t>
            </w:r>
          </w:p>
        </w:tc>
      </w:tr>
      <w:tr w:rsidR="0049376C" w:rsidRPr="0049376C" w14:paraId="23A7BBB4" w14:textId="77777777" w:rsidTr="00E71F88">
        <w:trPr>
          <w:cantSplit/>
          <w:trHeight w:val="690"/>
        </w:trPr>
        <w:tc>
          <w:tcPr>
            <w:tcW w:w="12785" w:type="dxa"/>
            <w:gridSpan w:val="5"/>
            <w:shd w:val="clear" w:color="auto" w:fill="E6E6E6"/>
            <w:noWrap/>
            <w:vAlign w:val="center"/>
          </w:tcPr>
          <w:p w14:paraId="2F27C470" w14:textId="25ED9616" w:rsidR="0049376C" w:rsidRPr="0049376C" w:rsidRDefault="000635BA" w:rsidP="0049376C">
            <w:pPr>
              <w:spacing w:before="60" w:after="60"/>
              <w:rPr>
                <w:rFonts w:ascii="Calibri" w:eastAsia="Times New Roman" w:hAnsi="Calibri" w:cs="Times New Roman"/>
                <w:b/>
                <w:i/>
                <w:color w:val="000000"/>
                <w:sz w:val="20"/>
                <w:szCs w:val="22"/>
              </w:rPr>
            </w:pPr>
            <w:r>
              <w:rPr>
                <w:rFonts w:ascii="Calibri" w:eastAsia="Times New Roman" w:hAnsi="Calibri" w:cs="Times New Roman"/>
                <w:b/>
                <w:bCs/>
                <w:i/>
                <w:color w:val="000000"/>
                <w:sz w:val="20"/>
                <w:szCs w:val="22"/>
              </w:rPr>
              <w:t xml:space="preserve">ALAC additional measures of Consumer Trust:  </w:t>
            </w:r>
            <w:r w:rsidR="0049376C" w:rsidRPr="0049376C">
              <w:rPr>
                <w:rFonts w:ascii="Calibri" w:eastAsia="Times New Roman" w:hAnsi="Calibri" w:cs="Times New Roman"/>
                <w:b/>
                <w:bCs/>
                <w:i/>
                <w:color w:val="000000"/>
                <w:sz w:val="20"/>
                <w:szCs w:val="22"/>
              </w:rPr>
              <w:t>Transparency of contact information and domain-allocation policies for all gTLDs</w:t>
            </w:r>
          </w:p>
        </w:tc>
      </w:tr>
      <w:tr w:rsidR="0049376C" w:rsidRPr="00AD5C36" w14:paraId="45C4CA02" w14:textId="77777777" w:rsidTr="00E71F88">
        <w:trPr>
          <w:cantSplit/>
          <w:trHeight w:val="690"/>
        </w:trPr>
        <w:tc>
          <w:tcPr>
            <w:tcW w:w="3785" w:type="dxa"/>
            <w:shd w:val="clear" w:color="auto" w:fill="auto"/>
            <w:noWrap/>
            <w:vAlign w:val="center"/>
          </w:tcPr>
          <w:p w14:paraId="0F331C34" w14:textId="49953C22" w:rsidR="0049376C" w:rsidRDefault="0049376C"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[7.1] </w:t>
            </w:r>
            <w:r w:rsidR="0056609E" w:rsidRPr="0056609E">
              <w:rPr>
                <w:rFonts w:ascii="Calibri" w:eastAsia="Times New Roman" w:hAnsi="Calibri" w:cs="Times New Roman"/>
                <w:color w:val="000000"/>
                <w:sz w:val="20"/>
                <w:szCs w:val="22"/>
              </w:rPr>
              <w:t>How many gTLD registries have privacy policies which are clearly and easily accessible by end users</w:t>
            </w:r>
          </w:p>
        </w:tc>
        <w:tc>
          <w:tcPr>
            <w:tcW w:w="1170" w:type="dxa"/>
            <w:shd w:val="clear" w:color="auto" w:fill="auto"/>
            <w:noWrap/>
            <w:vAlign w:val="center"/>
          </w:tcPr>
          <w:p w14:paraId="36CDAFC3" w14:textId="5DD540F3" w:rsidR="0049376C" w:rsidRDefault="0056609E"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00" w:type="dxa"/>
            <w:vAlign w:val="center"/>
          </w:tcPr>
          <w:p w14:paraId="0BDCA083" w14:textId="462CD47D" w:rsidR="0049376C" w:rsidRDefault="0056609E"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Manual audit</w:t>
            </w:r>
          </w:p>
        </w:tc>
        <w:tc>
          <w:tcPr>
            <w:tcW w:w="1530" w:type="dxa"/>
            <w:shd w:val="clear" w:color="auto" w:fill="auto"/>
            <w:vAlign w:val="center"/>
          </w:tcPr>
          <w:p w14:paraId="2A067ECF" w14:textId="5E7D5C17" w:rsidR="0049376C" w:rsidRDefault="00AB7B81"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As many as possible</w:t>
            </w:r>
          </w:p>
        </w:tc>
        <w:tc>
          <w:tcPr>
            <w:tcW w:w="3600" w:type="dxa"/>
            <w:vAlign w:val="center"/>
          </w:tcPr>
          <w:p w14:paraId="563B8E09" w14:textId="61B4DCDB" w:rsidR="0049376C" w:rsidRPr="0080347C" w:rsidRDefault="00F337B8" w:rsidP="0049376C">
            <w:pPr>
              <w:spacing w:before="60" w:after="60"/>
              <w:jc w:val="center"/>
              <w:rPr>
                <w:rFonts w:ascii="Calibri" w:eastAsia="Times New Roman" w:hAnsi="Calibri" w:cs="Times New Roman"/>
                <w:color w:val="0000FF"/>
                <w:sz w:val="20"/>
                <w:szCs w:val="22"/>
              </w:rPr>
            </w:pPr>
            <w:r>
              <w:rPr>
                <w:rFonts w:ascii="Calibri" w:eastAsia="Times New Roman" w:hAnsi="Calibri" w:cs="Times New Roman"/>
                <w:color w:val="000000"/>
                <w:sz w:val="20"/>
                <w:szCs w:val="22"/>
              </w:rPr>
              <w:t>Metric is feasible and useful.</w:t>
            </w:r>
          </w:p>
        </w:tc>
      </w:tr>
      <w:tr w:rsidR="0049376C" w:rsidRPr="00AD5C36" w14:paraId="6FF66DD5" w14:textId="77777777" w:rsidTr="00E71F88">
        <w:trPr>
          <w:cantSplit/>
          <w:trHeight w:val="690"/>
        </w:trPr>
        <w:tc>
          <w:tcPr>
            <w:tcW w:w="3785" w:type="dxa"/>
            <w:shd w:val="clear" w:color="auto" w:fill="auto"/>
            <w:noWrap/>
            <w:vAlign w:val="center"/>
          </w:tcPr>
          <w:p w14:paraId="2986874B" w14:textId="5F03396A" w:rsidR="0049376C" w:rsidRDefault="0049376C"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[7.2] </w:t>
            </w:r>
            <w:r w:rsidR="0056609E" w:rsidRPr="0056609E">
              <w:rPr>
                <w:rFonts w:ascii="Calibri" w:eastAsia="Times New Roman" w:hAnsi="Calibri" w:cs="Times New Roman"/>
                <w:color w:val="000000"/>
                <w:sz w:val="20"/>
                <w:szCs w:val="22"/>
              </w:rPr>
              <w:t>How many gTLD registries have allocation policies which are clearly and easily accessible by end users, even if those policies simply restrict or prohibit public availability</w:t>
            </w:r>
          </w:p>
        </w:tc>
        <w:tc>
          <w:tcPr>
            <w:tcW w:w="1170" w:type="dxa"/>
            <w:shd w:val="clear" w:color="auto" w:fill="auto"/>
            <w:noWrap/>
            <w:vAlign w:val="center"/>
          </w:tcPr>
          <w:p w14:paraId="2901168C" w14:textId="64E987F8" w:rsidR="0049376C" w:rsidRDefault="0056609E"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00" w:type="dxa"/>
            <w:vAlign w:val="center"/>
          </w:tcPr>
          <w:p w14:paraId="29CACB95" w14:textId="3A352726" w:rsidR="0049376C" w:rsidRDefault="0056609E"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Manual audit</w:t>
            </w:r>
          </w:p>
        </w:tc>
        <w:tc>
          <w:tcPr>
            <w:tcW w:w="1530" w:type="dxa"/>
            <w:shd w:val="clear" w:color="auto" w:fill="auto"/>
            <w:vAlign w:val="center"/>
          </w:tcPr>
          <w:p w14:paraId="63F0DAFC" w14:textId="1AD25295" w:rsidR="0049376C" w:rsidRDefault="00AB7B81"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As many as possible</w:t>
            </w:r>
          </w:p>
        </w:tc>
        <w:tc>
          <w:tcPr>
            <w:tcW w:w="3600" w:type="dxa"/>
            <w:vAlign w:val="center"/>
          </w:tcPr>
          <w:p w14:paraId="2A0DD6CE" w14:textId="7289B91D" w:rsidR="0049376C" w:rsidRDefault="00F337B8"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49376C" w:rsidRPr="00AD5C36" w14:paraId="63507E23" w14:textId="77777777" w:rsidTr="00E71F88">
        <w:trPr>
          <w:cantSplit/>
          <w:trHeight w:val="690"/>
        </w:trPr>
        <w:tc>
          <w:tcPr>
            <w:tcW w:w="3785" w:type="dxa"/>
            <w:shd w:val="clear" w:color="auto" w:fill="auto"/>
            <w:noWrap/>
            <w:vAlign w:val="center"/>
          </w:tcPr>
          <w:p w14:paraId="5360E094" w14:textId="2338A88D" w:rsidR="0049376C" w:rsidRDefault="0049376C"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[7.3] </w:t>
            </w:r>
            <w:r w:rsidR="0056609E" w:rsidRPr="0056609E">
              <w:rPr>
                <w:rFonts w:ascii="Calibri" w:eastAsia="Times New Roman" w:hAnsi="Calibri" w:cs="Times New Roman"/>
                <w:color w:val="000000"/>
                <w:sz w:val="20"/>
                <w:szCs w:val="22"/>
              </w:rPr>
              <w:t>How many registries disclose end-user information regarding their codes of conduct for sub-domain owner/operators</w:t>
            </w:r>
          </w:p>
        </w:tc>
        <w:tc>
          <w:tcPr>
            <w:tcW w:w="1170" w:type="dxa"/>
            <w:shd w:val="clear" w:color="auto" w:fill="auto"/>
            <w:noWrap/>
            <w:vAlign w:val="center"/>
          </w:tcPr>
          <w:p w14:paraId="46946522" w14:textId="6E121141" w:rsidR="0049376C" w:rsidRDefault="0056609E"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00" w:type="dxa"/>
            <w:vAlign w:val="center"/>
          </w:tcPr>
          <w:p w14:paraId="45F89B40" w14:textId="242BB692" w:rsidR="0049376C" w:rsidRDefault="0056609E"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Manual audit</w:t>
            </w:r>
          </w:p>
        </w:tc>
        <w:tc>
          <w:tcPr>
            <w:tcW w:w="1530" w:type="dxa"/>
            <w:shd w:val="clear" w:color="auto" w:fill="auto"/>
            <w:vAlign w:val="center"/>
          </w:tcPr>
          <w:p w14:paraId="6D68AE2E" w14:textId="11B6D7AD" w:rsidR="0049376C" w:rsidRDefault="00AB7B81"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As many as possible</w:t>
            </w:r>
          </w:p>
        </w:tc>
        <w:tc>
          <w:tcPr>
            <w:tcW w:w="3600" w:type="dxa"/>
            <w:vAlign w:val="center"/>
          </w:tcPr>
          <w:p w14:paraId="63EF02EF" w14:textId="288F7B88" w:rsidR="0049376C" w:rsidRDefault="00F337B8"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49376C" w:rsidRPr="0049376C" w14:paraId="434C28A7" w14:textId="77777777" w:rsidTr="00E71F88">
        <w:trPr>
          <w:cantSplit/>
          <w:trHeight w:val="690"/>
        </w:trPr>
        <w:tc>
          <w:tcPr>
            <w:tcW w:w="12785" w:type="dxa"/>
            <w:gridSpan w:val="5"/>
            <w:shd w:val="clear" w:color="auto" w:fill="E6E6E6"/>
            <w:noWrap/>
            <w:vAlign w:val="center"/>
          </w:tcPr>
          <w:p w14:paraId="34DDFD53" w14:textId="26A37E72" w:rsidR="0049376C" w:rsidRPr="0049376C" w:rsidRDefault="000635BA" w:rsidP="0049376C">
            <w:pPr>
              <w:spacing w:before="60" w:after="60"/>
              <w:rPr>
                <w:rFonts w:ascii="Calibri" w:eastAsia="Times New Roman" w:hAnsi="Calibri" w:cs="Times New Roman"/>
                <w:b/>
                <w:i/>
                <w:color w:val="000000"/>
                <w:sz w:val="20"/>
                <w:szCs w:val="22"/>
              </w:rPr>
            </w:pPr>
            <w:r>
              <w:rPr>
                <w:rFonts w:ascii="Calibri" w:eastAsia="Times New Roman" w:hAnsi="Calibri" w:cs="Times New Roman"/>
                <w:b/>
                <w:bCs/>
                <w:i/>
                <w:color w:val="000000"/>
                <w:sz w:val="20"/>
                <w:szCs w:val="22"/>
              </w:rPr>
              <w:t xml:space="preserve">ALAC additional measures of Consumer Trust:  </w:t>
            </w:r>
            <w:r w:rsidR="0049376C" w:rsidRPr="0049376C">
              <w:rPr>
                <w:rFonts w:ascii="Calibri" w:eastAsia="Times New Roman" w:hAnsi="Calibri" w:cs="Times New Roman"/>
                <w:b/>
                <w:bCs/>
                <w:i/>
                <w:color w:val="000000"/>
                <w:sz w:val="20"/>
                <w:szCs w:val="22"/>
              </w:rPr>
              <w:t>Accuracy of new gTLD promotion to end users</w:t>
            </w:r>
          </w:p>
        </w:tc>
      </w:tr>
      <w:tr w:rsidR="0049376C" w:rsidRPr="00AD5C36" w14:paraId="1BA6BFE6" w14:textId="77777777" w:rsidTr="00E71F88">
        <w:trPr>
          <w:cantSplit/>
          <w:trHeight w:val="690"/>
        </w:trPr>
        <w:tc>
          <w:tcPr>
            <w:tcW w:w="3785" w:type="dxa"/>
            <w:shd w:val="clear" w:color="auto" w:fill="auto"/>
            <w:noWrap/>
            <w:vAlign w:val="center"/>
          </w:tcPr>
          <w:p w14:paraId="2769FE3A" w14:textId="34613EE7" w:rsidR="0049376C" w:rsidRDefault="0049376C"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[8.1] </w:t>
            </w:r>
            <w:r w:rsidR="009B01A1" w:rsidRPr="009B01A1">
              <w:rPr>
                <w:rFonts w:ascii="Calibri" w:eastAsia="Times New Roman" w:hAnsi="Calibri" w:cs="Times New Roman"/>
                <w:color w:val="000000"/>
                <w:sz w:val="20"/>
                <w:szCs w:val="22"/>
              </w:rPr>
              <w:t>How many complaints are received by ICANN related to confusion or misunderstanding of TLD functions</w:t>
            </w:r>
          </w:p>
        </w:tc>
        <w:tc>
          <w:tcPr>
            <w:tcW w:w="1170" w:type="dxa"/>
            <w:shd w:val="clear" w:color="auto" w:fill="auto"/>
            <w:noWrap/>
            <w:vAlign w:val="center"/>
          </w:tcPr>
          <w:p w14:paraId="284AC419" w14:textId="2D0901E8" w:rsidR="0049376C" w:rsidRDefault="009B01A1"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5751C26E" w14:textId="77777777" w:rsidR="0049376C" w:rsidRDefault="0049376C" w:rsidP="0049376C">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769CDD82" w14:textId="77777777" w:rsidR="0049376C" w:rsidRDefault="0049376C" w:rsidP="0049376C">
            <w:pPr>
              <w:spacing w:before="60" w:after="60"/>
              <w:jc w:val="center"/>
              <w:rPr>
                <w:rFonts w:ascii="Calibri" w:eastAsia="Times New Roman" w:hAnsi="Calibri" w:cs="Times New Roman"/>
                <w:color w:val="000000"/>
                <w:sz w:val="20"/>
                <w:szCs w:val="22"/>
              </w:rPr>
            </w:pPr>
          </w:p>
        </w:tc>
        <w:tc>
          <w:tcPr>
            <w:tcW w:w="3600" w:type="dxa"/>
            <w:vAlign w:val="center"/>
          </w:tcPr>
          <w:p w14:paraId="25DE2528" w14:textId="77777777" w:rsidR="003C0046" w:rsidRPr="003C0046" w:rsidRDefault="003C0046" w:rsidP="003C0046">
            <w:pPr>
              <w:rPr>
                <w:rFonts w:ascii="Calibri" w:hAnsi="Calibri"/>
                <w:sz w:val="20"/>
                <w:szCs w:val="20"/>
              </w:rPr>
            </w:pPr>
            <w:r w:rsidRPr="003C0046">
              <w:rPr>
                <w:rFonts w:ascii="Calibri" w:eastAsia="Calibri" w:hAnsi="Calibri" w:cs="Calibri"/>
                <w:sz w:val="20"/>
                <w:szCs w:val="20"/>
              </w:rPr>
              <w:t>With metric 4.5, t</w:t>
            </w:r>
            <w:r w:rsidRPr="003C0046">
              <w:rPr>
                <w:rFonts w:ascii="Calibri" w:hAnsi="Calibri"/>
                <w:sz w:val="20"/>
                <w:szCs w:val="20"/>
              </w:rPr>
              <w:t xml:space="preserve">hese metrics both required further definition to be able to parse data available from ICANN’s contractual compliance department. Because the compliance department tracks complaints based on certain types of complaints, ICANN staff worked with the IAG-CCT members to identify complaint types that were most applicable to these metrics. Complaints related to confusion or misunderstanding of a TLD function: </w:t>
            </w:r>
          </w:p>
          <w:p w14:paraId="56442AB9"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Non-IDN: The complaint is not for an IDN domain name. </w:t>
            </w:r>
          </w:p>
          <w:p w14:paraId="1027E815"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Registrar does not offer IDNs: Complaint about an IDN registered with a registrar that does not offer IDNs.</w:t>
            </w:r>
          </w:p>
          <w:p w14:paraId="65FF1E2E"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Deletion OK: Registrar demonstration that deletion of a domain name was compliant with the 2013 RAA. </w:t>
            </w:r>
          </w:p>
          <w:p w14:paraId="0735BF87"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Not a new gTLD: Complaint notice about trademark notices in a domain that is not a new gTLD, which require trademark notices. </w:t>
            </w:r>
          </w:p>
          <w:p w14:paraId="34015857"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Outside claims period: Trademark notice complaint that is outside the claim notice period. </w:t>
            </w:r>
          </w:p>
          <w:p w14:paraId="32A6C139"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Non-2013 RAA: Complaint is related to a 2013 RAA but the </w:t>
            </w:r>
            <w:r w:rsidRPr="003C0046">
              <w:rPr>
                <w:rFonts w:ascii="Calibri" w:hAnsi="Calibri"/>
                <w:sz w:val="20"/>
                <w:szCs w:val="20"/>
              </w:rPr>
              <w:lastRenderedPageBreak/>
              <w:t xml:space="preserve">registrar is using a 2001 or 2009 version of the RAA. </w:t>
            </w:r>
          </w:p>
          <w:p w14:paraId="424F635A"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ccTLD: The complaint is related to a domain registered in a ccTLD. ICANN does not accredit ccTLD registrars. </w:t>
            </w:r>
          </w:p>
          <w:p w14:paraId="7AA33DA5"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Customer service not in RAA: ICANN does not have contractual authority to address customer service issues that fall outside the RAA. </w:t>
            </w:r>
          </w:p>
          <w:p w14:paraId="6380EDDB"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Private dispute: The complaint indicates a private dispute between the complainant and a third party, over which ICANN does not have contractual authority.</w:t>
            </w:r>
          </w:p>
          <w:p w14:paraId="6431E1C5"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Spam: ICANN does not have authority to police spam.</w:t>
            </w:r>
          </w:p>
          <w:p w14:paraId="68AF1C07"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Website content: ICANN does not regulate website content. </w:t>
            </w:r>
          </w:p>
          <w:p w14:paraId="20D3341A"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Complaint about wrong website: Complaint referred to a site that is not registered with the referenced registrar. </w:t>
            </w:r>
          </w:p>
          <w:p w14:paraId="61829113"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Complaint about wrong entity: Complaint referenced a non-ICANN-accredited registrar or a wrong entity. </w:t>
            </w:r>
          </w:p>
          <w:p w14:paraId="6904789E"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Complaint outside data retention obligations: Complaint references data that registrars </w:t>
            </w:r>
            <w:r w:rsidRPr="003C0046">
              <w:rPr>
                <w:rFonts w:ascii="Calibri" w:hAnsi="Calibri"/>
                <w:sz w:val="20"/>
                <w:szCs w:val="20"/>
              </w:rPr>
              <w:lastRenderedPageBreak/>
              <w:t xml:space="preserve">aren’t obligated to maintain or those that can no longer be maintained due to age. </w:t>
            </w:r>
          </w:p>
          <w:p w14:paraId="6B9422C2"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Irrelevant: A Whois-related complaint for an irrelevant/invalid complaint. </w:t>
            </w:r>
          </w:p>
          <w:p w14:paraId="2D0652C1"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Complainant owns domain name: Complainant owns the domain name about which they are complaining. </w:t>
            </w:r>
          </w:p>
          <w:p w14:paraId="66A18DB4"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Complaint outside scope: Complaint falls outside provisions of registry agreement.</w:t>
            </w:r>
          </w:p>
          <w:p w14:paraId="5EC61931"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ICANN not a registrar: ICANN doesn’t register domain names. </w:t>
            </w:r>
          </w:p>
          <w:p w14:paraId="70C14EBB"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Not applicable to this TLD (Invalid): The complaint is not applicable to the generic, top-level domain (gTLD) of the complaint.  </w:t>
            </w:r>
          </w:p>
          <w:p w14:paraId="42F64548" w14:textId="77777777" w:rsidR="003C0046" w:rsidRPr="003C0046" w:rsidRDefault="003C0046" w:rsidP="003C0046">
            <w:pPr>
              <w:pStyle w:val="ListParagraph"/>
              <w:numPr>
                <w:ilvl w:val="0"/>
                <w:numId w:val="17"/>
              </w:numPr>
              <w:spacing w:after="160" w:line="259" w:lineRule="auto"/>
              <w:rPr>
                <w:rFonts w:ascii="Calibri" w:hAnsi="Calibri"/>
                <w:sz w:val="20"/>
                <w:szCs w:val="20"/>
              </w:rPr>
            </w:pPr>
            <w:r w:rsidRPr="003C0046">
              <w:rPr>
                <w:rFonts w:ascii="Calibri" w:hAnsi="Calibri"/>
                <w:sz w:val="20"/>
                <w:szCs w:val="20"/>
              </w:rPr>
              <w:t xml:space="preserve">Reseller/web hosting: Complaint falls outside the scope of the RAA and is with an entity that does not have a contractual relationship with ICANN. </w:t>
            </w:r>
          </w:p>
          <w:p w14:paraId="7AEAC579" w14:textId="20D2B2C8" w:rsidR="0049376C" w:rsidRPr="003C0046" w:rsidRDefault="003C0046" w:rsidP="003C0046">
            <w:pPr>
              <w:pStyle w:val="ListParagraph"/>
              <w:numPr>
                <w:ilvl w:val="0"/>
                <w:numId w:val="17"/>
              </w:numPr>
              <w:spacing w:after="160" w:line="259" w:lineRule="auto"/>
            </w:pPr>
            <w:r w:rsidRPr="003C0046">
              <w:rPr>
                <w:rFonts w:ascii="Calibri" w:hAnsi="Calibri"/>
                <w:sz w:val="20"/>
                <w:szCs w:val="20"/>
              </w:rPr>
              <w:t xml:space="preserve">Blocked SLD confirmed (Invalid): The registry operator may reserve or block additional character strings at its own discretion; or the second level domain (SLD) name of the </w:t>
            </w:r>
            <w:r w:rsidRPr="003C0046">
              <w:rPr>
                <w:rFonts w:ascii="Calibri" w:hAnsi="Calibri"/>
                <w:sz w:val="20"/>
                <w:szCs w:val="20"/>
              </w:rPr>
              <w:lastRenderedPageBreak/>
              <w:t>complaint is in the list of SLD names required to be blocked per the Alternate Path to Delegation Report of the gTLD of the complaint.</w:t>
            </w:r>
          </w:p>
        </w:tc>
      </w:tr>
      <w:tr w:rsidR="009B01A1" w:rsidRPr="00AD5C36" w14:paraId="1526B46B" w14:textId="77777777" w:rsidTr="00E71F88">
        <w:trPr>
          <w:cantSplit/>
          <w:trHeight w:val="690"/>
        </w:trPr>
        <w:tc>
          <w:tcPr>
            <w:tcW w:w="3785" w:type="dxa"/>
            <w:shd w:val="clear" w:color="auto" w:fill="auto"/>
            <w:noWrap/>
            <w:vAlign w:val="center"/>
          </w:tcPr>
          <w:p w14:paraId="671CA7A7" w14:textId="771495B3" w:rsidR="009B01A1" w:rsidRPr="003C0046" w:rsidRDefault="009B01A1" w:rsidP="0049376C">
            <w:pPr>
              <w:spacing w:before="60" w:after="60"/>
              <w:rPr>
                <w:rFonts w:ascii="Calibri" w:eastAsia="Times New Roman" w:hAnsi="Calibri" w:cs="Times New Roman"/>
                <w:strike/>
                <w:color w:val="000000"/>
                <w:sz w:val="20"/>
                <w:szCs w:val="22"/>
              </w:rPr>
            </w:pPr>
            <w:r w:rsidRPr="003C0046">
              <w:rPr>
                <w:rFonts w:ascii="Calibri" w:eastAsia="Times New Roman" w:hAnsi="Calibri" w:cs="Times New Roman"/>
                <w:strike/>
                <w:color w:val="000000"/>
                <w:sz w:val="20"/>
                <w:szCs w:val="22"/>
              </w:rPr>
              <w:lastRenderedPageBreak/>
              <w:t>[8.2] How many registries are subject to Compliance activity based on reported breaches of RAA</w:t>
            </w:r>
          </w:p>
        </w:tc>
        <w:tc>
          <w:tcPr>
            <w:tcW w:w="1170" w:type="dxa"/>
            <w:shd w:val="clear" w:color="auto" w:fill="auto"/>
            <w:noWrap/>
            <w:vAlign w:val="center"/>
          </w:tcPr>
          <w:p w14:paraId="5158AE59" w14:textId="2C94D0FE" w:rsidR="009B01A1" w:rsidRDefault="009B01A1"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52256FC3" w14:textId="77777777" w:rsidR="009B01A1" w:rsidRDefault="009B01A1" w:rsidP="0049376C">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013D671B" w14:textId="77777777" w:rsidR="009B01A1" w:rsidRDefault="009B01A1" w:rsidP="0049376C">
            <w:pPr>
              <w:spacing w:before="60" w:after="60"/>
              <w:jc w:val="center"/>
              <w:rPr>
                <w:rFonts w:ascii="Calibri" w:eastAsia="Times New Roman" w:hAnsi="Calibri" w:cs="Times New Roman"/>
                <w:color w:val="000000"/>
                <w:sz w:val="20"/>
                <w:szCs w:val="22"/>
              </w:rPr>
            </w:pPr>
          </w:p>
        </w:tc>
        <w:tc>
          <w:tcPr>
            <w:tcW w:w="3600" w:type="dxa"/>
            <w:vAlign w:val="center"/>
          </w:tcPr>
          <w:p w14:paraId="2BA9336D" w14:textId="66F78BB8" w:rsidR="009B01A1" w:rsidRPr="003C0046" w:rsidRDefault="003C0046" w:rsidP="003C0046">
            <w:pPr>
              <w:rPr>
                <w:rFonts w:ascii="Calibri" w:hAnsi="Calibri"/>
                <w:sz w:val="20"/>
                <w:szCs w:val="20"/>
              </w:rPr>
            </w:pPr>
            <w:r w:rsidRPr="003C0046">
              <w:rPr>
                <w:rFonts w:ascii="Calibri" w:hAnsi="Calibri"/>
                <w:sz w:val="20"/>
                <w:szCs w:val="20"/>
              </w:rPr>
              <w:t xml:space="preserve">The group members agreed that metric 1.6, Relative incidence of breach notices issued to Registry operators for contract or policy compliance matters, </w:t>
            </w:r>
            <w:r>
              <w:rPr>
                <w:rFonts w:ascii="Calibri" w:hAnsi="Calibri"/>
                <w:sz w:val="20"/>
                <w:szCs w:val="20"/>
              </w:rPr>
              <w:t xml:space="preserve">covers this topic </w:t>
            </w:r>
            <w:r w:rsidRPr="003C0046">
              <w:rPr>
                <w:rFonts w:ascii="Calibri" w:hAnsi="Calibri"/>
                <w:sz w:val="20"/>
                <w:szCs w:val="20"/>
              </w:rPr>
              <w:t>given that registries are not subject to compliance activity based on reported breaches of an RAA. Further, metric 1.7 also captures compliance activity related to registrar breach notices: Relative incidence of breach notices issued to Registrars, for contract or policy compliance matters.</w:t>
            </w:r>
            <w:r>
              <w:rPr>
                <w:rFonts w:ascii="Calibri" w:hAnsi="Calibri"/>
                <w:sz w:val="20"/>
                <w:szCs w:val="20"/>
              </w:rPr>
              <w:t xml:space="preserve"> Consequently, this metric was recommended for exclusion. </w:t>
            </w:r>
          </w:p>
        </w:tc>
      </w:tr>
      <w:tr w:rsidR="009B01A1" w:rsidRPr="00AD5C36" w14:paraId="27254338" w14:textId="77777777" w:rsidTr="00E71F88">
        <w:trPr>
          <w:cantSplit/>
          <w:trHeight w:val="690"/>
        </w:trPr>
        <w:tc>
          <w:tcPr>
            <w:tcW w:w="3785" w:type="dxa"/>
            <w:shd w:val="clear" w:color="auto" w:fill="auto"/>
            <w:noWrap/>
            <w:vAlign w:val="center"/>
          </w:tcPr>
          <w:p w14:paraId="08E4275B" w14:textId="2D6B7FEA" w:rsidR="009B01A1" w:rsidRDefault="009B01A1" w:rsidP="0049376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[8.3] </w:t>
            </w:r>
            <w:r w:rsidRPr="009B01A1">
              <w:rPr>
                <w:rFonts w:ascii="Calibri" w:eastAsia="Times New Roman" w:hAnsi="Calibri" w:cs="Times New Roman"/>
                <w:color w:val="000000"/>
                <w:sz w:val="20"/>
                <w:szCs w:val="22"/>
              </w:rPr>
              <w:t>How many registries have been the subject of complaints related to their Public Interest Commitments (PICs)</w:t>
            </w:r>
          </w:p>
        </w:tc>
        <w:tc>
          <w:tcPr>
            <w:tcW w:w="1170" w:type="dxa"/>
            <w:shd w:val="clear" w:color="auto" w:fill="auto"/>
            <w:noWrap/>
            <w:vAlign w:val="center"/>
          </w:tcPr>
          <w:p w14:paraId="33C68BEA" w14:textId="13A8EAEB" w:rsidR="009B01A1" w:rsidRDefault="009B01A1"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62F25487" w14:textId="77777777" w:rsidR="009B01A1" w:rsidRDefault="009B01A1" w:rsidP="0049376C">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05A1B04D" w14:textId="77777777" w:rsidR="009B01A1" w:rsidRDefault="009B01A1" w:rsidP="0049376C">
            <w:pPr>
              <w:spacing w:before="60" w:after="60"/>
              <w:jc w:val="center"/>
              <w:rPr>
                <w:rFonts w:ascii="Calibri" w:eastAsia="Times New Roman" w:hAnsi="Calibri" w:cs="Times New Roman"/>
                <w:color w:val="000000"/>
                <w:sz w:val="20"/>
                <w:szCs w:val="22"/>
              </w:rPr>
            </w:pPr>
          </w:p>
        </w:tc>
        <w:tc>
          <w:tcPr>
            <w:tcW w:w="3600" w:type="dxa"/>
            <w:vAlign w:val="center"/>
          </w:tcPr>
          <w:p w14:paraId="26F52F53" w14:textId="2382DCC3" w:rsidR="009B01A1" w:rsidRDefault="00F337B8" w:rsidP="004937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9B01A1" w:rsidRPr="00AD5C36" w14:paraId="13EEC7DD" w14:textId="77777777" w:rsidTr="00E71F88">
        <w:trPr>
          <w:cantSplit/>
          <w:trHeight w:val="690"/>
        </w:trPr>
        <w:tc>
          <w:tcPr>
            <w:tcW w:w="3785" w:type="dxa"/>
            <w:shd w:val="clear" w:color="auto" w:fill="auto"/>
            <w:noWrap/>
            <w:vAlign w:val="center"/>
          </w:tcPr>
          <w:p w14:paraId="2F626E4D" w14:textId="45B5DD59" w:rsidR="009B01A1" w:rsidRDefault="009B01A1" w:rsidP="000635B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[8.4] </w:t>
            </w:r>
            <w:r w:rsidRPr="009B01A1">
              <w:rPr>
                <w:rFonts w:ascii="Calibri" w:eastAsia="Times New Roman" w:hAnsi="Calibri" w:cs="Times New Roman"/>
                <w:color w:val="000000"/>
                <w:sz w:val="20"/>
                <w:szCs w:val="22"/>
              </w:rPr>
              <w:t>How many registries have lost a dispute resolution process related to their PICs</w:t>
            </w:r>
          </w:p>
        </w:tc>
        <w:tc>
          <w:tcPr>
            <w:tcW w:w="1170" w:type="dxa"/>
            <w:shd w:val="clear" w:color="auto" w:fill="auto"/>
            <w:noWrap/>
            <w:vAlign w:val="center"/>
          </w:tcPr>
          <w:p w14:paraId="6E2E5EFB" w14:textId="6CEA61CA" w:rsidR="009B01A1" w:rsidRDefault="009B01A1" w:rsidP="000635B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00" w:type="dxa"/>
            <w:vAlign w:val="center"/>
          </w:tcPr>
          <w:p w14:paraId="03FEA951" w14:textId="77777777" w:rsidR="009B01A1" w:rsidRDefault="009B01A1" w:rsidP="000635BA">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5BB22BB7" w14:textId="77777777" w:rsidR="009B01A1" w:rsidRDefault="009B01A1" w:rsidP="000635BA">
            <w:pPr>
              <w:spacing w:before="60" w:after="60"/>
              <w:jc w:val="center"/>
              <w:rPr>
                <w:rFonts w:ascii="Calibri" w:eastAsia="Times New Roman" w:hAnsi="Calibri" w:cs="Times New Roman"/>
                <w:color w:val="000000"/>
                <w:sz w:val="20"/>
                <w:szCs w:val="22"/>
              </w:rPr>
            </w:pPr>
          </w:p>
        </w:tc>
        <w:tc>
          <w:tcPr>
            <w:tcW w:w="3600" w:type="dxa"/>
            <w:vAlign w:val="center"/>
          </w:tcPr>
          <w:p w14:paraId="5D43FA86" w14:textId="6E5BDBD6" w:rsidR="009B01A1" w:rsidRDefault="00F337B8" w:rsidP="000635B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9B01A1" w:rsidRPr="0049376C" w14:paraId="49BB5875" w14:textId="77777777" w:rsidTr="00E71F88">
        <w:trPr>
          <w:cantSplit/>
          <w:trHeight w:val="690"/>
        </w:trPr>
        <w:tc>
          <w:tcPr>
            <w:tcW w:w="12785" w:type="dxa"/>
            <w:gridSpan w:val="5"/>
            <w:shd w:val="clear" w:color="auto" w:fill="E6E6E6"/>
            <w:noWrap/>
            <w:vAlign w:val="center"/>
          </w:tcPr>
          <w:p w14:paraId="63B59FAB" w14:textId="69369495" w:rsidR="009B01A1" w:rsidRPr="0049376C" w:rsidRDefault="000635BA" w:rsidP="000635BA">
            <w:pPr>
              <w:spacing w:before="60" w:after="60"/>
              <w:rPr>
                <w:rFonts w:ascii="Calibri" w:eastAsia="Times New Roman" w:hAnsi="Calibri" w:cs="Times New Roman"/>
                <w:b/>
                <w:i/>
                <w:color w:val="000000"/>
                <w:sz w:val="20"/>
                <w:szCs w:val="22"/>
              </w:rPr>
            </w:pPr>
            <w:r>
              <w:rPr>
                <w:rFonts w:ascii="Calibri" w:eastAsia="Times New Roman" w:hAnsi="Calibri" w:cs="Times New Roman"/>
                <w:b/>
                <w:bCs/>
                <w:i/>
                <w:color w:val="000000"/>
                <w:sz w:val="20"/>
                <w:szCs w:val="22"/>
              </w:rPr>
              <w:t xml:space="preserve">ALAC additional measures of Consumer Trust:  </w:t>
            </w:r>
            <w:r w:rsidR="009B01A1" w:rsidRPr="00B5695B">
              <w:rPr>
                <w:rFonts w:ascii="Calibri" w:eastAsia="Times New Roman" w:hAnsi="Calibri" w:cs="Times New Roman"/>
                <w:b/>
                <w:bCs/>
                <w:i/>
                <w:color w:val="000000"/>
                <w:sz w:val="20"/>
                <w:szCs w:val="22"/>
              </w:rPr>
              <w:t>Technical issues encountered (including application support)</w:t>
            </w:r>
          </w:p>
        </w:tc>
      </w:tr>
      <w:tr w:rsidR="00D63DCA" w:rsidRPr="00AD5C36" w14:paraId="3B59AA59" w14:textId="77777777" w:rsidTr="00E71F88">
        <w:trPr>
          <w:cantSplit/>
          <w:trHeight w:val="690"/>
        </w:trPr>
        <w:tc>
          <w:tcPr>
            <w:tcW w:w="3785" w:type="dxa"/>
            <w:shd w:val="clear" w:color="auto" w:fill="auto"/>
            <w:noWrap/>
            <w:vAlign w:val="center"/>
          </w:tcPr>
          <w:p w14:paraId="065B9956" w14:textId="7AA7464C" w:rsidR="00D63DCA" w:rsidRDefault="00D63DCA" w:rsidP="000635B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[9.1] </w:t>
            </w:r>
            <w:r w:rsidRPr="009B01A1">
              <w:rPr>
                <w:rFonts w:ascii="Calibri" w:eastAsia="Times New Roman" w:hAnsi="Calibri" w:cs="Times New Roman"/>
                <w:color w:val="000000"/>
                <w:sz w:val="20"/>
                <w:szCs w:val="22"/>
              </w:rPr>
              <w:t>Are end-user software applications capable of implementing all of the new gTLDs; Can browsers and DNS clients in end-user systems resolve all new gTLDs</w:t>
            </w:r>
          </w:p>
        </w:tc>
        <w:tc>
          <w:tcPr>
            <w:tcW w:w="1170" w:type="dxa"/>
            <w:shd w:val="clear" w:color="auto" w:fill="auto"/>
            <w:noWrap/>
            <w:vAlign w:val="center"/>
          </w:tcPr>
          <w:p w14:paraId="03162BF2" w14:textId="76B67DB6" w:rsidR="00D63DCA" w:rsidRDefault="00D63DCA" w:rsidP="000635B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w:t>
            </w:r>
          </w:p>
        </w:tc>
        <w:tc>
          <w:tcPr>
            <w:tcW w:w="2700" w:type="dxa"/>
            <w:vAlign w:val="center"/>
          </w:tcPr>
          <w:p w14:paraId="04A0A322" w14:textId="77777777" w:rsidR="00D63DCA" w:rsidRDefault="00D63DCA" w:rsidP="000635BA">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19EF605" w14:textId="20BC03F5" w:rsidR="00D63DCA" w:rsidRDefault="00D63DCA" w:rsidP="00AB7B81">
            <w:pPr>
              <w:spacing w:before="60" w:after="60"/>
              <w:jc w:val="center"/>
              <w:rPr>
                <w:rFonts w:ascii="Calibri" w:eastAsia="Times New Roman" w:hAnsi="Calibri" w:cs="Times New Roman"/>
                <w:color w:val="000000"/>
                <w:sz w:val="20"/>
                <w:szCs w:val="22"/>
              </w:rPr>
            </w:pPr>
            <w:r w:rsidRPr="00AB7B81">
              <w:rPr>
                <w:rFonts w:ascii="Calibri" w:eastAsia="Times New Roman" w:hAnsi="Calibri" w:cs="Times New Roman"/>
                <w:color w:val="000000"/>
                <w:sz w:val="20"/>
                <w:szCs w:val="22"/>
              </w:rPr>
              <w:t xml:space="preserve">All major browsers and </w:t>
            </w:r>
            <w:r>
              <w:rPr>
                <w:rFonts w:ascii="Calibri" w:eastAsia="Times New Roman" w:hAnsi="Calibri" w:cs="Times New Roman"/>
                <w:color w:val="000000"/>
                <w:sz w:val="20"/>
                <w:szCs w:val="22"/>
              </w:rPr>
              <w:t>OS</w:t>
            </w:r>
            <w:r w:rsidRPr="00AB7B81">
              <w:rPr>
                <w:rFonts w:ascii="Calibri" w:eastAsia="Times New Roman" w:hAnsi="Calibri" w:cs="Times New Roman"/>
                <w:color w:val="000000"/>
                <w:sz w:val="20"/>
                <w:szCs w:val="22"/>
              </w:rPr>
              <w:t xml:space="preserve"> should have versions capable of resolving all new gTLDs, including IDNs</w:t>
            </w:r>
          </w:p>
        </w:tc>
        <w:tc>
          <w:tcPr>
            <w:tcW w:w="3600" w:type="dxa"/>
            <w:vMerge w:val="restart"/>
            <w:vAlign w:val="center"/>
          </w:tcPr>
          <w:p w14:paraId="6A50DDCB" w14:textId="1C92C990" w:rsidR="00D63DCA" w:rsidRDefault="00D63DCA" w:rsidP="00D63DC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With metric 9.2 will be explored in a study on universal acceptance. </w:t>
            </w:r>
          </w:p>
        </w:tc>
      </w:tr>
      <w:tr w:rsidR="00D63DCA" w:rsidRPr="00AD5C36" w14:paraId="464186C3" w14:textId="77777777" w:rsidTr="00E71F88">
        <w:trPr>
          <w:cantSplit/>
          <w:trHeight w:val="690"/>
        </w:trPr>
        <w:tc>
          <w:tcPr>
            <w:tcW w:w="3785" w:type="dxa"/>
            <w:shd w:val="clear" w:color="auto" w:fill="auto"/>
            <w:noWrap/>
            <w:vAlign w:val="center"/>
          </w:tcPr>
          <w:p w14:paraId="79E8E235" w14:textId="3B76AF27" w:rsidR="00D63DCA" w:rsidRDefault="00D63DCA" w:rsidP="000635B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[9.2] </w:t>
            </w:r>
            <w:r w:rsidRPr="009B01A1">
              <w:rPr>
                <w:rFonts w:ascii="Calibri" w:eastAsia="Times New Roman" w:hAnsi="Calibri" w:cs="Times New Roman"/>
                <w:color w:val="000000"/>
                <w:sz w:val="20"/>
                <w:szCs w:val="22"/>
              </w:rPr>
              <w:t>Which browsers or other end-user applications require plugins or user-installed enhancements in order to use new gTLDs</w:t>
            </w:r>
          </w:p>
        </w:tc>
        <w:tc>
          <w:tcPr>
            <w:tcW w:w="1170" w:type="dxa"/>
            <w:shd w:val="clear" w:color="auto" w:fill="auto"/>
            <w:noWrap/>
            <w:vAlign w:val="center"/>
          </w:tcPr>
          <w:p w14:paraId="763B0F33" w14:textId="5201AEB8" w:rsidR="00D63DCA" w:rsidRDefault="00D63DCA" w:rsidP="000635B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w:t>
            </w:r>
          </w:p>
        </w:tc>
        <w:tc>
          <w:tcPr>
            <w:tcW w:w="2700" w:type="dxa"/>
            <w:vAlign w:val="center"/>
          </w:tcPr>
          <w:p w14:paraId="52C312C9" w14:textId="77777777" w:rsidR="00D63DCA" w:rsidRDefault="00D63DCA" w:rsidP="000635BA">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0B47B38" w14:textId="2C271488" w:rsidR="00D63DCA" w:rsidRDefault="00D63DCA" w:rsidP="00AB7B81">
            <w:pPr>
              <w:spacing w:before="60" w:after="60"/>
              <w:jc w:val="center"/>
              <w:rPr>
                <w:rFonts w:ascii="Calibri" w:eastAsia="Times New Roman" w:hAnsi="Calibri" w:cs="Times New Roman"/>
                <w:color w:val="000000"/>
                <w:sz w:val="20"/>
                <w:szCs w:val="22"/>
              </w:rPr>
            </w:pPr>
            <w:r w:rsidRPr="00AB7B81">
              <w:rPr>
                <w:rFonts w:ascii="Calibri" w:eastAsia="Times New Roman" w:hAnsi="Calibri" w:cs="Times New Roman"/>
                <w:color w:val="000000"/>
                <w:sz w:val="20"/>
                <w:szCs w:val="22"/>
              </w:rPr>
              <w:t>Support should be native rather than as an add-in</w:t>
            </w:r>
          </w:p>
        </w:tc>
        <w:tc>
          <w:tcPr>
            <w:tcW w:w="3600" w:type="dxa"/>
            <w:vMerge/>
            <w:vAlign w:val="center"/>
          </w:tcPr>
          <w:p w14:paraId="46E7D0C9" w14:textId="77777777" w:rsidR="00D63DCA" w:rsidRDefault="00D63DCA" w:rsidP="000635BA">
            <w:pPr>
              <w:spacing w:before="60" w:after="60"/>
              <w:jc w:val="center"/>
              <w:rPr>
                <w:rFonts w:ascii="Calibri" w:eastAsia="Times New Roman" w:hAnsi="Calibri" w:cs="Times New Roman"/>
                <w:color w:val="000000"/>
                <w:sz w:val="20"/>
                <w:szCs w:val="22"/>
              </w:rPr>
            </w:pPr>
          </w:p>
        </w:tc>
      </w:tr>
      <w:tr w:rsidR="00D63DCA" w:rsidRPr="00AD5C36" w14:paraId="5DEA45AB" w14:textId="77777777" w:rsidTr="00E71F88">
        <w:trPr>
          <w:cantSplit/>
          <w:trHeight w:val="690"/>
        </w:trPr>
        <w:tc>
          <w:tcPr>
            <w:tcW w:w="3785" w:type="dxa"/>
            <w:shd w:val="clear" w:color="auto" w:fill="auto"/>
            <w:noWrap/>
            <w:vAlign w:val="center"/>
          </w:tcPr>
          <w:p w14:paraId="20418BEB" w14:textId="3C2016F9" w:rsidR="00D63DCA" w:rsidRDefault="00D63DCA" w:rsidP="000635B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[9.3] </w:t>
            </w:r>
            <w:r w:rsidR="00DE509F">
              <w:rPr>
                <w:rFonts w:ascii="Calibri" w:eastAsia="Times New Roman" w:hAnsi="Calibri" w:cs="Times New Roman"/>
                <w:color w:val="000000"/>
                <w:sz w:val="20"/>
                <w:szCs w:val="22"/>
              </w:rPr>
              <w:t>Number of reports of name collisions</w:t>
            </w:r>
          </w:p>
        </w:tc>
        <w:tc>
          <w:tcPr>
            <w:tcW w:w="1170" w:type="dxa"/>
            <w:shd w:val="clear" w:color="auto" w:fill="auto"/>
            <w:noWrap/>
            <w:vAlign w:val="center"/>
          </w:tcPr>
          <w:p w14:paraId="0DA17A42" w14:textId="77777777" w:rsidR="00D63DCA" w:rsidRDefault="00D63DCA" w:rsidP="000635BA">
            <w:pPr>
              <w:spacing w:before="60" w:after="60"/>
              <w:jc w:val="center"/>
              <w:rPr>
                <w:rFonts w:ascii="Calibri" w:eastAsia="Times New Roman" w:hAnsi="Calibri" w:cs="Times New Roman"/>
                <w:color w:val="000000"/>
                <w:sz w:val="20"/>
                <w:szCs w:val="22"/>
              </w:rPr>
            </w:pPr>
          </w:p>
        </w:tc>
        <w:tc>
          <w:tcPr>
            <w:tcW w:w="2700" w:type="dxa"/>
            <w:vAlign w:val="center"/>
          </w:tcPr>
          <w:p w14:paraId="06DBFF2F" w14:textId="77777777" w:rsidR="00D63DCA" w:rsidRDefault="00D63DCA" w:rsidP="000635BA">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40D9734F" w14:textId="77777777" w:rsidR="00D63DCA" w:rsidRPr="00AB7B81" w:rsidRDefault="00D63DCA" w:rsidP="00AB7B81">
            <w:pPr>
              <w:spacing w:before="60" w:after="60"/>
              <w:jc w:val="center"/>
              <w:rPr>
                <w:rFonts w:ascii="Calibri" w:eastAsia="Times New Roman" w:hAnsi="Calibri" w:cs="Times New Roman"/>
                <w:color w:val="000000"/>
                <w:sz w:val="20"/>
                <w:szCs w:val="22"/>
              </w:rPr>
            </w:pPr>
          </w:p>
        </w:tc>
        <w:tc>
          <w:tcPr>
            <w:tcW w:w="3600" w:type="dxa"/>
            <w:vAlign w:val="center"/>
          </w:tcPr>
          <w:p w14:paraId="7129713E" w14:textId="27B9BBC7" w:rsidR="00D63DCA" w:rsidRDefault="00DE509F" w:rsidP="00DE5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Recommended for addition. ICANN will be tracking this data. </w:t>
            </w:r>
          </w:p>
        </w:tc>
      </w:tr>
    </w:tbl>
    <w:p w14:paraId="2B8F5D03" w14:textId="77777777" w:rsidR="00ED0485" w:rsidRDefault="00ED0485" w:rsidP="00ED0485">
      <w:pPr>
        <w:widowControl w:val="0"/>
        <w:autoSpaceDE w:val="0"/>
        <w:autoSpaceDN w:val="0"/>
        <w:adjustRightInd w:val="0"/>
        <w:rPr>
          <w:rFonts w:ascii="Calibri" w:hAnsi="Calibri" w:cs="Calibri"/>
          <w:sz w:val="22"/>
          <w:szCs w:val="22"/>
        </w:rPr>
      </w:pPr>
    </w:p>
    <w:p w14:paraId="35EFFE41" w14:textId="4A407D2B"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r w:rsidR="00034BA0">
        <w:rPr>
          <w:rFonts w:ascii="Calibri" w:hAnsi="Calibri" w:cs="Calibri"/>
          <w:sz w:val="22"/>
          <w:szCs w:val="22"/>
        </w:rPr>
        <w:t xml:space="preserve">a </w:t>
      </w:r>
      <w:r w:rsidR="000F4C64">
        <w:rPr>
          <w:rFonts w:ascii="Calibri" w:hAnsi="Calibri" w:cs="Calibri"/>
          <w:sz w:val="22"/>
          <w:szCs w:val="22"/>
        </w:rPr>
        <w:t>party to the Registry</w:t>
      </w:r>
      <w:r w:rsidR="004A553D">
        <w:rPr>
          <w:rFonts w:ascii="Calibri" w:hAnsi="Calibri" w:cs="Calibri"/>
          <w:sz w:val="22"/>
          <w:szCs w:val="22"/>
        </w:rPr>
        <w:t xml:space="preserve"> Operator agreement</w:t>
      </w:r>
      <w:r w:rsidR="000F4C64">
        <w:rPr>
          <w:rFonts w:ascii="Calibri" w:hAnsi="Calibri" w:cs="Calibri"/>
          <w:sz w:val="22"/>
          <w:szCs w:val="22"/>
        </w:rPr>
        <w:t xml:space="preserve"> and </w:t>
      </w:r>
      <w:r w:rsidR="00034BA0">
        <w:rPr>
          <w:rFonts w:ascii="Calibri" w:hAnsi="Calibri" w:cs="Calibri"/>
          <w:sz w:val="22"/>
          <w:szCs w:val="22"/>
        </w:rPr>
        <w:t>the</w:t>
      </w:r>
      <w:r w:rsidR="004A553D">
        <w:rPr>
          <w:rFonts w:ascii="Calibri" w:hAnsi="Calibri" w:cs="Calibri"/>
          <w:sz w:val="22"/>
          <w:szCs w:val="22"/>
        </w:rPr>
        <w:t xml:space="preserve"> </w:t>
      </w:r>
      <w:r w:rsidR="000F4C64">
        <w:rPr>
          <w:rFonts w:ascii="Calibri" w:hAnsi="Calibri" w:cs="Calibri"/>
          <w:sz w:val="22"/>
          <w:szCs w:val="22"/>
        </w:rPr>
        <w:t xml:space="preserve">Registrar </w:t>
      </w:r>
      <w:r w:rsidR="00034BA0">
        <w:rPr>
          <w:rFonts w:ascii="Calibri" w:hAnsi="Calibri" w:cs="Calibri"/>
          <w:sz w:val="22"/>
          <w:szCs w:val="22"/>
        </w:rPr>
        <w:t xml:space="preserve">Accreditation </w:t>
      </w:r>
      <w:r w:rsidR="004A553D">
        <w:rPr>
          <w:rFonts w:ascii="Calibri" w:hAnsi="Calibri" w:cs="Calibri"/>
          <w:sz w:val="22"/>
          <w:szCs w:val="22"/>
        </w:rPr>
        <w:t>agreement</w:t>
      </w:r>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p>
    <w:p w14:paraId="532DC54A" w14:textId="77777777" w:rsidR="00553269" w:rsidRDefault="00553269" w:rsidP="00553269">
      <w:pPr>
        <w:widowControl w:val="0"/>
        <w:autoSpaceDE w:val="0"/>
        <w:autoSpaceDN w:val="0"/>
        <w:adjustRightInd w:val="0"/>
        <w:rPr>
          <w:rFonts w:ascii="Calibri" w:hAnsi="Calibri" w:cs="Calibri"/>
          <w:sz w:val="22"/>
          <w:szCs w:val="22"/>
        </w:rPr>
      </w:pPr>
    </w:p>
    <w:p w14:paraId="6B0240CB" w14:textId="77777777" w:rsidR="0080347C" w:rsidRDefault="0080347C" w:rsidP="00553269">
      <w:pPr>
        <w:widowControl w:val="0"/>
        <w:autoSpaceDE w:val="0"/>
        <w:autoSpaceDN w:val="0"/>
        <w:adjustRightInd w:val="0"/>
        <w:rPr>
          <w:rFonts w:ascii="Calibri" w:hAnsi="Calibri" w:cs="Calibri"/>
          <w:sz w:val="22"/>
          <w:szCs w:val="22"/>
        </w:rPr>
      </w:pPr>
    </w:p>
    <w:p w14:paraId="76B5B45E" w14:textId="77F6A87A" w:rsidR="00733AC8" w:rsidRPr="00733AC8" w:rsidRDefault="00733AC8" w:rsidP="00553269">
      <w:pPr>
        <w:widowControl w:val="0"/>
        <w:autoSpaceDE w:val="0"/>
        <w:autoSpaceDN w:val="0"/>
        <w:adjustRightInd w:val="0"/>
        <w:rPr>
          <w:rFonts w:ascii="Calibri" w:hAnsi="Calibri" w:cs="Calibri"/>
          <w:b/>
          <w:color w:val="FF0000"/>
          <w:sz w:val="22"/>
          <w:szCs w:val="22"/>
        </w:rPr>
      </w:pPr>
      <w:r w:rsidRPr="00733AC8">
        <w:rPr>
          <w:rFonts w:ascii="Calibri" w:hAnsi="Calibri" w:cs="Calibri"/>
          <w:b/>
          <w:color w:val="FF0000"/>
          <w:sz w:val="22"/>
          <w:szCs w:val="22"/>
        </w:rPr>
        <w:t>Notes (ALAC)</w:t>
      </w:r>
    </w:p>
    <w:p w14:paraId="6CCEAB11" w14:textId="77777777" w:rsidR="00CE30A2" w:rsidRPr="00CE30A2" w:rsidRDefault="00CE30A2" w:rsidP="00CE30A2">
      <w:pPr>
        <w:widowControl w:val="0"/>
        <w:numPr>
          <w:ilvl w:val="0"/>
          <w:numId w:val="9"/>
        </w:numPr>
        <w:autoSpaceDE w:val="0"/>
        <w:autoSpaceDN w:val="0"/>
        <w:adjustRightInd w:val="0"/>
        <w:rPr>
          <w:rFonts w:ascii="Calibri" w:hAnsi="Calibri" w:cs="Calibri"/>
          <w:color w:val="FF0000"/>
          <w:sz w:val="22"/>
          <w:szCs w:val="22"/>
        </w:rPr>
      </w:pPr>
      <w:r w:rsidRPr="00CE30A2">
        <w:rPr>
          <w:rFonts w:ascii="Calibri" w:hAnsi="Calibri" w:cs="Calibri"/>
          <w:color w:val="FF0000"/>
          <w:sz w:val="22"/>
          <w:szCs w:val="22"/>
        </w:rPr>
        <w:t>As the scope of ALAC and ICANN itself is global, we anticipate and expect that any metrics to be measured by survey (both the ALAC and GNSO metrics) would need to be globally distributed and multi-lingual</w:t>
      </w:r>
    </w:p>
    <w:p w14:paraId="4F858E3B" w14:textId="77777777" w:rsidR="00CE30A2" w:rsidRPr="00CE30A2" w:rsidRDefault="00CE30A2" w:rsidP="00CE30A2">
      <w:pPr>
        <w:widowControl w:val="0"/>
        <w:numPr>
          <w:ilvl w:val="0"/>
          <w:numId w:val="9"/>
        </w:numPr>
        <w:autoSpaceDE w:val="0"/>
        <w:autoSpaceDN w:val="0"/>
        <w:adjustRightInd w:val="0"/>
        <w:rPr>
          <w:rFonts w:ascii="Calibri" w:hAnsi="Calibri" w:cs="Calibri"/>
          <w:color w:val="FF0000"/>
          <w:sz w:val="22"/>
          <w:szCs w:val="22"/>
        </w:rPr>
      </w:pPr>
      <w:r w:rsidRPr="00CE30A2">
        <w:rPr>
          <w:rFonts w:ascii="Calibri" w:hAnsi="Calibri" w:cs="Calibri"/>
          <w:color w:val="FF0000"/>
          <w:sz w:val="22"/>
          <w:szCs w:val="22"/>
        </w:rPr>
        <w:t>External sources (such as business intelligence publications) can supplement (and reduce the cost of) customized surveys.</w:t>
      </w:r>
    </w:p>
    <w:p w14:paraId="3F4DF853" w14:textId="77777777" w:rsidR="00CE30A2" w:rsidRPr="00CE30A2" w:rsidRDefault="00CE30A2" w:rsidP="00CE30A2">
      <w:pPr>
        <w:widowControl w:val="0"/>
        <w:numPr>
          <w:ilvl w:val="0"/>
          <w:numId w:val="9"/>
        </w:numPr>
        <w:autoSpaceDE w:val="0"/>
        <w:autoSpaceDN w:val="0"/>
        <w:adjustRightInd w:val="0"/>
        <w:rPr>
          <w:rFonts w:ascii="Calibri" w:hAnsi="Calibri" w:cs="Calibri"/>
          <w:color w:val="FF0000"/>
          <w:sz w:val="22"/>
          <w:szCs w:val="22"/>
        </w:rPr>
      </w:pPr>
      <w:r w:rsidRPr="00CE30A2">
        <w:rPr>
          <w:rFonts w:ascii="Calibri" w:hAnsi="Calibri" w:cs="Calibri"/>
          <w:color w:val="FF0000"/>
          <w:sz w:val="22"/>
          <w:szCs w:val="22"/>
        </w:rPr>
        <w:t>An automated system could sample random second-level domains to perform tests based on lists of domain names supplied by registries. The witholding of source data for metrics by contracted parties, in order to prevent collection of metrics which may be perceived to reflect upon them negatively, could impact the metrics and prevent ICANN from accurately measuring end-user trust</w:t>
      </w:r>
    </w:p>
    <w:p w14:paraId="4C93ACDD" w14:textId="2D3C5DA6" w:rsidR="00CE30A2" w:rsidRPr="00CE30A2" w:rsidRDefault="00CE30A2" w:rsidP="00CE30A2">
      <w:pPr>
        <w:widowControl w:val="0"/>
        <w:numPr>
          <w:ilvl w:val="0"/>
          <w:numId w:val="9"/>
        </w:numPr>
        <w:autoSpaceDE w:val="0"/>
        <w:autoSpaceDN w:val="0"/>
        <w:adjustRightInd w:val="0"/>
        <w:rPr>
          <w:rFonts w:ascii="Calibri" w:hAnsi="Calibri" w:cs="Calibri"/>
          <w:color w:val="FF0000"/>
          <w:sz w:val="22"/>
          <w:szCs w:val="22"/>
        </w:rPr>
      </w:pPr>
      <w:r w:rsidRPr="00CE30A2">
        <w:rPr>
          <w:rFonts w:ascii="Calibri" w:hAnsi="Calibri" w:cs="Calibri"/>
          <w:color w:val="FF0000"/>
          <w:sz w:val="22"/>
          <w:szCs w:val="22"/>
        </w:rPr>
        <w:lastRenderedPageBreak/>
        <w:t>Significant growth in alternative methods of accessing Internet services may indicate a corresponding reduction in the relative trust of domain names to perform the same function. When possible, statistics should provide comparison with similar statistics for legacy TLDs.</w:t>
      </w:r>
    </w:p>
    <w:p w14:paraId="7FE16671" w14:textId="77777777" w:rsidR="00CE30A2" w:rsidRPr="00CE30A2" w:rsidRDefault="00CE30A2" w:rsidP="00EB40C9">
      <w:pPr>
        <w:widowControl w:val="0"/>
        <w:autoSpaceDE w:val="0"/>
        <w:autoSpaceDN w:val="0"/>
        <w:adjustRightInd w:val="0"/>
        <w:rPr>
          <w:rFonts w:ascii="Calibri" w:hAnsi="Calibri" w:cs="Calibri"/>
          <w:color w:val="FF0000"/>
          <w:sz w:val="22"/>
          <w:szCs w:val="22"/>
        </w:rPr>
      </w:pPr>
    </w:p>
    <w:p w14:paraId="65A91895" w14:textId="77777777" w:rsidR="00CE30A2" w:rsidRDefault="00CE30A2" w:rsidP="00CE30A2">
      <w:pPr>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052405A6" w14:textId="77777777" w:rsidR="00CE30A2" w:rsidRDefault="00CE30A2" w:rsidP="00EB40C9">
      <w:pPr>
        <w:widowControl w:val="0"/>
        <w:autoSpaceDE w:val="0"/>
        <w:autoSpaceDN w:val="0"/>
        <w:adjustRightInd w:val="0"/>
        <w:rPr>
          <w:rFonts w:ascii="Calibri" w:hAnsi="Calibri" w:cs="Calibri"/>
          <w:sz w:val="22"/>
          <w:szCs w:val="22"/>
        </w:rPr>
      </w:pPr>
    </w:p>
    <w:p w14:paraId="1DF6992D" w14:textId="77777777"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185F1F67" w14:textId="77777777" w:rsidR="00EB40C9" w:rsidRPr="00553269" w:rsidRDefault="00EB40C9" w:rsidP="00EB40C9">
      <w:pPr>
        <w:widowControl w:val="0"/>
        <w:autoSpaceDE w:val="0"/>
        <w:autoSpaceDN w:val="0"/>
        <w:adjustRightInd w:val="0"/>
        <w:rPr>
          <w:rFonts w:ascii="Calibri" w:hAnsi="Calibri" w:cs="Calibri"/>
          <w:sz w:val="22"/>
          <w:szCs w:val="22"/>
        </w:rPr>
      </w:pPr>
    </w:p>
    <w:p w14:paraId="144473E9" w14:textId="77777777"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14:paraId="211F5BAE" w14:textId="77777777" w:rsidR="0033140F" w:rsidRPr="009D55E9" w:rsidRDefault="0033140F" w:rsidP="00553269">
      <w:pPr>
        <w:widowControl w:val="0"/>
        <w:autoSpaceDE w:val="0"/>
        <w:autoSpaceDN w:val="0"/>
        <w:adjustRightInd w:val="0"/>
        <w:ind w:left="720"/>
        <w:rPr>
          <w:rFonts w:ascii="Calibri" w:hAnsi="Calibri"/>
          <w:b/>
          <w:sz w:val="16"/>
        </w:rPr>
      </w:pPr>
    </w:p>
    <w:p w14:paraId="4B0CF83A" w14:textId="77777777"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14:paraId="4B9BB6FD" w14:textId="77777777" w:rsidR="0084344C" w:rsidRDefault="0084344C" w:rsidP="007D0AF0">
      <w:pPr>
        <w:widowControl w:val="0"/>
        <w:autoSpaceDE w:val="0"/>
        <w:autoSpaceDN w:val="0"/>
        <w:adjustRightInd w:val="0"/>
        <w:ind w:left="720"/>
        <w:rPr>
          <w:rFonts w:ascii="Calibri" w:hAnsi="Calibri" w:cs="Calibri"/>
          <w:sz w:val="22"/>
          <w:szCs w:val="22"/>
        </w:rPr>
      </w:pPr>
    </w:p>
    <w:tbl>
      <w:tblPr>
        <w:tblW w:w="128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080"/>
        <w:gridCol w:w="2700"/>
        <w:gridCol w:w="1620"/>
        <w:gridCol w:w="3600"/>
      </w:tblGrid>
      <w:tr w:rsidR="003C6070" w:rsidRPr="0084344C" w14:paraId="6EE378E9" w14:textId="77777777" w:rsidTr="00660997">
        <w:trPr>
          <w:trHeight w:val="690"/>
          <w:tblHeader/>
        </w:trPr>
        <w:tc>
          <w:tcPr>
            <w:tcW w:w="3870" w:type="dxa"/>
            <w:tcBorders>
              <w:bottom w:val="single" w:sz="4" w:space="0" w:color="auto"/>
            </w:tcBorders>
            <w:shd w:val="clear" w:color="auto" w:fill="auto"/>
            <w:noWrap/>
            <w:vAlign w:val="center"/>
            <w:hideMark/>
          </w:tcPr>
          <w:p w14:paraId="2FC7F3A9" w14:textId="77777777" w:rsidR="003C6070" w:rsidRPr="0084344C" w:rsidRDefault="003C6070"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14:paraId="24DB5584" w14:textId="77777777" w:rsidR="003C6070" w:rsidRPr="00694981" w:rsidRDefault="003C6070"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00" w:type="dxa"/>
            <w:tcBorders>
              <w:bottom w:val="single" w:sz="4" w:space="0" w:color="auto"/>
            </w:tcBorders>
            <w:vAlign w:val="center"/>
          </w:tcPr>
          <w:p w14:paraId="0D6C687F" w14:textId="77777777" w:rsidR="003C6070" w:rsidRDefault="003C6070"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620" w:type="dxa"/>
            <w:tcBorders>
              <w:bottom w:val="single" w:sz="4" w:space="0" w:color="auto"/>
            </w:tcBorders>
            <w:shd w:val="clear" w:color="auto" w:fill="auto"/>
            <w:vAlign w:val="center"/>
          </w:tcPr>
          <w:p w14:paraId="12F184D0" w14:textId="77777777" w:rsidR="003C6070" w:rsidRDefault="003C6070"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5680EDA3" w14:textId="77777777" w:rsidR="003C6070" w:rsidRPr="0084344C" w:rsidRDefault="003C6070"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c>
          <w:tcPr>
            <w:tcW w:w="3600" w:type="dxa"/>
            <w:tcBorders>
              <w:bottom w:val="single" w:sz="4" w:space="0" w:color="auto"/>
            </w:tcBorders>
            <w:vAlign w:val="center"/>
          </w:tcPr>
          <w:p w14:paraId="2B296A65" w14:textId="1DC67411" w:rsidR="003C6070" w:rsidRDefault="00F337B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IAG-CCT Recommendations</w:t>
            </w:r>
          </w:p>
        </w:tc>
      </w:tr>
      <w:tr w:rsidR="003C6070" w:rsidRPr="00AD5C36" w14:paraId="1BB447EF" w14:textId="77777777" w:rsidTr="00660997">
        <w:trPr>
          <w:trHeight w:val="690"/>
        </w:trPr>
        <w:tc>
          <w:tcPr>
            <w:tcW w:w="12870" w:type="dxa"/>
            <w:gridSpan w:val="5"/>
            <w:shd w:val="clear" w:color="auto" w:fill="BFBFBF" w:themeFill="background1" w:themeFillShade="BF"/>
            <w:noWrap/>
            <w:vAlign w:val="center"/>
          </w:tcPr>
          <w:p w14:paraId="27A262C8" w14:textId="77777777" w:rsidR="003C6070" w:rsidRPr="009D55E9" w:rsidRDefault="003C6070">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w:t>
            </w:r>
            <w:r>
              <w:rPr>
                <w:rFonts w:ascii="Calibri" w:eastAsia="Times New Roman" w:hAnsi="Calibri" w:cs="Times New Roman"/>
                <w:b/>
                <w:i/>
                <w:color w:val="000000"/>
                <w:sz w:val="20"/>
                <w:szCs w:val="22"/>
              </w:rPr>
              <w:t>understanding</w:t>
            </w:r>
            <w:r w:rsidRPr="009D55E9">
              <w:rPr>
                <w:rFonts w:ascii="Calibri" w:eastAsia="Times New Roman" w:hAnsi="Calibri" w:cs="Times New Roman"/>
                <w:b/>
                <w:i/>
                <w:color w:val="000000"/>
                <w:sz w:val="20"/>
                <w:szCs w:val="22"/>
              </w:rPr>
              <w:t xml:space="preserve"> of gTLD registry benefits and restrictions, so that registrants and users can make meaningful distinctions when choosing TLDs.  </w:t>
            </w:r>
          </w:p>
        </w:tc>
      </w:tr>
      <w:tr w:rsidR="00FF71B6" w:rsidRPr="00AD5C36" w14:paraId="6C9F2626" w14:textId="77777777" w:rsidTr="00F337B8">
        <w:trPr>
          <w:trHeight w:val="690"/>
        </w:trPr>
        <w:tc>
          <w:tcPr>
            <w:tcW w:w="3870" w:type="dxa"/>
            <w:shd w:val="clear" w:color="auto" w:fill="auto"/>
            <w:noWrap/>
            <w:vAlign w:val="center"/>
            <w:hideMark/>
          </w:tcPr>
          <w:p w14:paraId="6E3854EB" w14:textId="77777777" w:rsidR="00FF71B6" w:rsidRPr="00AD5C3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Pr="00AB44EC">
              <w:rPr>
                <w:rFonts w:ascii="Calibri" w:eastAsia="Times New Roman" w:hAnsi="Calibri" w:cs="Times New Roman"/>
                <w:color w:val="000000"/>
                <w:sz w:val="20"/>
                <w:szCs w:val="22"/>
              </w:rPr>
              <w:t>Measure potential registrants’ understanding of TLD benefits and restrictions, such that potential registrants can make informed choices about registration of their domain names</w:t>
            </w:r>
            <w:r>
              <w:rPr>
                <w:rFonts w:ascii="Calibri" w:eastAsia="Times New Roman" w:hAnsi="Calibri" w:cs="Times New Roman"/>
                <w:color w:val="000000"/>
                <w:sz w:val="20"/>
                <w:szCs w:val="22"/>
              </w:rPr>
              <w:t xml:space="preserve">. </w:t>
            </w:r>
            <w:r w:rsidRPr="00AB44EC">
              <w:rPr>
                <w:rFonts w:ascii="Calibri" w:eastAsia="Times New Roman" w:hAnsi="Calibri" w:cs="Times New Roman"/>
                <w:color w:val="000000"/>
                <w:sz w:val="20"/>
                <w:szCs w:val="22"/>
              </w:rPr>
              <w:t xml:space="preserve"> </w:t>
            </w:r>
            <w:r w:rsidRPr="00AB44EC">
              <w:rPr>
                <w:rFonts w:ascii="Calibri" w:eastAsia="Times New Roman" w:hAnsi="Calibri" w:cs="Times New Roman"/>
                <w:color w:val="000000" w:themeColor="text1"/>
                <w:sz w:val="20"/>
                <w:szCs w:val="22"/>
              </w:rPr>
              <w:t xml:space="preserve">This measure includes </w:t>
            </w:r>
            <w:r>
              <w:rPr>
                <w:rFonts w:ascii="Calibri" w:eastAsia="Times New Roman" w:hAnsi="Calibri" w:cs="Times New Roman"/>
                <w:color w:val="000000" w:themeColor="text1"/>
                <w:sz w:val="20"/>
                <w:szCs w:val="22"/>
              </w:rPr>
              <w:t xml:space="preserve">only </w:t>
            </w:r>
            <w:r w:rsidRPr="00AB44EC">
              <w:rPr>
                <w:rFonts w:ascii="Calibri" w:eastAsia="Times New Roman" w:hAnsi="Calibri" w:cs="Times New Roman"/>
                <w:color w:val="000000" w:themeColor="text1"/>
                <w:sz w:val="20"/>
                <w:szCs w:val="22"/>
              </w:rPr>
              <w:t xml:space="preserve">open </w:t>
            </w:r>
            <w:r>
              <w:rPr>
                <w:rFonts w:ascii="Calibri" w:eastAsia="Times New Roman" w:hAnsi="Calibri" w:cs="Times New Roman"/>
                <w:color w:val="000000" w:themeColor="text1"/>
                <w:sz w:val="20"/>
                <w:szCs w:val="22"/>
              </w:rPr>
              <w:t>gTLDs.</w:t>
            </w:r>
          </w:p>
        </w:tc>
        <w:tc>
          <w:tcPr>
            <w:tcW w:w="1080" w:type="dxa"/>
            <w:shd w:val="clear" w:color="auto" w:fill="auto"/>
            <w:noWrap/>
            <w:vAlign w:val="center"/>
            <w:hideMark/>
          </w:tcPr>
          <w:p w14:paraId="021EA4F3"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 Audit of Registry websites</w:t>
            </w:r>
          </w:p>
        </w:tc>
        <w:tc>
          <w:tcPr>
            <w:tcW w:w="2700" w:type="dxa"/>
            <w:vAlign w:val="center"/>
          </w:tcPr>
          <w:p w14:paraId="6CAAAF34" w14:textId="77777777" w:rsidR="00FF71B6" w:rsidRPr="00AB44EC"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Biennial survey (see 2.3) could assess registrants’ understanding.  Moderate difficulty in auditing TLD</w:t>
            </w:r>
            <w:r w:rsidRPr="00AB44EC">
              <w:rPr>
                <w:rFonts w:ascii="Calibri" w:eastAsia="Times New Roman" w:hAnsi="Calibri" w:cs="Times New Roman"/>
                <w:color w:val="000000"/>
                <w:sz w:val="20"/>
                <w:szCs w:val="22"/>
              </w:rPr>
              <w:t xml:space="preserve"> general information page(s) for plain language disclosure</w:t>
            </w:r>
            <w:r>
              <w:rPr>
                <w:rFonts w:ascii="Calibri" w:eastAsia="Times New Roman" w:hAnsi="Calibri" w:cs="Times New Roman"/>
                <w:color w:val="000000"/>
                <w:sz w:val="20"/>
                <w:szCs w:val="22"/>
              </w:rPr>
              <w:t>.</w:t>
            </w:r>
          </w:p>
          <w:p w14:paraId="6B104F2F" w14:textId="77777777" w:rsidR="00FF71B6" w:rsidRDefault="00FF71B6" w:rsidP="00FF71B6">
            <w:pPr>
              <w:spacing w:before="60" w:after="60"/>
              <w:rPr>
                <w:rFonts w:ascii="Calibri" w:eastAsia="Times New Roman" w:hAnsi="Calibri" w:cs="Times New Roman"/>
                <w:color w:val="000000"/>
                <w:sz w:val="20"/>
                <w:szCs w:val="22"/>
              </w:rPr>
            </w:pPr>
          </w:p>
        </w:tc>
        <w:tc>
          <w:tcPr>
            <w:tcW w:w="1620" w:type="dxa"/>
            <w:shd w:val="clear" w:color="auto" w:fill="auto"/>
            <w:vAlign w:val="center"/>
          </w:tcPr>
          <w:p w14:paraId="6BBAA134"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open gTLD Registries should disclose</w:t>
            </w:r>
          </w:p>
          <w:p w14:paraId="71C72DB7"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4" w:history="1">
              <w:r w:rsidRPr="00112EE5">
                <w:rPr>
                  <w:rStyle w:val="Hyperlink"/>
                  <w:rFonts w:ascii="Calibri" w:eastAsia="Times New Roman" w:hAnsi="Calibri" w:cs="Times New Roman"/>
                  <w:sz w:val="20"/>
                  <w:szCs w:val="22"/>
                </w:rPr>
                <w:t>disclosure</w:t>
              </w:r>
            </w:hyperlink>
            <w:r>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c>
          <w:tcPr>
            <w:tcW w:w="3600" w:type="dxa"/>
            <w:vMerge w:val="restart"/>
          </w:tcPr>
          <w:p w14:paraId="0131BFFE" w14:textId="1778E9FB" w:rsidR="00FF71B6" w:rsidRPr="00FF71B6" w:rsidRDefault="00FF71B6" w:rsidP="00FF71B6">
            <w:pPr>
              <w:spacing w:before="60" w:after="60"/>
              <w:rPr>
                <w:rFonts w:ascii="Calibri" w:eastAsia="Times New Roman" w:hAnsi="Calibri" w:cs="Times New Roman"/>
                <w:color w:val="000000"/>
                <w:sz w:val="20"/>
                <w:szCs w:val="22"/>
              </w:rPr>
            </w:pPr>
            <w:r w:rsidRPr="00FF71B6">
              <w:rPr>
                <w:rFonts w:ascii="Calibri" w:eastAsia="Times New Roman" w:hAnsi="Calibri" w:cs="Times New Roman"/>
                <w:color w:val="000000"/>
                <w:sz w:val="20"/>
              </w:rPr>
              <w:t xml:space="preserve">To be included in the global consumer survey. </w:t>
            </w:r>
            <w:r w:rsidRPr="00FF71B6">
              <w:rPr>
                <w:rFonts w:ascii="Calibri" w:hAnsi="Calibri" w:cs="Times New Roman"/>
                <w:sz w:val="20"/>
              </w:rPr>
              <w:t>Survey should not serve as a venue to explain policies or to explain the nature of gTLD benefits or restrictions. It is reasonable to assume that r</w:t>
            </w:r>
            <w:r w:rsidRPr="00FF71B6">
              <w:rPr>
                <w:rFonts w:ascii="Calibri" w:eastAsia="Calibri" w:hAnsi="Calibri" w:cs="Times New Roman"/>
                <w:sz w:val="20"/>
                <w:lang w:bidi="en-US"/>
              </w:rPr>
              <w:t xml:space="preserve">egistrants’ and end-users’ understanding and knowledge of gTLD benefits and restrictions will be conditional on their awareness of new gTLDs. Therefore, ICANN anticipates survey questions regarding this metric will likely include skip patterns to target survey respondents who are aware of the issues, while allowing survey </w:t>
            </w:r>
            <w:r w:rsidRPr="00FF71B6">
              <w:rPr>
                <w:rFonts w:ascii="Calibri" w:eastAsia="Calibri" w:hAnsi="Calibri" w:cs="Times New Roman"/>
                <w:sz w:val="20"/>
                <w:lang w:bidi="en-US"/>
              </w:rPr>
              <w:lastRenderedPageBreak/>
              <w:t>respondents who are unaware to move to the next section of the survey.</w:t>
            </w:r>
          </w:p>
        </w:tc>
      </w:tr>
      <w:tr w:rsidR="00FF71B6" w:rsidRPr="00AD5C36" w14:paraId="5CB55E95" w14:textId="77777777" w:rsidTr="00660997">
        <w:trPr>
          <w:trHeight w:val="690"/>
        </w:trPr>
        <w:tc>
          <w:tcPr>
            <w:tcW w:w="3870" w:type="dxa"/>
            <w:shd w:val="clear" w:color="auto" w:fill="auto"/>
            <w:noWrap/>
            <w:vAlign w:val="center"/>
            <w:hideMark/>
          </w:tcPr>
          <w:p w14:paraId="30876675"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[2.2 </w:t>
            </w:r>
            <w:r w:rsidRPr="00AB44EC">
              <w:rPr>
                <w:rFonts w:ascii="Calibri" w:eastAsia="Times New Roman" w:hAnsi="Calibri" w:cs="Times New Roman"/>
                <w:color w:val="000000"/>
                <w:sz w:val="20"/>
                <w:szCs w:val="22"/>
              </w:rPr>
              <w:t>Measure Internet users</w:t>
            </w:r>
            <w:r>
              <w:rPr>
                <w:rFonts w:ascii="Calibri" w:eastAsia="Times New Roman" w:hAnsi="Calibri" w:cs="Times New Roman"/>
                <w:color w:val="000000"/>
                <w:sz w:val="20"/>
                <w:szCs w:val="22"/>
              </w:rPr>
              <w:t>’</w:t>
            </w:r>
            <w:r w:rsidRPr="00AB44EC">
              <w:rPr>
                <w:rFonts w:ascii="Calibri" w:eastAsia="Times New Roman" w:hAnsi="Calibri" w:cs="Times New Roman"/>
                <w:color w:val="000000"/>
                <w:sz w:val="20"/>
                <w:szCs w:val="22"/>
              </w:rPr>
              <w:t xml:space="preserve"> understanding of TLD eligibility restrictions, such that Internet users can make informed choices about reliance on domain names in that TLD</w:t>
            </w:r>
            <w:r>
              <w:rPr>
                <w:rFonts w:ascii="Calibri" w:eastAsia="Times New Roman" w:hAnsi="Calibri" w:cs="Times New Roman"/>
                <w:color w:val="000000"/>
                <w:sz w:val="20"/>
                <w:szCs w:val="22"/>
              </w:rPr>
              <w:t>.</w:t>
            </w:r>
            <w:r w:rsidRPr="00AB44EC">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55727609"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 Audit of Registry websites</w:t>
            </w:r>
          </w:p>
        </w:tc>
        <w:tc>
          <w:tcPr>
            <w:tcW w:w="2700" w:type="dxa"/>
            <w:vAlign w:val="center"/>
          </w:tcPr>
          <w:p w14:paraId="232727D0"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Biennial survey (see 2.3) could assess users’ understanding.  Moderate difficulty in auditing TLD</w:t>
            </w:r>
            <w:r w:rsidRPr="00AB44EC">
              <w:rPr>
                <w:rFonts w:ascii="Calibri" w:eastAsia="Times New Roman" w:hAnsi="Calibri" w:cs="Times New Roman"/>
                <w:color w:val="000000"/>
                <w:sz w:val="20"/>
                <w:szCs w:val="22"/>
              </w:rPr>
              <w:t xml:space="preserve"> general information page(s) for plain language disclosure</w:t>
            </w:r>
            <w:r>
              <w:rPr>
                <w:rFonts w:ascii="Calibri" w:eastAsia="Times New Roman" w:hAnsi="Calibri" w:cs="Times New Roman"/>
                <w:color w:val="000000"/>
                <w:sz w:val="20"/>
                <w:szCs w:val="22"/>
              </w:rPr>
              <w:t>.</w:t>
            </w:r>
          </w:p>
        </w:tc>
        <w:tc>
          <w:tcPr>
            <w:tcW w:w="1620" w:type="dxa"/>
            <w:shd w:val="clear" w:color="auto" w:fill="auto"/>
            <w:vAlign w:val="center"/>
          </w:tcPr>
          <w:p w14:paraId="302F29A9"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specified</w:t>
            </w:r>
          </w:p>
        </w:tc>
        <w:tc>
          <w:tcPr>
            <w:tcW w:w="3600" w:type="dxa"/>
            <w:vMerge/>
            <w:vAlign w:val="center"/>
          </w:tcPr>
          <w:p w14:paraId="1C5DFCBB" w14:textId="74829B1A" w:rsidR="00FF71B6" w:rsidRDefault="00FF71B6" w:rsidP="00FF71B6">
            <w:pPr>
              <w:spacing w:before="60" w:after="60"/>
              <w:jc w:val="center"/>
              <w:rPr>
                <w:rFonts w:ascii="Calibri" w:eastAsia="Times New Roman" w:hAnsi="Calibri" w:cs="Times New Roman"/>
                <w:color w:val="000000"/>
                <w:sz w:val="20"/>
                <w:szCs w:val="22"/>
              </w:rPr>
            </w:pPr>
          </w:p>
        </w:tc>
      </w:tr>
      <w:tr w:rsidR="00FF71B6" w:rsidRPr="00AD5C36" w14:paraId="010A9F89" w14:textId="77777777" w:rsidTr="00660997">
        <w:trPr>
          <w:trHeight w:val="690"/>
        </w:trPr>
        <w:tc>
          <w:tcPr>
            <w:tcW w:w="3870" w:type="dxa"/>
            <w:shd w:val="clear" w:color="auto" w:fill="auto"/>
            <w:noWrap/>
            <w:vAlign w:val="center"/>
          </w:tcPr>
          <w:p w14:paraId="34FA735D"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[2.3] Biennial s</w:t>
            </w:r>
            <w:r w:rsidRPr="0066499A">
              <w:rPr>
                <w:rFonts w:ascii="Calibri" w:eastAsia="Times New Roman" w:hAnsi="Calibri" w:cs="Times New Roman"/>
                <w:color w:val="000000"/>
                <w:sz w:val="20"/>
                <w:szCs w:val="22"/>
              </w:rPr>
              <w:t>urvey</w:t>
            </w:r>
            <w:r>
              <w:rPr>
                <w:rFonts w:ascii="Calibri" w:eastAsia="Times New Roman" w:hAnsi="Calibri" w:cs="Times New Roman"/>
                <w:color w:val="000000"/>
                <w:sz w:val="20"/>
                <w:szCs w:val="22"/>
              </w:rPr>
              <w:t>s</w:t>
            </w:r>
            <w:r w:rsidRPr="0066499A">
              <w:rPr>
                <w:rFonts w:ascii="Calibri" w:eastAsia="Times New Roman" w:hAnsi="Calibri" w:cs="Times New Roman"/>
                <w:color w:val="000000"/>
                <w:sz w:val="20"/>
                <w:szCs w:val="22"/>
              </w:rPr>
              <w:t xml:space="preserve"> of perceived consumer </w:t>
            </w:r>
            <w:r>
              <w:rPr>
                <w:rFonts w:ascii="Calibri" w:eastAsia="Times New Roman" w:hAnsi="Calibri" w:cs="Times New Roman"/>
                <w:color w:val="000000"/>
                <w:sz w:val="20"/>
                <w:szCs w:val="22"/>
              </w:rPr>
              <w:t>choice</w:t>
            </w:r>
            <w:r w:rsidRPr="0066499A">
              <w:rPr>
                <w:rFonts w:ascii="Calibri" w:eastAsia="Times New Roman" w:hAnsi="Calibri" w:cs="Times New Roman"/>
                <w:color w:val="000000"/>
                <w:sz w:val="20"/>
                <w:szCs w:val="22"/>
              </w:rPr>
              <w:t xml:space="preserve"> in DNS, relative to experience before the gTLD expansion</w:t>
            </w:r>
            <w:r>
              <w:rPr>
                <w:rFonts w:ascii="Calibri" w:eastAsia="Times New Roman" w:hAnsi="Calibri" w:cs="Times New Roman"/>
                <w:color w:val="000000"/>
                <w:sz w:val="20"/>
                <w:szCs w:val="22"/>
              </w:rPr>
              <w:t>.  (Survey in conjunction with Consumer Trust survey noted in above section)</w:t>
            </w:r>
            <w:r w:rsidRPr="0066499A">
              <w:rPr>
                <w:rFonts w:ascii="Calibri" w:eastAsia="Times New Roman" w:hAnsi="Calibri" w:cs="Times New Roman"/>
                <w:color w:val="000000"/>
                <w:sz w:val="20"/>
                <w:szCs w:val="22"/>
              </w:rPr>
              <w:t xml:space="preserve">.  </w:t>
            </w:r>
          </w:p>
          <w:p w14:paraId="07288C95" w14:textId="77777777" w:rsidR="00FF71B6" w:rsidRDefault="00FF71B6" w:rsidP="00FF71B6">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shd w:val="clear" w:color="auto" w:fill="auto"/>
            <w:noWrap/>
            <w:vAlign w:val="center"/>
          </w:tcPr>
          <w:p w14:paraId="39A5E2C8"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00" w:type="dxa"/>
            <w:vAlign w:val="center"/>
          </w:tcPr>
          <w:p w14:paraId="2BF9E468"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14:paraId="2CBC23C7"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620" w:type="dxa"/>
            <w:shd w:val="clear" w:color="auto" w:fill="auto"/>
            <w:vAlign w:val="center"/>
          </w:tcPr>
          <w:p w14:paraId="48B55366"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c>
          <w:tcPr>
            <w:tcW w:w="3600" w:type="dxa"/>
            <w:vAlign w:val="center"/>
          </w:tcPr>
          <w:p w14:paraId="6F4D3C2E" w14:textId="0B38604D"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To be included in global consumer survey. </w:t>
            </w:r>
          </w:p>
        </w:tc>
      </w:tr>
      <w:tr w:rsidR="00FF71B6" w:rsidRPr="009008FA" w14:paraId="2C9F1FD7" w14:textId="77777777" w:rsidTr="00660997">
        <w:trPr>
          <w:trHeight w:val="431"/>
        </w:trPr>
        <w:tc>
          <w:tcPr>
            <w:tcW w:w="12870" w:type="dxa"/>
            <w:gridSpan w:val="5"/>
            <w:shd w:val="clear" w:color="auto" w:fill="BFBFBF" w:themeFill="background1" w:themeFillShade="BF"/>
            <w:noWrap/>
            <w:vAlign w:val="center"/>
          </w:tcPr>
          <w:p w14:paraId="0F96F0C3" w14:textId="77777777" w:rsidR="00FF71B6" w:rsidRPr="009D55E9" w:rsidRDefault="00FF71B6" w:rsidP="00FF71B6">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FF71B6" w:rsidRPr="00AD5C36" w14:paraId="543A29A8" w14:textId="77777777" w:rsidTr="00660997">
        <w:trPr>
          <w:trHeight w:val="690"/>
        </w:trPr>
        <w:tc>
          <w:tcPr>
            <w:tcW w:w="3870" w:type="dxa"/>
            <w:shd w:val="clear" w:color="auto" w:fill="auto"/>
            <w:noWrap/>
            <w:vAlign w:val="center"/>
          </w:tcPr>
          <w:p w14:paraId="6F954685" w14:textId="77777777" w:rsidR="00FF71B6" w:rsidRPr="0084344C"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[2.4] Quantity of TLDs using IDN scripts or languages other than English at the top level.</w:t>
            </w:r>
          </w:p>
        </w:tc>
        <w:tc>
          <w:tcPr>
            <w:tcW w:w="1080" w:type="dxa"/>
            <w:shd w:val="clear" w:color="auto" w:fill="auto"/>
            <w:noWrap/>
            <w:vAlign w:val="center"/>
          </w:tcPr>
          <w:p w14:paraId="4CBF427B"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00" w:type="dxa"/>
            <w:vAlign w:val="center"/>
          </w:tcPr>
          <w:p w14:paraId="606648F7"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620" w:type="dxa"/>
            <w:shd w:val="clear" w:color="auto" w:fill="auto"/>
            <w:vAlign w:val="center"/>
          </w:tcPr>
          <w:p w14:paraId="4F0A153B" w14:textId="77777777" w:rsidR="00FF71B6" w:rsidRPr="00AD5C36" w:rsidRDefault="00FF71B6" w:rsidP="00FF71B6">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c>
          <w:tcPr>
            <w:tcW w:w="3600" w:type="dxa"/>
            <w:vAlign w:val="center"/>
          </w:tcPr>
          <w:p w14:paraId="50DD48AE" w14:textId="615F63CD" w:rsidR="00FF71B6" w:rsidRPr="00D341EB" w:rsidRDefault="00F337B8"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FF71B6" w:rsidRPr="00AD5C36" w14:paraId="19A510FE" w14:textId="77777777" w:rsidTr="00660997">
        <w:trPr>
          <w:trHeight w:val="690"/>
        </w:trPr>
        <w:tc>
          <w:tcPr>
            <w:tcW w:w="3870" w:type="dxa"/>
            <w:shd w:val="clear" w:color="auto" w:fill="auto"/>
            <w:noWrap/>
            <w:vAlign w:val="center"/>
          </w:tcPr>
          <w:p w14:paraId="565CE1D4" w14:textId="77777777" w:rsidR="00FF71B6" w:rsidRPr="0084344C"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[2.5] Quantity of Registrars offering IDN scripts or languages other than English.</w:t>
            </w:r>
          </w:p>
        </w:tc>
        <w:tc>
          <w:tcPr>
            <w:tcW w:w="1080" w:type="dxa"/>
            <w:shd w:val="clear" w:color="auto" w:fill="auto"/>
            <w:noWrap/>
            <w:vAlign w:val="center"/>
          </w:tcPr>
          <w:p w14:paraId="44506D03"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00" w:type="dxa"/>
            <w:vAlign w:val="center"/>
          </w:tcPr>
          <w:p w14:paraId="5C72F49D"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620" w:type="dxa"/>
            <w:shd w:val="clear" w:color="auto" w:fill="auto"/>
            <w:vAlign w:val="center"/>
          </w:tcPr>
          <w:p w14:paraId="411F13C9" w14:textId="77777777" w:rsidR="00FF71B6" w:rsidRPr="00AD5C36" w:rsidRDefault="00FF71B6" w:rsidP="00FF71B6">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c>
          <w:tcPr>
            <w:tcW w:w="3600" w:type="dxa"/>
            <w:vAlign w:val="center"/>
          </w:tcPr>
          <w:p w14:paraId="6046DD4F" w14:textId="23848F15" w:rsidR="00FF71B6" w:rsidRPr="0058423B" w:rsidRDefault="00F337B8"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FF71B6" w:rsidRPr="00AD5C36" w14:paraId="13386758" w14:textId="77777777" w:rsidTr="00660997">
        <w:trPr>
          <w:trHeight w:val="690"/>
        </w:trPr>
        <w:tc>
          <w:tcPr>
            <w:tcW w:w="3870" w:type="dxa"/>
            <w:shd w:val="clear" w:color="auto" w:fill="auto"/>
            <w:noWrap/>
            <w:vAlign w:val="center"/>
          </w:tcPr>
          <w:p w14:paraId="6C89AC53"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[2.6]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w:t>
            </w:r>
            <w:r w:rsidRPr="000F4125">
              <w:rPr>
                <w:rFonts w:ascii="Calibri" w:eastAsia="Times New Roman" w:hAnsi="Calibri" w:cs="Times New Roman"/>
                <w:color w:val="000000"/>
                <w:sz w:val="20"/>
                <w:szCs w:val="22"/>
              </w:rPr>
              <w:lastRenderedPageBreak/>
              <w:t xml:space="preserve">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14:paraId="78A4D400" w14:textId="77777777" w:rsidR="00FF71B6" w:rsidRDefault="00FF71B6" w:rsidP="00FF71B6">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lastRenderedPageBreak/>
              <w:t xml:space="preserve">Registry websites </w:t>
            </w:r>
            <w:r w:rsidRPr="000F4125">
              <w:rPr>
                <w:rFonts w:ascii="Calibri" w:eastAsia="Times New Roman" w:hAnsi="Calibri" w:cs="Times New Roman"/>
                <w:color w:val="000000"/>
                <w:sz w:val="20"/>
                <w:szCs w:val="22"/>
              </w:rPr>
              <w:lastRenderedPageBreak/>
              <w:t>and statistical determination of number of speakers or script users</w:t>
            </w:r>
          </w:p>
        </w:tc>
        <w:tc>
          <w:tcPr>
            <w:tcW w:w="2700" w:type="dxa"/>
            <w:vAlign w:val="center"/>
          </w:tcPr>
          <w:p w14:paraId="6665FAE9" w14:textId="77777777" w:rsidR="00FF71B6" w:rsidRPr="000F4125" w:rsidRDefault="00FF71B6" w:rsidP="00FF71B6">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lastRenderedPageBreak/>
              <w:t xml:space="preserve">Must identify reliable source of number of speakers or </w:t>
            </w:r>
            <w:r w:rsidRPr="000F4125">
              <w:rPr>
                <w:rFonts w:ascii="Calibri" w:eastAsia="Times New Roman" w:hAnsi="Calibri" w:cs="Times New Roman"/>
                <w:color w:val="000000"/>
                <w:sz w:val="20"/>
                <w:szCs w:val="22"/>
              </w:rPr>
              <w:lastRenderedPageBreak/>
              <w:t>u</w:t>
            </w:r>
            <w:r>
              <w:rPr>
                <w:rFonts w:ascii="Calibri" w:eastAsia="Times New Roman" w:hAnsi="Calibri" w:cs="Times New Roman"/>
                <w:color w:val="000000"/>
                <w:sz w:val="20"/>
                <w:szCs w:val="22"/>
              </w:rPr>
              <w:t>sers of each language or script</w:t>
            </w:r>
          </w:p>
          <w:p w14:paraId="7157A0AC" w14:textId="77777777" w:rsidR="00FF71B6" w:rsidRDefault="00FF71B6" w:rsidP="00FF71B6">
            <w:pPr>
              <w:spacing w:before="60" w:after="60"/>
              <w:rPr>
                <w:rFonts w:ascii="Calibri" w:eastAsia="Times New Roman" w:hAnsi="Calibri" w:cs="Times New Roman"/>
                <w:color w:val="000000"/>
                <w:sz w:val="20"/>
                <w:szCs w:val="22"/>
              </w:rPr>
            </w:pPr>
          </w:p>
        </w:tc>
        <w:tc>
          <w:tcPr>
            <w:tcW w:w="1620" w:type="dxa"/>
            <w:shd w:val="clear" w:color="auto" w:fill="auto"/>
            <w:vAlign w:val="center"/>
          </w:tcPr>
          <w:p w14:paraId="49BBD321" w14:textId="77777777" w:rsidR="00FF71B6" w:rsidRPr="0058423B" w:rsidRDefault="00FF71B6" w:rsidP="00FF71B6">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lastRenderedPageBreak/>
              <w:t xml:space="preserve">The percentage of IDNs should </w:t>
            </w:r>
            <w:r w:rsidRPr="000F4125">
              <w:rPr>
                <w:rFonts w:ascii="Calibri" w:eastAsia="Times New Roman" w:hAnsi="Calibri" w:cs="Times New Roman"/>
                <w:color w:val="000000"/>
                <w:sz w:val="20"/>
                <w:szCs w:val="22"/>
              </w:rPr>
              <w:lastRenderedPageBreak/>
              <w:t>trend closer to the percentage of the population th</w:t>
            </w:r>
            <w:r>
              <w:rPr>
                <w:rFonts w:ascii="Calibri" w:eastAsia="Times New Roman" w:hAnsi="Calibri" w:cs="Times New Roman"/>
                <w:color w:val="000000"/>
                <w:sz w:val="20"/>
                <w:szCs w:val="22"/>
              </w:rPr>
              <w:t>at uses that script over time</w:t>
            </w:r>
          </w:p>
        </w:tc>
        <w:tc>
          <w:tcPr>
            <w:tcW w:w="3600" w:type="dxa"/>
            <w:vAlign w:val="center"/>
          </w:tcPr>
          <w:p w14:paraId="459F8183" w14:textId="27B6AA96" w:rsidR="00FF71B6" w:rsidRPr="00FF71B6" w:rsidRDefault="00FF71B6" w:rsidP="00FF71B6">
            <w:pPr>
              <w:rPr>
                <w:rFonts w:ascii="Calibri" w:hAnsi="Calibri"/>
                <w:sz w:val="20"/>
              </w:rPr>
            </w:pPr>
            <w:r w:rsidRPr="00FF71B6">
              <w:rPr>
                <w:rFonts w:ascii="Calibri" w:hAnsi="Calibri"/>
                <w:sz w:val="20"/>
              </w:rPr>
              <w:lastRenderedPageBreak/>
              <w:t xml:space="preserve">IAG-CCT members decided that the numerator in this instance is the data in </w:t>
            </w:r>
            <w:r w:rsidRPr="00FF71B6">
              <w:rPr>
                <w:rFonts w:ascii="Calibri" w:hAnsi="Calibri"/>
                <w:sz w:val="20"/>
              </w:rPr>
              <w:lastRenderedPageBreak/>
              <w:t>metrics 2.4 and 2.5 regarding IDN registrations and available registries. The group recommends the review team collect this data by comparing the numbers available to UNESCO or other data on languages spoken in the world if the review team so chooses. The group recommends the metric to be rephrased to read: "The number of registrations in IDN TLDs as compared to the total number of registrations in new gTLDs. Measure growth over time."</w:t>
            </w:r>
          </w:p>
        </w:tc>
      </w:tr>
      <w:tr w:rsidR="00FF71B6" w:rsidRPr="00AD5C36" w14:paraId="1A7469BA" w14:textId="77777777" w:rsidTr="00660997">
        <w:trPr>
          <w:trHeight w:val="690"/>
        </w:trPr>
        <w:tc>
          <w:tcPr>
            <w:tcW w:w="3870" w:type="dxa"/>
            <w:shd w:val="clear" w:color="auto" w:fill="auto"/>
            <w:noWrap/>
            <w:vAlign w:val="center"/>
          </w:tcPr>
          <w:p w14:paraId="75E14BE5" w14:textId="77777777" w:rsidR="00FF71B6" w:rsidRPr="0084344C"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[2.7] Quantity of different national legal regimes where new gTLD Registry Operators are based.</w:t>
            </w:r>
          </w:p>
        </w:tc>
        <w:tc>
          <w:tcPr>
            <w:tcW w:w="1080" w:type="dxa"/>
            <w:shd w:val="clear" w:color="auto" w:fill="auto"/>
            <w:noWrap/>
            <w:vAlign w:val="center"/>
          </w:tcPr>
          <w:p w14:paraId="5F29817B"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00" w:type="dxa"/>
            <w:vAlign w:val="center"/>
          </w:tcPr>
          <w:p w14:paraId="56593E19"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620" w:type="dxa"/>
            <w:shd w:val="clear" w:color="auto" w:fill="auto"/>
            <w:vAlign w:val="center"/>
          </w:tcPr>
          <w:p w14:paraId="38B02CEF"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c>
          <w:tcPr>
            <w:tcW w:w="3600" w:type="dxa"/>
            <w:vAlign w:val="center"/>
          </w:tcPr>
          <w:p w14:paraId="59B89D39" w14:textId="2F71E9C7" w:rsidR="00FF71B6" w:rsidRDefault="00F337B8"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FF71B6" w:rsidRPr="00242C4C" w14:paraId="0F8BD360" w14:textId="77777777" w:rsidTr="00660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2870" w:type="dxa"/>
            <w:gridSpan w:val="5"/>
            <w:tcBorders>
              <w:top w:val="single" w:sz="4" w:space="0" w:color="auto"/>
              <w:left w:val="single" w:sz="4" w:space="0" w:color="auto"/>
              <w:right w:val="single" w:sz="4" w:space="0" w:color="auto"/>
            </w:tcBorders>
            <w:shd w:val="clear" w:color="auto" w:fill="BFBFBF" w:themeFill="background1" w:themeFillShade="BF"/>
            <w:noWrap/>
            <w:vAlign w:val="center"/>
          </w:tcPr>
          <w:p w14:paraId="7F08CC20" w14:textId="77777777" w:rsidR="00FF71B6" w:rsidRPr="009D55E9" w:rsidRDefault="00FF71B6" w:rsidP="00FF71B6">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Measures designed to assess whether prior registrants chose new gTLDs for primarily defensive purposes.  .  Each measure is a potential indicator of defensive registration, and not a precise indicator. These measures must be considered jointly, not separately.  Targets accommodate likely over-counting of defensive registrations.</w:t>
            </w:r>
          </w:p>
        </w:tc>
      </w:tr>
      <w:tr w:rsidR="00FF71B6" w:rsidRPr="0084344C" w14:paraId="09EAE45A" w14:textId="77777777" w:rsidTr="00660997">
        <w:trPr>
          <w:trHeight w:val="690"/>
          <w:tblHeader/>
        </w:trPr>
        <w:tc>
          <w:tcPr>
            <w:tcW w:w="3870" w:type="dxa"/>
            <w:shd w:val="clear" w:color="auto" w:fill="auto"/>
            <w:noWrap/>
            <w:vAlign w:val="center"/>
            <w:hideMark/>
          </w:tcPr>
          <w:p w14:paraId="0238C526" w14:textId="77777777" w:rsidR="00FF71B6" w:rsidRPr="0084344C" w:rsidRDefault="00FF71B6" w:rsidP="00FF71B6">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56EFE9EB" w14:textId="77777777" w:rsidR="00FF71B6" w:rsidRPr="00694981" w:rsidRDefault="00FF71B6" w:rsidP="00FF71B6">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00" w:type="dxa"/>
            <w:vAlign w:val="center"/>
          </w:tcPr>
          <w:p w14:paraId="4CEDAF2B" w14:textId="77777777" w:rsidR="00FF71B6" w:rsidRDefault="00FF71B6" w:rsidP="00FF71B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620" w:type="dxa"/>
            <w:shd w:val="clear" w:color="auto" w:fill="auto"/>
            <w:vAlign w:val="center"/>
          </w:tcPr>
          <w:p w14:paraId="5565EA73" w14:textId="77777777" w:rsidR="00FF71B6" w:rsidRDefault="00FF71B6" w:rsidP="00FF71B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1E011D9" w14:textId="77777777" w:rsidR="00FF71B6" w:rsidRPr="0084344C" w:rsidRDefault="00FF71B6" w:rsidP="00FF71B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c>
          <w:tcPr>
            <w:tcW w:w="3600" w:type="dxa"/>
            <w:vAlign w:val="center"/>
          </w:tcPr>
          <w:p w14:paraId="4C198407" w14:textId="40224645" w:rsidR="00FF71B6" w:rsidRDefault="00F337B8" w:rsidP="00FF71B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IAG-CCT Recommendations</w:t>
            </w:r>
          </w:p>
        </w:tc>
      </w:tr>
      <w:tr w:rsidR="00FF71B6" w:rsidRPr="00AD5C36" w14:paraId="05BD2C5F" w14:textId="77777777" w:rsidTr="00660997">
        <w:trPr>
          <w:trHeight w:val="690"/>
        </w:trPr>
        <w:tc>
          <w:tcPr>
            <w:tcW w:w="3870" w:type="dxa"/>
            <w:shd w:val="clear" w:color="auto" w:fill="auto"/>
            <w:noWrap/>
            <w:vAlign w:val="center"/>
          </w:tcPr>
          <w:p w14:paraId="13470213" w14:textId="77777777" w:rsidR="00FF71B6" w:rsidRPr="0084344C"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[2.8] A defensive registration is not seen as an improvement in choices available to registrants.  </w:t>
            </w:r>
            <w:r w:rsidRPr="009D55E9">
              <w:rPr>
                <w:rFonts w:ascii="Calibri" w:hAnsi="Calibri"/>
                <w:b/>
                <w:color w:val="000000"/>
                <w:sz w:val="20"/>
              </w:rPr>
              <w:t xml:space="preserve">For purposes of this measure,  “defensive registrations” are Sunrise registrations &amp; domain blocks. </w:t>
            </w:r>
            <w:r>
              <w:rPr>
                <w:rFonts w:ascii="Calibri" w:eastAsia="Times New Roman" w:hAnsi="Calibri" w:cs="Times New Roman"/>
                <w:color w:val="000000"/>
                <w:sz w:val="20"/>
                <w:szCs w:val="22"/>
              </w:rPr>
              <w:t xml:space="preserve"> Measure share of (Sunrise registrations &amp; domain blocks) to total registrations in each new gTLD. </w:t>
            </w:r>
            <w:r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14:paraId="26276147"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00" w:type="dxa"/>
            <w:vAlign w:val="center"/>
          </w:tcPr>
          <w:p w14:paraId="4FCBBA7B"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620" w:type="dxa"/>
            <w:shd w:val="clear" w:color="auto" w:fill="auto"/>
            <w:vAlign w:val="center"/>
          </w:tcPr>
          <w:p w14:paraId="55BDEAC8"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&gt; 85% of total registrations.</w:t>
            </w:r>
          </w:p>
          <w:p w14:paraId="71E4DC49"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c>
          <w:tcPr>
            <w:tcW w:w="3600" w:type="dxa"/>
            <w:vAlign w:val="center"/>
          </w:tcPr>
          <w:p w14:paraId="73E3D05B" w14:textId="0D535EA5" w:rsidR="00FF71B6" w:rsidRPr="00FF71B6" w:rsidRDefault="00FF71B6" w:rsidP="00FF71B6">
            <w:pPr>
              <w:rPr>
                <w:rFonts w:ascii="Calibri" w:hAnsi="Calibri"/>
                <w:sz w:val="20"/>
              </w:rPr>
            </w:pPr>
            <w:r w:rsidRPr="00FF71B6">
              <w:rPr>
                <w:rFonts w:ascii="Calibri" w:hAnsi="Calibri"/>
                <w:sz w:val="20"/>
              </w:rPr>
              <w:t xml:space="preserve">IAG-CCT members agreed that this is an important metric to capture the nature of domain name transactions during the sunrise and launch periods. To provide a baseline for comparison, ICANN may need to require some legacy registries to provide sunrise and domain block information. For new gTLDs, registries will provide ICANN with sunrise data, but </w:t>
            </w:r>
            <w:r w:rsidRPr="00FF71B6">
              <w:rPr>
                <w:rFonts w:ascii="Calibri" w:hAnsi="Calibri"/>
                <w:sz w:val="20"/>
              </w:rPr>
              <w:lastRenderedPageBreak/>
              <w:t xml:space="preserve">registries are not required to report domain blocks. Depending on the response ICANN receives from registry operators, the available data may be limited and thus difficult to analyze. It will be important to distinguish between domain blocks and IDN variants to ensure that the right set of data is being captured. </w:t>
            </w:r>
          </w:p>
        </w:tc>
      </w:tr>
      <w:tr w:rsidR="00D312EE" w:rsidRPr="00AD5C36" w14:paraId="1685FA69" w14:textId="77777777" w:rsidTr="00F337B8">
        <w:trPr>
          <w:trHeight w:val="690"/>
        </w:trPr>
        <w:tc>
          <w:tcPr>
            <w:tcW w:w="3870" w:type="dxa"/>
            <w:shd w:val="clear" w:color="auto" w:fill="auto"/>
            <w:noWrap/>
            <w:vAlign w:val="center"/>
          </w:tcPr>
          <w:p w14:paraId="455BEEFC" w14:textId="77777777" w:rsidR="00D312EE" w:rsidRPr="0084344C" w:rsidRDefault="00D312EE" w:rsidP="00D312E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 xml:space="preserve">[2.9] </w:t>
            </w:r>
            <w:r w:rsidRPr="000418B0">
              <w:rPr>
                <w:rFonts w:ascii="Calibri" w:eastAsia="Times New Roman" w:hAnsi="Calibri" w:cs="Times New Roman"/>
                <w:color w:val="000000"/>
                <w:sz w:val="20"/>
                <w:szCs w:val="22"/>
              </w:rPr>
              <w:t>Relative share of new gTLD registrations already having the same domain in legacy TLDs</w:t>
            </w:r>
            <w:r>
              <w:rPr>
                <w:rFonts w:ascii="Calibri" w:eastAsia="Times New Roman" w:hAnsi="Calibri" w:cs="Times New Roman"/>
                <w:color w:val="000000"/>
                <w:sz w:val="20"/>
                <w:szCs w:val="22"/>
              </w:rPr>
              <w:t>.</w:t>
            </w:r>
            <w:r w:rsidRPr="000418B0">
              <w:rPr>
                <w:rFonts w:ascii="Calibri" w:eastAsia="Times New Roman" w:hAnsi="Calibri" w:cs="Times New Roman"/>
                <w:color w:val="000000"/>
                <w:sz w:val="20"/>
                <w:szCs w:val="22"/>
              </w:rPr>
              <w:t xml:space="preserve"> prior to expansion</w:t>
            </w:r>
            <w:r w:rsidRPr="000418B0" w:rsidDel="000418B0">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For this measure, count all registrations that redirect to domains in legacy TLDs. </w:t>
            </w:r>
            <w:r w:rsidRPr="00AB44EC">
              <w:rPr>
                <w:rFonts w:ascii="Calibri" w:eastAsia="Times New Roman" w:hAnsi="Calibri" w:cs="Times New Roman"/>
                <w:color w:val="000000" w:themeColor="text1"/>
                <w:sz w:val="20"/>
                <w:szCs w:val="22"/>
              </w:rPr>
              <w:t xml:space="preserve">Open gTLDs only.   </w:t>
            </w:r>
          </w:p>
        </w:tc>
        <w:tc>
          <w:tcPr>
            <w:tcW w:w="1080" w:type="dxa"/>
            <w:shd w:val="clear" w:color="auto" w:fill="auto"/>
            <w:noWrap/>
            <w:vAlign w:val="center"/>
          </w:tcPr>
          <w:p w14:paraId="72EC1568" w14:textId="77777777" w:rsidR="00D312EE" w:rsidRPr="00AD5C36" w:rsidRDefault="00D312EE" w:rsidP="00D312EE">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00" w:type="dxa"/>
            <w:vAlign w:val="center"/>
          </w:tcPr>
          <w:p w14:paraId="65FE2B25" w14:textId="77777777" w:rsidR="00D312EE" w:rsidRDefault="00D312EE" w:rsidP="00D312EE">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620" w:type="dxa"/>
            <w:shd w:val="clear" w:color="auto" w:fill="auto"/>
            <w:vAlign w:val="center"/>
          </w:tcPr>
          <w:p w14:paraId="62CA07BA" w14:textId="77777777" w:rsidR="00D312EE" w:rsidRPr="00D312EE" w:rsidRDefault="00D312EE" w:rsidP="00D312EE">
            <w:pPr>
              <w:spacing w:before="60" w:after="60"/>
              <w:rPr>
                <w:rFonts w:ascii="Calibri" w:eastAsia="Times New Roman" w:hAnsi="Calibri" w:cs="Times New Roman"/>
                <w:color w:val="000000"/>
                <w:sz w:val="20"/>
                <w:szCs w:val="22"/>
              </w:rPr>
            </w:pPr>
            <w:r w:rsidRPr="00D312EE">
              <w:rPr>
                <w:rFonts w:ascii="Calibri" w:eastAsia="Times New Roman" w:hAnsi="Calibri" w:cs="Times New Roman"/>
                <w:color w:val="000000"/>
                <w:sz w:val="20"/>
                <w:szCs w:val="22"/>
              </w:rPr>
              <w:t>“Redirected” registrations &lt; 15% of all new registrations;</w:t>
            </w:r>
          </w:p>
          <w:p w14:paraId="7B9749E0" w14:textId="453EFEDD" w:rsidR="00D312EE" w:rsidRPr="00D312EE" w:rsidRDefault="00D312EE" w:rsidP="00D312EE">
            <w:pPr>
              <w:spacing w:before="60" w:after="60"/>
              <w:rPr>
                <w:rFonts w:ascii="Calibri" w:eastAsia="Times New Roman" w:hAnsi="Calibri" w:cs="Times New Roman"/>
                <w:color w:val="000000"/>
                <w:sz w:val="20"/>
                <w:szCs w:val="22"/>
              </w:rPr>
            </w:pPr>
            <w:r w:rsidRPr="00D312EE">
              <w:rPr>
                <w:rFonts w:ascii="Calibri" w:eastAsia="Times New Roman" w:hAnsi="Calibri" w:cs="Times New Roman"/>
                <w:color w:val="000000"/>
                <w:sz w:val="20"/>
                <w:szCs w:val="22"/>
              </w:rPr>
              <w:t>% should decline over time</w:t>
            </w:r>
          </w:p>
        </w:tc>
        <w:tc>
          <w:tcPr>
            <w:tcW w:w="3600" w:type="dxa"/>
            <w:vMerge w:val="restart"/>
          </w:tcPr>
          <w:p w14:paraId="75FA185F" w14:textId="6BCE0138" w:rsidR="00D312EE" w:rsidRPr="00D312EE" w:rsidRDefault="00D312EE" w:rsidP="00D312EE">
            <w:pPr>
              <w:spacing w:before="60" w:after="60"/>
              <w:rPr>
                <w:rFonts w:ascii="Calibri" w:eastAsia="Times New Roman" w:hAnsi="Calibri" w:cs="Times New Roman"/>
                <w:color w:val="000000"/>
                <w:sz w:val="20"/>
                <w:szCs w:val="22"/>
              </w:rPr>
            </w:pPr>
            <w:r w:rsidRPr="00D312EE">
              <w:rPr>
                <w:rFonts w:ascii="Calibri" w:hAnsi="Calibri"/>
                <w:sz w:val="20"/>
              </w:rPr>
              <w:t xml:space="preserve">The distinction between these two metrics is that 2.10 is meant to survey registrants who are maintaining identical sites in different TLDs, while 2.9 only looks at those domain names which redirect from new gTLDs to legacy TLDs. The group noted that 2.10 may be a challenge if the consumer survey does not sample a statistically significant sample of registrants. Further, ICANN’s technical services team notes that this would be extremely difficult to measure using queries or other methodologies given the size of the data sets that must be compared. The IAG-CCT members agreed to recommend the review team put 2.10 on hold until it can confirm that 2.9 resulted in a statistically significant sample of relevant registrants. </w:t>
            </w:r>
          </w:p>
        </w:tc>
      </w:tr>
      <w:tr w:rsidR="00D312EE" w:rsidRPr="00AD5C36" w14:paraId="77B0AF98" w14:textId="77777777" w:rsidTr="00F337B8">
        <w:trPr>
          <w:trHeight w:val="690"/>
        </w:trPr>
        <w:tc>
          <w:tcPr>
            <w:tcW w:w="3870" w:type="dxa"/>
            <w:shd w:val="clear" w:color="auto" w:fill="auto"/>
            <w:noWrap/>
            <w:vAlign w:val="center"/>
          </w:tcPr>
          <w:p w14:paraId="2CE45866" w14:textId="77777777" w:rsidR="00D312EE" w:rsidRPr="0084344C" w:rsidRDefault="00D312EE" w:rsidP="00D312E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[2.10] Automated analysis or online survey to determine the number of “duplicate” registrations in new gTLDs.  For purposes of this measure, “duplicate” registrations are those where registrant reports having (and still maintaining) the same domain name in a legacy gTLD.  </w:t>
            </w:r>
            <w:r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14:paraId="4F201B1E" w14:textId="77777777" w:rsidR="00D312EE" w:rsidRPr="00AD5C36" w:rsidRDefault="00D312EE" w:rsidP="00D312EE">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00" w:type="dxa"/>
            <w:vAlign w:val="center"/>
          </w:tcPr>
          <w:p w14:paraId="1DBD347A" w14:textId="77777777" w:rsidR="00D312EE" w:rsidRDefault="00D312EE" w:rsidP="00D312E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620" w:type="dxa"/>
            <w:shd w:val="clear" w:color="auto" w:fill="auto"/>
            <w:vAlign w:val="center"/>
          </w:tcPr>
          <w:p w14:paraId="7E92F958" w14:textId="77777777" w:rsidR="00D312EE" w:rsidRPr="00D312EE" w:rsidRDefault="00D312EE" w:rsidP="00D312EE">
            <w:pPr>
              <w:spacing w:before="60" w:after="60"/>
              <w:rPr>
                <w:rFonts w:ascii="Calibri" w:eastAsia="Times New Roman" w:hAnsi="Calibri" w:cs="Times New Roman"/>
                <w:color w:val="000000"/>
                <w:sz w:val="20"/>
                <w:szCs w:val="22"/>
              </w:rPr>
            </w:pPr>
            <w:r w:rsidRPr="00D312EE">
              <w:rPr>
                <w:rFonts w:ascii="Calibri" w:eastAsia="Times New Roman" w:hAnsi="Calibri" w:cs="Times New Roman"/>
                <w:color w:val="000000"/>
                <w:sz w:val="20"/>
                <w:szCs w:val="22"/>
              </w:rPr>
              <w:t>“Duplicate” registrations &lt; 15% of all new registrations;</w:t>
            </w:r>
          </w:p>
          <w:p w14:paraId="67749AAE" w14:textId="77777777" w:rsidR="00D312EE" w:rsidRPr="00D312EE" w:rsidRDefault="00D312EE" w:rsidP="00D312EE">
            <w:pPr>
              <w:spacing w:before="60" w:after="60"/>
              <w:rPr>
                <w:rFonts w:ascii="Calibri" w:eastAsia="Times New Roman" w:hAnsi="Calibri" w:cs="Times New Roman"/>
                <w:color w:val="000000"/>
                <w:sz w:val="20"/>
                <w:szCs w:val="22"/>
              </w:rPr>
            </w:pPr>
            <w:r w:rsidRPr="00D312EE">
              <w:rPr>
                <w:rFonts w:ascii="Calibri" w:eastAsia="Times New Roman" w:hAnsi="Calibri" w:cs="Times New Roman"/>
                <w:color w:val="000000"/>
                <w:sz w:val="20"/>
                <w:szCs w:val="22"/>
              </w:rPr>
              <w:t>This % should decline over time</w:t>
            </w:r>
          </w:p>
        </w:tc>
        <w:tc>
          <w:tcPr>
            <w:tcW w:w="3600" w:type="dxa"/>
            <w:vMerge/>
          </w:tcPr>
          <w:p w14:paraId="7F5EECD5" w14:textId="2C492D6E" w:rsidR="00D312EE" w:rsidRPr="00D312EE" w:rsidRDefault="00D312EE" w:rsidP="00D312EE">
            <w:pPr>
              <w:spacing w:before="60" w:after="60"/>
              <w:rPr>
                <w:rFonts w:ascii="Calibri" w:eastAsia="Times New Roman" w:hAnsi="Calibri" w:cs="Times New Roman"/>
                <w:color w:val="000000"/>
                <w:sz w:val="20"/>
                <w:szCs w:val="22"/>
              </w:rPr>
            </w:pPr>
          </w:p>
        </w:tc>
      </w:tr>
      <w:tr w:rsidR="00FF71B6" w:rsidRPr="00AD5C36" w14:paraId="43E023FB" w14:textId="77777777" w:rsidTr="00660997">
        <w:tblPrEx>
          <w:shd w:val="clear" w:color="auto" w:fill="FFFFFF" w:themeFill="background1"/>
        </w:tblPrEx>
        <w:trPr>
          <w:trHeight w:val="432"/>
        </w:trPr>
        <w:tc>
          <w:tcPr>
            <w:tcW w:w="12870" w:type="dxa"/>
            <w:gridSpan w:val="5"/>
            <w:shd w:val="clear" w:color="auto" w:fill="BFBFBF" w:themeFill="background1" w:themeFillShade="BF"/>
            <w:noWrap/>
            <w:vAlign w:val="center"/>
          </w:tcPr>
          <w:p w14:paraId="504D631D" w14:textId="77777777" w:rsidR="00FF71B6" w:rsidRPr="009D55E9" w:rsidRDefault="00FF71B6" w:rsidP="00FF71B6">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Other measures of Consumer Choice in new gTLDS</w:t>
            </w:r>
          </w:p>
        </w:tc>
      </w:tr>
      <w:tr w:rsidR="00FF71B6" w:rsidRPr="00AD5C36" w14:paraId="79F5F9DB" w14:textId="77777777" w:rsidTr="00660997">
        <w:tblPrEx>
          <w:shd w:val="clear" w:color="auto" w:fill="FFFFFF" w:themeFill="background1"/>
        </w:tblPrEx>
        <w:trPr>
          <w:trHeight w:val="690"/>
        </w:trPr>
        <w:tc>
          <w:tcPr>
            <w:tcW w:w="3870" w:type="dxa"/>
            <w:shd w:val="clear" w:color="auto" w:fill="FFFFFF" w:themeFill="background1"/>
            <w:noWrap/>
            <w:vAlign w:val="center"/>
          </w:tcPr>
          <w:p w14:paraId="08D122DD" w14:textId="77777777" w:rsidR="00FF71B6" w:rsidRPr="0084344C"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[2.11]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new open 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r>
              <w:rPr>
                <w:rFonts w:ascii="Calibri" w:eastAsia="Times New Roman" w:hAnsi="Calibri" w:cs="Times New Roman"/>
                <w:color w:val="000000"/>
                <w:sz w:val="20"/>
                <w:szCs w:val="22"/>
              </w:rPr>
              <w:t xml:space="preserve">. </w:t>
            </w:r>
          </w:p>
        </w:tc>
        <w:tc>
          <w:tcPr>
            <w:tcW w:w="1080" w:type="dxa"/>
            <w:shd w:val="clear" w:color="auto" w:fill="FFFFFF" w:themeFill="background1"/>
            <w:noWrap/>
            <w:vAlign w:val="center"/>
          </w:tcPr>
          <w:p w14:paraId="5A33211F"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00" w:type="dxa"/>
            <w:shd w:val="clear" w:color="auto" w:fill="FFFFFF" w:themeFill="background1"/>
            <w:vAlign w:val="center"/>
          </w:tcPr>
          <w:p w14:paraId="768A7BDF"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620" w:type="dxa"/>
            <w:shd w:val="clear" w:color="auto" w:fill="FFFFFF" w:themeFill="background1"/>
            <w:vAlign w:val="center"/>
          </w:tcPr>
          <w:p w14:paraId="39BF2381"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14:paraId="74C1F1B0" w14:textId="77777777" w:rsidR="00FF71B6" w:rsidRPr="00AD5C3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c>
          <w:tcPr>
            <w:tcW w:w="3600" w:type="dxa"/>
            <w:shd w:val="clear" w:color="auto" w:fill="FFFFFF" w:themeFill="background1"/>
            <w:vAlign w:val="center"/>
          </w:tcPr>
          <w:p w14:paraId="4F61E75F" w14:textId="412CE8E4" w:rsidR="00FF71B6" w:rsidRPr="001D4A85" w:rsidRDefault="001D4A85" w:rsidP="001D4A85">
            <w:pPr>
              <w:spacing w:before="60" w:after="60"/>
              <w:rPr>
                <w:rFonts w:ascii="Calibri" w:eastAsia="Times New Roman" w:hAnsi="Calibri" w:cs="Times New Roman"/>
                <w:color w:val="000000"/>
                <w:sz w:val="20"/>
                <w:szCs w:val="22"/>
              </w:rPr>
            </w:pPr>
            <w:r w:rsidRPr="001D4A85">
              <w:rPr>
                <w:rFonts w:ascii="Calibri" w:hAnsi="Calibri"/>
                <w:sz w:val="20"/>
              </w:rPr>
              <w:t>Internal, technical services team, Whois records, zone files. Note that Whois records may not be a reliable record of geographic locations of registrants.</w:t>
            </w:r>
          </w:p>
        </w:tc>
      </w:tr>
      <w:tr w:rsidR="00FF71B6" w:rsidRPr="00AD5C36" w14:paraId="7E63B470" w14:textId="77777777" w:rsidTr="00660997">
        <w:tblPrEx>
          <w:shd w:val="clear" w:color="auto" w:fill="FFFFFF" w:themeFill="background1"/>
        </w:tblPrEx>
        <w:trPr>
          <w:trHeight w:val="690"/>
        </w:trPr>
        <w:tc>
          <w:tcPr>
            <w:tcW w:w="3870" w:type="dxa"/>
            <w:shd w:val="clear" w:color="auto" w:fill="FFFFFF" w:themeFill="background1"/>
            <w:noWrap/>
            <w:vAlign w:val="center"/>
          </w:tcPr>
          <w:p w14:paraId="6C7F384C"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[2.12]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(e.g. QR Codes, search results, apps, etc. that do not display URLs)</w:t>
            </w:r>
            <w:r>
              <w:rPr>
                <w:rFonts w:ascii="Calibri" w:eastAsia="Times New Roman" w:hAnsi="Calibri" w:cs="Times New Roman"/>
                <w:color w:val="000000"/>
                <w:sz w:val="20"/>
                <w:szCs w:val="22"/>
              </w:rPr>
              <w:t>.</w:t>
            </w:r>
          </w:p>
        </w:tc>
        <w:tc>
          <w:tcPr>
            <w:tcW w:w="1080" w:type="dxa"/>
            <w:shd w:val="clear" w:color="auto" w:fill="FFFFFF" w:themeFill="background1"/>
            <w:noWrap/>
            <w:vAlign w:val="center"/>
          </w:tcPr>
          <w:p w14:paraId="679FB19F" w14:textId="77777777" w:rsidR="00FF71B6" w:rsidRDefault="00FF71B6" w:rsidP="00FF71B6">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00" w:type="dxa"/>
            <w:shd w:val="clear" w:color="auto" w:fill="FFFFFF" w:themeFill="background1"/>
            <w:vAlign w:val="center"/>
          </w:tcPr>
          <w:p w14:paraId="746DFDE5" w14:textId="77777777" w:rsidR="00FF71B6" w:rsidRDefault="00FF71B6" w:rsidP="00FF71B6">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3AB231ED"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620" w:type="dxa"/>
            <w:shd w:val="clear" w:color="auto" w:fill="FFFFFF" w:themeFill="background1"/>
            <w:vAlign w:val="center"/>
          </w:tcPr>
          <w:p w14:paraId="61323520"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c>
          <w:tcPr>
            <w:tcW w:w="3600" w:type="dxa"/>
            <w:shd w:val="clear" w:color="auto" w:fill="FFFFFF" w:themeFill="background1"/>
            <w:vAlign w:val="center"/>
          </w:tcPr>
          <w:p w14:paraId="5E2CF945" w14:textId="2344E8A6" w:rsidR="00FF71B6" w:rsidRPr="001D4A85" w:rsidRDefault="001D4A85" w:rsidP="001D4A85">
            <w:pPr>
              <w:spacing w:before="60" w:after="6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To be included in the global consumer survey. </w:t>
            </w:r>
            <w:r w:rsidRPr="001D4A85">
              <w:rPr>
                <w:rFonts w:asciiTheme="majorHAnsi" w:eastAsia="Times New Roman" w:hAnsiTheme="majorHAnsi" w:cs="Times New Roman"/>
                <w:color w:val="000000"/>
                <w:sz w:val="20"/>
                <w:szCs w:val="20"/>
              </w:rPr>
              <w:t>If this metric is also used to inform trust in the DNS, will need to disentangle the issue of familiarity from why users choose these</w:t>
            </w:r>
            <w:r w:rsidRPr="001D4A85">
              <w:rPr>
                <w:rFonts w:asciiTheme="majorHAnsi" w:eastAsia="Times New Roman" w:hAnsiTheme="majorHAnsi" w:cs="Times New Roman"/>
                <w:sz w:val="20"/>
                <w:szCs w:val="20"/>
              </w:rPr>
              <w:t xml:space="preserve"> tools. </w:t>
            </w:r>
            <w:r w:rsidRPr="001D4A85">
              <w:rPr>
                <w:rFonts w:asciiTheme="majorHAnsi" w:eastAsia="Calibri" w:hAnsiTheme="majorHAnsi"/>
                <w:sz w:val="20"/>
                <w:szCs w:val="20"/>
                <w:lang w:bidi="en-US"/>
              </w:rPr>
              <w:t>To operationalize these metric, contractors will work with ICANN to devise a list of relevant examples of tools that do not reveal gTLDs, and to describe the examples in plain language.</w:t>
            </w:r>
          </w:p>
        </w:tc>
      </w:tr>
      <w:tr w:rsidR="00FF71B6" w:rsidRPr="00AD5C36" w14:paraId="3AC0001C" w14:textId="77777777" w:rsidTr="00660997">
        <w:tblPrEx>
          <w:shd w:val="clear" w:color="auto" w:fill="FFFFFF" w:themeFill="background1"/>
        </w:tblPrEx>
        <w:trPr>
          <w:trHeight w:val="690"/>
        </w:trPr>
        <w:tc>
          <w:tcPr>
            <w:tcW w:w="3870" w:type="dxa"/>
            <w:shd w:val="clear" w:color="auto" w:fill="FFFFFF" w:themeFill="background1"/>
            <w:noWrap/>
            <w:vAlign w:val="center"/>
          </w:tcPr>
          <w:p w14:paraId="520E2DDD" w14:textId="77777777" w:rsidR="00FF71B6" w:rsidRPr="00385482" w:rsidRDefault="00FF71B6" w:rsidP="00FF71B6">
            <w:pPr>
              <w:spacing w:before="60" w:after="60"/>
              <w:rPr>
                <w:rFonts w:ascii="Calibri" w:eastAsia="Times New Roman" w:hAnsi="Calibri" w:cs="Times New Roman"/>
                <w:strike/>
                <w:color w:val="000000"/>
                <w:sz w:val="20"/>
                <w:szCs w:val="22"/>
              </w:rPr>
            </w:pPr>
            <w:r w:rsidRPr="00385482">
              <w:rPr>
                <w:rFonts w:ascii="Calibri" w:eastAsia="Times New Roman" w:hAnsi="Calibri" w:cs="Times New Roman"/>
                <w:strike/>
                <w:color w:val="000000"/>
                <w:sz w:val="20"/>
                <w:szCs w:val="22"/>
              </w:rPr>
              <w:t xml:space="preserve">[2.13] Biennial survey of perceived consumer choice relative to experiences before the gTLD expansion (to be performed in conjunction with Consumer Trust survey suggested on page 8.  </w:t>
            </w:r>
          </w:p>
          <w:p w14:paraId="050256D3" w14:textId="77777777" w:rsidR="00FF71B6" w:rsidRDefault="00FF71B6" w:rsidP="00FF71B6">
            <w:pPr>
              <w:spacing w:before="60" w:after="60"/>
              <w:rPr>
                <w:rFonts w:ascii="Calibri" w:eastAsia="Times New Roman" w:hAnsi="Calibri" w:cs="Times New Roman"/>
                <w:color w:val="000000"/>
                <w:sz w:val="20"/>
                <w:szCs w:val="22"/>
              </w:rPr>
            </w:pPr>
            <w:r w:rsidRPr="00385482">
              <w:rPr>
                <w:rFonts w:ascii="Calibri" w:eastAsia="Times New Roman" w:hAnsi="Calibri" w:cs="Times New Roman"/>
                <w:strike/>
                <w:color w:val="000000"/>
                <w:sz w:val="20"/>
                <w:szCs w:val="22"/>
              </w:rPr>
              <w:t>Survey should assess public awareness of new gTLDs.  Survey should also measure costs of defensive or duplicate registrations. Survey should assess motivations, intent, and satisfaction with new gTLDs.</w:t>
            </w:r>
          </w:p>
        </w:tc>
        <w:tc>
          <w:tcPr>
            <w:tcW w:w="1080" w:type="dxa"/>
            <w:shd w:val="clear" w:color="auto" w:fill="FFFFFF" w:themeFill="background1"/>
            <w:noWrap/>
            <w:vAlign w:val="center"/>
          </w:tcPr>
          <w:p w14:paraId="45C98078" w14:textId="77777777" w:rsidR="00FF71B6" w:rsidRDefault="00FF71B6" w:rsidP="00FF71B6">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00" w:type="dxa"/>
            <w:shd w:val="clear" w:color="auto" w:fill="FFFFFF" w:themeFill="background1"/>
            <w:vAlign w:val="center"/>
          </w:tcPr>
          <w:p w14:paraId="5E524EB0" w14:textId="77777777" w:rsidR="00FF71B6" w:rsidRDefault="00FF71B6" w:rsidP="00FF71B6">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14:paraId="16A1A0A3"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620" w:type="dxa"/>
            <w:shd w:val="clear" w:color="auto" w:fill="FFFFFF" w:themeFill="background1"/>
            <w:vAlign w:val="center"/>
          </w:tcPr>
          <w:p w14:paraId="519C59DE" w14:textId="77777777" w:rsidR="00FF71B6" w:rsidRDefault="00FF71B6" w:rsidP="00FF71B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c>
          <w:tcPr>
            <w:tcW w:w="3600" w:type="dxa"/>
            <w:shd w:val="clear" w:color="auto" w:fill="FFFFFF" w:themeFill="background1"/>
            <w:vAlign w:val="center"/>
          </w:tcPr>
          <w:p w14:paraId="63F8C19D" w14:textId="1D7E4EFC" w:rsidR="00385482" w:rsidRPr="00385482" w:rsidRDefault="00385482" w:rsidP="00385482">
            <w:pPr>
              <w:rPr>
                <w:rFonts w:asciiTheme="majorHAnsi" w:hAnsiTheme="majorHAnsi"/>
                <w:sz w:val="20"/>
                <w:szCs w:val="20"/>
              </w:rPr>
            </w:pPr>
            <w:r w:rsidRPr="00385482">
              <w:rPr>
                <w:rFonts w:asciiTheme="majorHAnsi" w:hAnsiTheme="majorHAnsi"/>
                <w:sz w:val="20"/>
                <w:szCs w:val="20"/>
              </w:rPr>
              <w:t>IAG-CCT members decided this metric was duplicative of metric 2.3: Biennial surveys of perceived consumer choice in DNS, relative to exper</w:t>
            </w:r>
            <w:r>
              <w:rPr>
                <w:rFonts w:asciiTheme="majorHAnsi" w:hAnsiTheme="majorHAnsi"/>
                <w:sz w:val="20"/>
                <w:szCs w:val="20"/>
              </w:rPr>
              <w:t xml:space="preserve">ience before the gTLD expansion and decided to exclude it from the recommendation. </w:t>
            </w:r>
          </w:p>
          <w:p w14:paraId="76306C84" w14:textId="68822600" w:rsidR="00FF71B6" w:rsidRDefault="00FF71B6" w:rsidP="00BD6809">
            <w:pPr>
              <w:spacing w:before="60" w:after="60"/>
              <w:rPr>
                <w:rFonts w:ascii="Calibri" w:eastAsia="Times New Roman" w:hAnsi="Calibri" w:cs="Times New Roman"/>
                <w:color w:val="000000"/>
                <w:sz w:val="20"/>
                <w:szCs w:val="22"/>
              </w:rPr>
            </w:pPr>
          </w:p>
        </w:tc>
      </w:tr>
      <w:tr w:rsidR="00FF71B6" w:rsidRPr="00AD5C36" w14:paraId="46C1AAB8" w14:textId="77777777" w:rsidTr="00660997">
        <w:tblPrEx>
          <w:shd w:val="clear" w:color="auto" w:fill="FFFFFF" w:themeFill="background1"/>
        </w:tblPrEx>
        <w:trPr>
          <w:trHeight w:val="690"/>
        </w:trPr>
        <w:tc>
          <w:tcPr>
            <w:tcW w:w="3870" w:type="dxa"/>
            <w:shd w:val="clear" w:color="auto" w:fill="FFFFFF" w:themeFill="background1"/>
            <w:noWrap/>
            <w:vAlign w:val="center"/>
          </w:tcPr>
          <w:p w14:paraId="72D10B42"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[2.14] DNS</w:t>
            </w:r>
            <w:r w:rsidRPr="00D341EB">
              <w:rPr>
                <w:rFonts w:ascii="Calibri" w:eastAsia="Times New Roman" w:hAnsi="Calibri" w:cs="Times New Roman"/>
                <w:color w:val="000000"/>
                <w:sz w:val="20"/>
                <w:szCs w:val="22"/>
              </w:rPr>
              <w:t xml:space="preserve"> 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w:t>
            </w:r>
            <w:r>
              <w:rPr>
                <w:rFonts w:ascii="Calibri" w:eastAsia="Times New Roman" w:hAnsi="Calibri" w:cs="Times New Roman"/>
                <w:color w:val="000000"/>
                <w:sz w:val="20"/>
                <w:szCs w:val="22"/>
              </w:rPr>
              <w:t>DNS</w:t>
            </w:r>
            <w:r w:rsidRPr="00D341EB">
              <w:rPr>
                <w:rFonts w:ascii="Calibri" w:eastAsia="Times New Roman" w:hAnsi="Calibri" w:cs="Times New Roman"/>
                <w:color w:val="000000"/>
                <w:sz w:val="20"/>
                <w:szCs w:val="22"/>
              </w:rPr>
              <w:t xml:space="preserve"> 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shd w:val="clear" w:color="auto" w:fill="FFFFFF" w:themeFill="background1"/>
            <w:noWrap/>
            <w:vAlign w:val="center"/>
          </w:tcPr>
          <w:p w14:paraId="58A9E20E" w14:textId="77777777" w:rsidR="00FF71B6" w:rsidRDefault="00FF71B6" w:rsidP="00FF71B6">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
        </w:tc>
        <w:tc>
          <w:tcPr>
            <w:tcW w:w="2700" w:type="dxa"/>
            <w:shd w:val="clear" w:color="auto" w:fill="FFFFFF" w:themeFill="background1"/>
            <w:vAlign w:val="center"/>
          </w:tcPr>
          <w:p w14:paraId="08520F54" w14:textId="77777777" w:rsidR="00FF71B6" w:rsidRDefault="00FF71B6" w:rsidP="00FF71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620" w:type="dxa"/>
            <w:shd w:val="clear" w:color="auto" w:fill="FFFFFF" w:themeFill="background1"/>
            <w:vAlign w:val="center"/>
          </w:tcPr>
          <w:p w14:paraId="4F22ADA1" w14:textId="77777777" w:rsidR="00FF71B6" w:rsidRDefault="00FF71B6" w:rsidP="00FF71B6">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c>
          <w:tcPr>
            <w:tcW w:w="3600" w:type="dxa"/>
            <w:shd w:val="clear" w:color="auto" w:fill="FFFFFF" w:themeFill="background1"/>
            <w:vAlign w:val="center"/>
          </w:tcPr>
          <w:p w14:paraId="006BE876" w14:textId="1B2AA04F" w:rsidR="00FF71B6" w:rsidRPr="00BD6809" w:rsidRDefault="00BD6809" w:rsidP="00BD6809">
            <w:pPr>
              <w:rPr>
                <w:rFonts w:asciiTheme="majorHAnsi" w:hAnsiTheme="majorHAnsi"/>
                <w:sz w:val="20"/>
                <w:szCs w:val="20"/>
              </w:rPr>
            </w:pPr>
            <w:r w:rsidRPr="00BD6809">
              <w:rPr>
                <w:rFonts w:asciiTheme="majorHAnsi" w:hAnsiTheme="majorHAnsi"/>
                <w:sz w:val="20"/>
                <w:szCs w:val="20"/>
              </w:rPr>
              <w:t>Measuring traffic in new gTLDs may require the purchase of third party data. Sampling traffic in particular TLDs may not offer an accurate picture of traffic in the DNS. Registry operators report on queries that the TLD receives. This may be one source for capturing the data. Multiple vendors offer access to more complete data sources on DNS traffic, though the price tag may vary. ICANN staff recommends the review team revisit this topic to determine the best source of data.</w:t>
            </w:r>
          </w:p>
        </w:tc>
      </w:tr>
    </w:tbl>
    <w:p w14:paraId="0EBF2300" w14:textId="77777777" w:rsidR="005F63A9" w:rsidRDefault="005F63A9" w:rsidP="007D0AF0">
      <w:pPr>
        <w:widowControl w:val="0"/>
        <w:autoSpaceDE w:val="0"/>
        <w:autoSpaceDN w:val="0"/>
        <w:adjustRightInd w:val="0"/>
        <w:ind w:left="720"/>
        <w:rPr>
          <w:rFonts w:ascii="Calibri" w:hAnsi="Calibri" w:cs="Calibri"/>
          <w:sz w:val="22"/>
          <w:szCs w:val="22"/>
        </w:rPr>
      </w:pPr>
    </w:p>
    <w:p w14:paraId="55AE60E2" w14:textId="77777777" w:rsidR="007D0AF0" w:rsidRDefault="007D0AF0" w:rsidP="00ED0485">
      <w:pPr>
        <w:widowControl w:val="0"/>
        <w:autoSpaceDE w:val="0"/>
        <w:autoSpaceDN w:val="0"/>
        <w:adjustRightInd w:val="0"/>
        <w:rPr>
          <w:rFonts w:ascii="Calibri" w:hAnsi="Calibri" w:cs="Calibri"/>
          <w:b/>
          <w:sz w:val="22"/>
          <w:szCs w:val="22"/>
        </w:rPr>
      </w:pPr>
    </w:p>
    <w:p w14:paraId="1DC7AC8C" w14:textId="77777777" w:rsidR="00553269" w:rsidRDefault="00553269">
      <w:pPr>
        <w:rPr>
          <w:rFonts w:ascii="Calibri" w:hAnsi="Calibri" w:cs="Calibri"/>
          <w:b/>
          <w:sz w:val="22"/>
          <w:szCs w:val="22"/>
        </w:rPr>
      </w:pPr>
      <w:r>
        <w:rPr>
          <w:rFonts w:ascii="Calibri" w:hAnsi="Calibri" w:cs="Calibri"/>
          <w:b/>
          <w:sz w:val="22"/>
          <w:szCs w:val="22"/>
        </w:rPr>
        <w:br w:type="page"/>
      </w:r>
    </w:p>
    <w:p w14:paraId="103346A9" w14:textId="77777777"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1A2A8608" w14:textId="77777777" w:rsidR="00553269" w:rsidRDefault="00553269" w:rsidP="00553269">
      <w:pPr>
        <w:widowControl w:val="0"/>
        <w:autoSpaceDE w:val="0"/>
        <w:autoSpaceDN w:val="0"/>
        <w:adjustRightInd w:val="0"/>
        <w:rPr>
          <w:rFonts w:ascii="Calibri" w:hAnsi="Calibri" w:cs="Calibri"/>
          <w:sz w:val="22"/>
          <w:szCs w:val="22"/>
        </w:rPr>
      </w:pPr>
    </w:p>
    <w:p w14:paraId="6C64A311" w14:textId="77777777"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6BD0ABEC" w14:textId="77777777" w:rsidR="00553269" w:rsidRDefault="00553269" w:rsidP="00ED0485">
      <w:pPr>
        <w:widowControl w:val="0"/>
        <w:autoSpaceDE w:val="0"/>
        <w:autoSpaceDN w:val="0"/>
        <w:adjustRightInd w:val="0"/>
        <w:rPr>
          <w:rFonts w:ascii="Calibri" w:hAnsi="Calibri" w:cs="Calibri"/>
          <w:b/>
          <w:sz w:val="22"/>
          <w:szCs w:val="22"/>
        </w:rPr>
      </w:pPr>
    </w:p>
    <w:p w14:paraId="3F607A8A" w14:textId="77777777"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7349D912" w14:textId="77777777" w:rsidR="005F63A9" w:rsidRDefault="005F63A9" w:rsidP="00553269">
      <w:pPr>
        <w:widowControl w:val="0"/>
        <w:autoSpaceDE w:val="0"/>
        <w:autoSpaceDN w:val="0"/>
        <w:adjustRightInd w:val="0"/>
        <w:rPr>
          <w:rFonts w:ascii="Calibri" w:hAnsi="Calibri" w:cs="Calibri"/>
          <w:sz w:val="22"/>
          <w:szCs w:val="22"/>
        </w:rPr>
      </w:pPr>
    </w:p>
    <w:tbl>
      <w:tblPr>
        <w:tblW w:w="127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gridCol w:w="3600"/>
      </w:tblGrid>
      <w:tr w:rsidR="0074510A" w:rsidRPr="0084344C" w14:paraId="6600FBB7" w14:textId="77777777" w:rsidTr="00660997">
        <w:trPr>
          <w:trHeight w:val="690"/>
          <w:tblHeader/>
        </w:trPr>
        <w:tc>
          <w:tcPr>
            <w:tcW w:w="3785" w:type="dxa"/>
            <w:shd w:val="clear" w:color="auto" w:fill="auto"/>
            <w:noWrap/>
            <w:vAlign w:val="center"/>
            <w:hideMark/>
          </w:tcPr>
          <w:p w14:paraId="731978AE" w14:textId="77777777" w:rsidR="0074510A" w:rsidRPr="0084344C" w:rsidRDefault="0074510A"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shd w:val="clear" w:color="auto" w:fill="auto"/>
            <w:noWrap/>
            <w:vAlign w:val="center"/>
            <w:hideMark/>
          </w:tcPr>
          <w:p w14:paraId="33378FD7" w14:textId="77777777" w:rsidR="0074510A" w:rsidRPr="00694981" w:rsidRDefault="0074510A"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59602D8" w14:textId="77777777" w:rsidR="0074510A" w:rsidRDefault="0074510A"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14:paraId="16F80D36" w14:textId="77777777" w:rsidR="0074510A" w:rsidRDefault="0074510A"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1F8418" w14:textId="77777777" w:rsidR="0074510A" w:rsidRPr="0084344C" w:rsidRDefault="0074510A"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c>
          <w:tcPr>
            <w:tcW w:w="3600" w:type="dxa"/>
            <w:vAlign w:val="center"/>
          </w:tcPr>
          <w:p w14:paraId="651B5E63" w14:textId="7F07F3DC" w:rsidR="0074510A" w:rsidRDefault="0074510A" w:rsidP="00F337B8">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IAG-CCT </w:t>
            </w:r>
            <w:r w:rsidR="00F337B8">
              <w:rPr>
                <w:rFonts w:ascii="Calibri" w:eastAsia="Times New Roman" w:hAnsi="Calibri" w:cs="Times New Roman"/>
                <w:b/>
                <w:color w:val="000000"/>
                <w:sz w:val="20"/>
                <w:szCs w:val="22"/>
              </w:rPr>
              <w:t>Recommendations</w:t>
            </w:r>
          </w:p>
        </w:tc>
      </w:tr>
      <w:tr w:rsidR="0074510A" w:rsidRPr="00AD5C36" w14:paraId="52A91784" w14:textId="77777777" w:rsidTr="00660997">
        <w:trPr>
          <w:trHeight w:val="690"/>
        </w:trPr>
        <w:tc>
          <w:tcPr>
            <w:tcW w:w="3785" w:type="dxa"/>
            <w:shd w:val="clear" w:color="auto" w:fill="auto"/>
            <w:noWrap/>
            <w:vAlign w:val="center"/>
            <w:hideMark/>
          </w:tcPr>
          <w:p w14:paraId="4EC59011" w14:textId="77777777" w:rsidR="0074510A" w:rsidRPr="00AD5C36" w:rsidRDefault="0074510A"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total </w:t>
            </w:r>
            <w:r w:rsidRPr="0084344C">
              <w:rPr>
                <w:rFonts w:ascii="Calibri" w:eastAsia="Times New Roman" w:hAnsi="Calibri" w:cs="Times New Roman"/>
                <w:color w:val="000000"/>
                <w:sz w:val="20"/>
                <w:szCs w:val="22"/>
              </w:rPr>
              <w:t xml:space="preserve">TLDs </w:t>
            </w:r>
            <w:r>
              <w:rPr>
                <w:rFonts w:ascii="Calibri" w:eastAsia="Times New Roman" w:hAnsi="Calibri" w:cs="Times New Roman"/>
                <w:color w:val="000000"/>
                <w:sz w:val="20"/>
                <w:szCs w:val="22"/>
              </w:rPr>
              <w:t>before</w:t>
            </w:r>
            <w:r w:rsidRPr="009D55E9">
              <w:rPr>
                <w:rFonts w:ascii="Calibri" w:eastAsia="Times New Roman" w:hAnsi="Calibri" w:cs="Times New Roman"/>
                <w:color w:val="000000"/>
                <w:sz w:val="20"/>
                <w:szCs w:val="22"/>
                <w:vertAlign w:val="superscript"/>
              </w:rPr>
              <w:t>1</w:t>
            </w:r>
            <w:r>
              <w:rPr>
                <w:rFonts w:ascii="Calibri" w:eastAsia="Times New Roman" w:hAnsi="Calibri" w:cs="Times New Roman"/>
                <w:color w:val="000000"/>
                <w:sz w:val="20"/>
                <w:szCs w:val="22"/>
              </w:rPr>
              <w:t xml:space="preserve"> and after expansion, assuming that gTLDs and ccTLDs generally compete for the same registrants.  </w:t>
            </w:r>
          </w:p>
        </w:tc>
        <w:tc>
          <w:tcPr>
            <w:tcW w:w="1080" w:type="dxa"/>
            <w:shd w:val="clear" w:color="auto" w:fill="auto"/>
            <w:noWrap/>
            <w:vAlign w:val="center"/>
            <w:hideMark/>
          </w:tcPr>
          <w:p w14:paraId="0C34CE4C" w14:textId="77777777" w:rsidR="0074510A" w:rsidRPr="00AD5C36" w:rsidRDefault="0074510A"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0DADF39" w14:textId="77777777" w:rsidR="0074510A" w:rsidRDefault="0074510A"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47B26E97" w14:textId="77777777" w:rsidR="0074510A" w:rsidRPr="00AD5C36" w:rsidRDefault="0074510A"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(311</w:t>
            </w:r>
            <w:r>
              <w:rPr>
                <w:rStyle w:val="EndnoteReference"/>
                <w:rFonts w:ascii="Calibri" w:eastAsia="Times New Roman" w:hAnsi="Calibri" w:cs="Times New Roman"/>
                <w:color w:val="000000"/>
                <w:sz w:val="20"/>
                <w:szCs w:val="22"/>
              </w:rPr>
              <w:endnoteReference w:id="2"/>
            </w:r>
            <w:r>
              <w:rPr>
                <w:rFonts w:ascii="Calibri" w:eastAsia="Times New Roman" w:hAnsi="Calibri" w:cs="Times New Roman"/>
                <w:color w:val="000000"/>
                <w:sz w:val="20"/>
                <w:szCs w:val="22"/>
              </w:rPr>
              <w:t>)</w:t>
            </w:r>
          </w:p>
        </w:tc>
        <w:tc>
          <w:tcPr>
            <w:tcW w:w="3600" w:type="dxa"/>
            <w:vAlign w:val="center"/>
          </w:tcPr>
          <w:p w14:paraId="23496B60" w14:textId="6F233CF3" w:rsidR="0074510A" w:rsidRDefault="00F337B8"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74510A" w:rsidRPr="00AD5C36" w14:paraId="72646477" w14:textId="77777777" w:rsidTr="00660997">
        <w:trPr>
          <w:trHeight w:val="690"/>
        </w:trPr>
        <w:tc>
          <w:tcPr>
            <w:tcW w:w="3785" w:type="dxa"/>
            <w:shd w:val="clear" w:color="auto" w:fill="auto"/>
            <w:noWrap/>
            <w:vAlign w:val="center"/>
            <w:hideMark/>
          </w:tcPr>
          <w:p w14:paraId="3BF81465" w14:textId="77777777" w:rsidR="0074510A" w:rsidRPr="00AD5C36" w:rsidRDefault="0074510A"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of g</w:t>
            </w:r>
            <w:r w:rsidRPr="0084344C">
              <w:rPr>
                <w:rFonts w:ascii="Calibri" w:eastAsia="Times New Roman" w:hAnsi="Calibri" w:cs="Times New Roman"/>
                <w:color w:val="000000"/>
                <w:sz w:val="20"/>
                <w:szCs w:val="22"/>
              </w:rPr>
              <w:t>TLDs</w:t>
            </w:r>
            <w:r w:rsidRPr="009D55E9">
              <w:rPr>
                <w:rFonts w:ascii="Calibri" w:eastAsia="Times New Roman" w:hAnsi="Calibri" w:cs="Times New Roman"/>
                <w:color w:val="000000"/>
                <w:sz w:val="20"/>
                <w:szCs w:val="22"/>
                <w:vertAlign w:val="superscript"/>
              </w:rPr>
              <w:t>2</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before and after expansion.  </w:t>
            </w:r>
          </w:p>
        </w:tc>
        <w:tc>
          <w:tcPr>
            <w:tcW w:w="1080" w:type="dxa"/>
            <w:shd w:val="clear" w:color="auto" w:fill="auto"/>
            <w:noWrap/>
            <w:vAlign w:val="center"/>
            <w:hideMark/>
          </w:tcPr>
          <w:p w14:paraId="373340AE" w14:textId="77777777" w:rsidR="0074510A" w:rsidRPr="00AD5C36" w:rsidRDefault="0074510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444532D2" w14:textId="77777777" w:rsidR="0074510A" w:rsidRDefault="0074510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2DBB7370" w14:textId="77777777" w:rsidR="0074510A" w:rsidRPr="00AD5C36" w:rsidRDefault="0074510A"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10x over 2011 (18</w:t>
            </w:r>
            <w:r>
              <w:rPr>
                <w:rStyle w:val="EndnoteReference"/>
                <w:rFonts w:ascii="Calibri" w:eastAsia="Times New Roman" w:hAnsi="Calibri" w:cs="Times New Roman"/>
                <w:color w:val="000000"/>
                <w:sz w:val="20"/>
                <w:szCs w:val="22"/>
              </w:rPr>
              <w:endnoteReference w:id="3"/>
            </w:r>
            <w:r>
              <w:rPr>
                <w:rFonts w:ascii="Calibri" w:eastAsia="Times New Roman" w:hAnsi="Calibri" w:cs="Times New Roman"/>
                <w:color w:val="000000"/>
                <w:sz w:val="20"/>
                <w:szCs w:val="22"/>
              </w:rPr>
              <w:t>)</w:t>
            </w:r>
          </w:p>
        </w:tc>
        <w:tc>
          <w:tcPr>
            <w:tcW w:w="3600" w:type="dxa"/>
            <w:vAlign w:val="center"/>
          </w:tcPr>
          <w:p w14:paraId="0B485EAA" w14:textId="35E62433" w:rsidR="0074510A" w:rsidRDefault="00F337B8"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74510A" w:rsidRPr="00AD5C36" w14:paraId="7E108CA0" w14:textId="77777777" w:rsidTr="00660997">
        <w:trPr>
          <w:trHeight w:val="690"/>
        </w:trPr>
        <w:tc>
          <w:tcPr>
            <w:tcW w:w="3785" w:type="dxa"/>
            <w:shd w:val="clear" w:color="auto" w:fill="auto"/>
            <w:noWrap/>
            <w:vAlign w:val="center"/>
            <w:hideMark/>
          </w:tcPr>
          <w:p w14:paraId="106F18BA" w14:textId="77777777" w:rsidR="0074510A" w:rsidRPr="00AD5C36" w:rsidRDefault="0074510A"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unique gTLD </w:t>
            </w:r>
            <w:r w:rsidRPr="0003326B">
              <w:rPr>
                <w:rFonts w:ascii="Calibri" w:eastAsia="Times New Roman" w:hAnsi="Calibri" w:cs="Times New Roman"/>
                <w:i/>
                <w:color w:val="000000"/>
                <w:sz w:val="20"/>
                <w:szCs w:val="22"/>
              </w:rPr>
              <w:t>Registry</w:t>
            </w:r>
            <w:r w:rsidRPr="0084344C">
              <w:rPr>
                <w:rFonts w:ascii="Calibri" w:eastAsia="Times New Roman" w:hAnsi="Calibri" w:cs="Times New Roman"/>
                <w:color w:val="000000"/>
                <w:sz w:val="20"/>
                <w:szCs w:val="22"/>
              </w:rPr>
              <w:t xml:space="preserve"> </w:t>
            </w:r>
            <w:r w:rsidRPr="003E4ACC">
              <w:rPr>
                <w:rFonts w:ascii="Calibri" w:eastAsia="Times New Roman" w:hAnsi="Calibri" w:cs="Times New Roman"/>
                <w:i/>
                <w:color w:val="000000"/>
                <w:sz w:val="20"/>
                <w:szCs w:val="22"/>
              </w:rPr>
              <w:t>Operators</w:t>
            </w:r>
            <w:r w:rsidRPr="009D55E9">
              <w:rPr>
                <w:rFonts w:ascii="Calibri" w:eastAsia="Times New Roman" w:hAnsi="Calibri" w:cs="Times New Roman"/>
                <w:color w:val="000000"/>
                <w:sz w:val="20"/>
                <w:szCs w:val="22"/>
                <w:vertAlign w:val="superscript"/>
              </w:rPr>
              <w:t>3</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before and after expansion. </w:t>
            </w:r>
          </w:p>
        </w:tc>
        <w:tc>
          <w:tcPr>
            <w:tcW w:w="1080" w:type="dxa"/>
            <w:shd w:val="clear" w:color="auto" w:fill="auto"/>
            <w:noWrap/>
            <w:vAlign w:val="center"/>
            <w:hideMark/>
          </w:tcPr>
          <w:p w14:paraId="111455D7" w14:textId="77777777" w:rsidR="0074510A" w:rsidRPr="00AD5C36" w:rsidRDefault="0074510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2DCA68" w14:textId="77777777" w:rsidR="0074510A" w:rsidRDefault="0074510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BBAE58C" w14:textId="77777777" w:rsidR="0074510A" w:rsidRPr="00AD5C36" w:rsidRDefault="0074510A"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(14</w:t>
            </w:r>
            <w:r>
              <w:rPr>
                <w:rStyle w:val="EndnoteReference"/>
                <w:rFonts w:ascii="Calibri" w:eastAsia="Times New Roman" w:hAnsi="Calibri" w:cs="Times New Roman"/>
                <w:color w:val="000000"/>
                <w:sz w:val="20"/>
                <w:szCs w:val="22"/>
              </w:rPr>
              <w:endnoteReference w:id="4"/>
            </w:r>
            <w:r>
              <w:rPr>
                <w:rFonts w:ascii="Calibri" w:eastAsia="Times New Roman" w:hAnsi="Calibri" w:cs="Times New Roman"/>
                <w:color w:val="000000"/>
                <w:sz w:val="20"/>
                <w:szCs w:val="22"/>
              </w:rPr>
              <w:t>)</w:t>
            </w:r>
          </w:p>
        </w:tc>
        <w:tc>
          <w:tcPr>
            <w:tcW w:w="3600" w:type="dxa"/>
            <w:vAlign w:val="center"/>
          </w:tcPr>
          <w:p w14:paraId="4C053008" w14:textId="59077DFC" w:rsidR="0074510A" w:rsidRDefault="00F337B8"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74510A" w:rsidRPr="00AD5C36" w14:paraId="5E763661" w14:textId="77777777" w:rsidTr="00660997">
        <w:trPr>
          <w:trHeight w:val="690"/>
        </w:trPr>
        <w:tc>
          <w:tcPr>
            <w:tcW w:w="3785" w:type="dxa"/>
            <w:shd w:val="clear" w:color="auto" w:fill="auto"/>
            <w:noWrap/>
            <w:vAlign w:val="center"/>
            <w:hideMark/>
          </w:tcPr>
          <w:p w14:paraId="5BEFE1A4" w14:textId="77777777" w:rsidR="0074510A" w:rsidRPr="00AD5C36" w:rsidRDefault="0074510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unique gTLD </w:t>
            </w:r>
            <w:r w:rsidRPr="0003326B">
              <w:rPr>
                <w:rFonts w:ascii="Calibri" w:eastAsia="Times New Roman" w:hAnsi="Calibri" w:cs="Times New Roman"/>
                <w:i/>
                <w:color w:val="000000"/>
                <w:sz w:val="20"/>
                <w:szCs w:val="22"/>
              </w:rPr>
              <w:t xml:space="preserve">Registry </w:t>
            </w:r>
            <w:r w:rsidRPr="003E4ACC">
              <w:rPr>
                <w:rFonts w:ascii="Calibri" w:eastAsia="Times New Roman" w:hAnsi="Calibri" w:cs="Times New Roman"/>
                <w:i/>
                <w:color w:val="000000"/>
                <w:sz w:val="20"/>
                <w:szCs w:val="22"/>
              </w:rPr>
              <w:t>Service Providers</w:t>
            </w:r>
            <w:r w:rsidRPr="009D55E9">
              <w:rPr>
                <w:rFonts w:ascii="Calibri" w:eastAsia="Times New Roman" w:hAnsi="Calibri" w:cs="Times New Roman"/>
                <w:color w:val="000000"/>
                <w:sz w:val="20"/>
                <w:szCs w:val="22"/>
                <w:vertAlign w:val="superscript"/>
              </w:rPr>
              <w:t>4</w:t>
            </w:r>
            <w:r w:rsidRPr="003E4ACC">
              <w:rPr>
                <w:rFonts w:ascii="Calibri" w:eastAsia="Times New Roman" w:hAnsi="Calibri" w:cs="Times New Roman"/>
                <w:i/>
                <w:color w:val="000000"/>
                <w:sz w:val="20"/>
                <w:szCs w:val="22"/>
              </w:rPr>
              <w:t xml:space="preserve"> </w:t>
            </w:r>
            <w:r>
              <w:rPr>
                <w:rFonts w:ascii="Calibri" w:eastAsia="Times New Roman" w:hAnsi="Calibri" w:cs="Times New Roman"/>
                <w:color w:val="000000"/>
                <w:sz w:val="20"/>
                <w:szCs w:val="22"/>
              </w:rPr>
              <w:t>before and after expansion.  This measure should count only open gTLDs.</w:t>
            </w:r>
          </w:p>
        </w:tc>
        <w:tc>
          <w:tcPr>
            <w:tcW w:w="1080" w:type="dxa"/>
            <w:shd w:val="clear" w:color="auto" w:fill="auto"/>
            <w:noWrap/>
            <w:vAlign w:val="center"/>
            <w:hideMark/>
          </w:tcPr>
          <w:p w14:paraId="1CB032D0" w14:textId="77777777" w:rsidR="0074510A" w:rsidRPr="00AD5C36" w:rsidRDefault="0074510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and Ry Operators</w:t>
            </w:r>
          </w:p>
        </w:tc>
        <w:tc>
          <w:tcPr>
            <w:tcW w:w="2790" w:type="dxa"/>
            <w:vAlign w:val="center"/>
          </w:tcPr>
          <w:p w14:paraId="2E9A0E0F" w14:textId="77777777" w:rsidR="0074510A" w:rsidRDefault="0074510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671A2DA3" w14:textId="77777777" w:rsidR="0074510A" w:rsidRPr="00AD5C36" w:rsidRDefault="0074510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(6</w:t>
            </w:r>
            <w:r>
              <w:rPr>
                <w:rStyle w:val="EndnoteReference"/>
                <w:rFonts w:ascii="Calibri" w:eastAsia="Times New Roman" w:hAnsi="Calibri" w:cs="Times New Roman"/>
                <w:color w:val="000000"/>
                <w:sz w:val="20"/>
                <w:szCs w:val="22"/>
              </w:rPr>
              <w:endnoteReference w:id="5"/>
            </w:r>
            <w:r>
              <w:rPr>
                <w:rFonts w:ascii="Calibri" w:eastAsia="Times New Roman" w:hAnsi="Calibri" w:cs="Times New Roman"/>
                <w:color w:val="000000"/>
                <w:sz w:val="20"/>
                <w:szCs w:val="22"/>
              </w:rPr>
              <w:t>)</w:t>
            </w:r>
          </w:p>
        </w:tc>
        <w:tc>
          <w:tcPr>
            <w:tcW w:w="3600" w:type="dxa"/>
            <w:vAlign w:val="center"/>
          </w:tcPr>
          <w:p w14:paraId="7255BE66" w14:textId="0F791500" w:rsidR="0074510A" w:rsidRDefault="00F337B8"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74510A" w:rsidRPr="00AD5C36" w14:paraId="7F1F181C" w14:textId="77777777" w:rsidTr="00660997">
        <w:trPr>
          <w:trHeight w:val="690"/>
        </w:trPr>
        <w:tc>
          <w:tcPr>
            <w:tcW w:w="3785" w:type="dxa"/>
            <w:shd w:val="clear" w:color="auto" w:fill="auto"/>
            <w:noWrap/>
            <w:vAlign w:val="center"/>
            <w:hideMark/>
          </w:tcPr>
          <w:p w14:paraId="781113A8" w14:textId="77777777" w:rsidR="0074510A" w:rsidRPr="00AD5C36" w:rsidRDefault="0074510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Registrars</w:t>
            </w:r>
            <w:r w:rsidRPr="009D55E9">
              <w:rPr>
                <w:rFonts w:ascii="Calibri" w:eastAsia="Times New Roman" w:hAnsi="Calibri" w:cs="Times New Roman"/>
                <w:color w:val="000000"/>
                <w:sz w:val="20"/>
                <w:szCs w:val="22"/>
                <w:vertAlign w:val="superscript"/>
              </w:rPr>
              <w:t>5</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before and after expansion, along with indication of country where Registrar is based.  </w:t>
            </w:r>
            <w:r w:rsidRPr="00AB44EC">
              <w:rPr>
                <w:rFonts w:ascii="Calibri" w:eastAsia="Times New Roman" w:hAnsi="Calibri" w:cs="Times New Roman"/>
                <w:color w:val="000000" w:themeColor="text1"/>
                <w:sz w:val="20"/>
                <w:szCs w:val="22"/>
              </w:rPr>
              <w:t>This measure should count only registrars distributing Open gTLDs.</w:t>
            </w:r>
          </w:p>
        </w:tc>
        <w:tc>
          <w:tcPr>
            <w:tcW w:w="1080" w:type="dxa"/>
            <w:shd w:val="clear" w:color="auto" w:fill="auto"/>
            <w:noWrap/>
            <w:vAlign w:val="center"/>
            <w:hideMark/>
          </w:tcPr>
          <w:p w14:paraId="422C0DDD" w14:textId="77777777" w:rsidR="0074510A" w:rsidRPr="00AD5C36" w:rsidRDefault="0074510A"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F1CBE9D" w14:textId="77777777" w:rsidR="0074510A" w:rsidRDefault="0074510A"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7CC95304" w14:textId="77777777" w:rsidR="0074510A" w:rsidRDefault="0074510A"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14:paraId="5282B351" w14:textId="77777777" w:rsidR="0074510A" w:rsidRPr="00AD5C36" w:rsidRDefault="0074510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Pr>
                <w:rStyle w:val="EndnoteReference"/>
                <w:rFonts w:ascii="Calibri" w:eastAsia="Times New Roman" w:hAnsi="Calibri" w:cs="Times New Roman"/>
                <w:color w:val="000000"/>
                <w:sz w:val="20"/>
                <w:szCs w:val="22"/>
              </w:rPr>
              <w:endnoteReference w:id="6"/>
            </w:r>
            <w:r>
              <w:rPr>
                <w:rFonts w:ascii="Calibri" w:eastAsia="Times New Roman" w:hAnsi="Calibri" w:cs="Times New Roman"/>
                <w:color w:val="000000"/>
                <w:sz w:val="20"/>
                <w:szCs w:val="22"/>
              </w:rPr>
              <w:t>)</w:t>
            </w:r>
          </w:p>
        </w:tc>
        <w:tc>
          <w:tcPr>
            <w:tcW w:w="3600" w:type="dxa"/>
            <w:vAlign w:val="center"/>
          </w:tcPr>
          <w:p w14:paraId="7B2615CB" w14:textId="33275C6B" w:rsidR="0074510A" w:rsidRDefault="00F337B8"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74510A" w:rsidRPr="00AD5C36" w14:paraId="398122CA" w14:textId="77777777" w:rsidTr="00660997">
        <w:trPr>
          <w:trHeight w:val="690"/>
        </w:trPr>
        <w:tc>
          <w:tcPr>
            <w:tcW w:w="3785" w:type="dxa"/>
            <w:shd w:val="clear" w:color="auto" w:fill="auto"/>
            <w:noWrap/>
            <w:vAlign w:val="center"/>
            <w:hideMark/>
          </w:tcPr>
          <w:p w14:paraId="66ECE4AD" w14:textId="77777777" w:rsidR="0074510A" w:rsidRDefault="0074510A"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Relative share of new gTLD registrations held by “new entrants”.  For purposes of this measure, “new entrants” are gTLDs run by </w:t>
            </w:r>
            <w:r w:rsidRPr="0003326B">
              <w:rPr>
                <w:rFonts w:ascii="Calibri" w:eastAsia="Times New Roman" w:hAnsi="Calibri" w:cs="Times New Roman"/>
                <w:i/>
                <w:color w:val="000000"/>
                <w:sz w:val="20"/>
                <w:szCs w:val="22"/>
              </w:rPr>
              <w:t>Registry Operators</w:t>
            </w:r>
            <w:r>
              <w:rPr>
                <w:rFonts w:ascii="Calibri" w:eastAsia="Times New Roman" w:hAnsi="Calibri" w:cs="Times New Roman"/>
                <w:color w:val="000000"/>
                <w:sz w:val="20"/>
                <w:szCs w:val="22"/>
              </w:rPr>
              <w:t xml:space="preserve"> that did not operate a legacy gTLD.  A </w:t>
            </w:r>
            <w:r w:rsidRPr="006D6378">
              <w:rPr>
                <w:rFonts w:ascii="Calibri" w:eastAsia="Times New Roman" w:hAnsi="Calibri" w:cs="Times New Roman"/>
                <w:color w:val="000000"/>
                <w:sz w:val="20"/>
                <w:szCs w:val="22"/>
              </w:rPr>
              <w:t>"new entrant"</w:t>
            </w:r>
            <w:r>
              <w:rPr>
                <w:rFonts w:ascii="Calibri" w:eastAsia="Times New Roman" w:hAnsi="Calibri" w:cs="Times New Roman"/>
                <w:color w:val="000000"/>
                <w:sz w:val="20"/>
                <w:szCs w:val="22"/>
              </w:rPr>
              <w:t xml:space="preserve"> is </w:t>
            </w:r>
            <w:r w:rsidRPr="006D6378">
              <w:rPr>
                <w:rFonts w:ascii="Calibri" w:eastAsia="Times New Roman" w:hAnsi="Calibri" w:cs="Times New Roman"/>
                <w:color w:val="000000"/>
                <w:sz w:val="20"/>
                <w:szCs w:val="22"/>
              </w:rPr>
              <w:t xml:space="preserve">one whose </w:t>
            </w:r>
            <w:r>
              <w:rPr>
                <w:rFonts w:ascii="Calibri" w:eastAsia="Times New Roman" w:hAnsi="Calibri" w:cs="Times New Roman"/>
                <w:color w:val="000000"/>
                <w:sz w:val="20"/>
                <w:szCs w:val="22"/>
              </w:rPr>
              <w:t>ownership</w:t>
            </w:r>
            <w:r w:rsidRPr="006D6378">
              <w:rPr>
                <w:rFonts w:ascii="Calibri" w:eastAsia="Times New Roman" w:hAnsi="Calibri" w:cs="Times New Roman"/>
                <w:color w:val="000000"/>
                <w:sz w:val="20"/>
                <w:szCs w:val="22"/>
              </w:rPr>
              <w:t xml:space="preserve"> is not </w:t>
            </w:r>
            <w:r>
              <w:rPr>
                <w:rFonts w:ascii="Calibri" w:eastAsia="Times New Roman" w:hAnsi="Calibri" w:cs="Times New Roman"/>
                <w:color w:val="000000"/>
                <w:sz w:val="20"/>
                <w:szCs w:val="22"/>
              </w:rPr>
              <w:t xml:space="preserve">among owners of </w:t>
            </w:r>
            <w:r w:rsidRPr="006D6378">
              <w:rPr>
                <w:rFonts w:ascii="Calibri" w:eastAsia="Times New Roman" w:hAnsi="Calibri" w:cs="Times New Roman"/>
                <w:color w:val="000000"/>
                <w:sz w:val="20"/>
                <w:szCs w:val="22"/>
              </w:rPr>
              <w:t>legacy gTLD registries.</w:t>
            </w:r>
            <w:r>
              <w:rPr>
                <w:rFonts w:ascii="Calibri" w:eastAsia="Times New Roman" w:hAnsi="Calibri" w:cs="Times New Roman"/>
                <w:color w:val="000000"/>
                <w:sz w:val="20"/>
                <w:szCs w:val="22"/>
              </w:rPr>
              <w:t xml:space="preserve">  </w:t>
            </w:r>
          </w:p>
          <w:p w14:paraId="290DC074" w14:textId="77777777" w:rsidR="0074510A" w:rsidRPr="00AD5C36" w:rsidRDefault="0074510A" w:rsidP="00CE1F5C">
            <w:pPr>
              <w:spacing w:before="60" w:after="60"/>
              <w:rPr>
                <w:rFonts w:ascii="Calibri" w:eastAsia="Times New Roman" w:hAnsi="Calibri" w:cs="Times New Roman"/>
                <w:color w:val="000000"/>
                <w:sz w:val="20"/>
                <w:szCs w:val="22"/>
              </w:rPr>
            </w:pPr>
          </w:p>
        </w:tc>
        <w:tc>
          <w:tcPr>
            <w:tcW w:w="1080" w:type="dxa"/>
            <w:shd w:val="clear" w:color="auto" w:fill="auto"/>
            <w:noWrap/>
            <w:vAlign w:val="center"/>
            <w:hideMark/>
          </w:tcPr>
          <w:p w14:paraId="0F9CE26F" w14:textId="77777777" w:rsidR="0074510A" w:rsidRPr="00AD5C36" w:rsidRDefault="0074510A"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14:paraId="10A769F5" w14:textId="77777777" w:rsidR="0074510A" w:rsidRDefault="0074510A"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w:t>
            </w:r>
          </w:p>
        </w:tc>
        <w:tc>
          <w:tcPr>
            <w:tcW w:w="1530" w:type="dxa"/>
            <w:shd w:val="clear" w:color="auto" w:fill="auto"/>
            <w:vAlign w:val="center"/>
          </w:tcPr>
          <w:p w14:paraId="0198A73C" w14:textId="77777777" w:rsidR="0074510A" w:rsidRPr="00AD5C36" w:rsidRDefault="0074510A"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Pr>
                <w:rFonts w:ascii="Calibri" w:eastAsia="Times New Roman" w:hAnsi="Calibri" w:cs="Times New Roman"/>
                <w:color w:val="000000"/>
                <w:sz w:val="20"/>
                <w:szCs w:val="22"/>
              </w:rPr>
              <w:t>new gTLDs</w:t>
            </w:r>
          </w:p>
        </w:tc>
        <w:tc>
          <w:tcPr>
            <w:tcW w:w="3600" w:type="dxa"/>
            <w:vAlign w:val="center"/>
          </w:tcPr>
          <w:p w14:paraId="58546A5C" w14:textId="63ED5036" w:rsidR="0074510A" w:rsidRPr="006D6378" w:rsidRDefault="00111B41"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Metric is feasible and useful.</w:t>
            </w:r>
          </w:p>
        </w:tc>
      </w:tr>
      <w:tr w:rsidR="00312710" w:rsidRPr="00AD5C36" w14:paraId="5EF65360" w14:textId="77777777" w:rsidTr="00660997">
        <w:trPr>
          <w:trHeight w:val="690"/>
        </w:trPr>
        <w:tc>
          <w:tcPr>
            <w:tcW w:w="3785" w:type="dxa"/>
            <w:shd w:val="clear" w:color="auto" w:fill="auto"/>
            <w:noWrap/>
            <w:vAlign w:val="center"/>
          </w:tcPr>
          <w:p w14:paraId="2A207CBF" w14:textId="77777777" w:rsidR="00312710" w:rsidRDefault="00312710"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To assess competitive impact of new gTLDs, measure the quantity of second level registrations per gTLD and ccTLD on a weekly or other interval. TLD attributes should be noted with the data (i.e. open TLDs, closed keyword TLDs, registration, country of operations, single registrant, etc.). </w:t>
            </w:r>
          </w:p>
        </w:tc>
        <w:tc>
          <w:tcPr>
            <w:tcW w:w="1080" w:type="dxa"/>
            <w:shd w:val="clear" w:color="auto" w:fill="auto"/>
            <w:noWrap/>
            <w:vAlign w:val="center"/>
          </w:tcPr>
          <w:p w14:paraId="3B5E6B4D" w14:textId="77777777" w:rsidR="00312710" w:rsidRDefault="0031271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Zonefiles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14:paraId="3047407D" w14:textId="77777777" w:rsidR="00312710" w:rsidRDefault="00312710"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14:paraId="3881DB3F" w14:textId="77777777" w:rsidR="00312710" w:rsidRDefault="00312710"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c>
          <w:tcPr>
            <w:tcW w:w="3600" w:type="dxa"/>
            <w:vMerge w:val="restart"/>
            <w:vAlign w:val="center"/>
          </w:tcPr>
          <w:p w14:paraId="68C4BF93" w14:textId="5F246428" w:rsidR="00312710" w:rsidRPr="00312710" w:rsidRDefault="00312710" w:rsidP="00312710">
            <w:pPr>
              <w:rPr>
                <w:rFonts w:asciiTheme="majorHAnsi" w:hAnsiTheme="majorHAnsi"/>
                <w:sz w:val="20"/>
                <w:szCs w:val="20"/>
              </w:rPr>
            </w:pPr>
            <w:r w:rsidRPr="00312710">
              <w:rPr>
                <w:rFonts w:asciiTheme="majorHAnsi" w:hAnsiTheme="majorHAnsi"/>
                <w:sz w:val="20"/>
                <w:szCs w:val="20"/>
              </w:rPr>
              <w:t xml:space="preserve">While ICANN has access to zone files for gTLDs, there may be use restrictions for ccTLD zone files. With limitations on data available from ccTLDs IAG-CCT members acknowledged these metrics may prove challenging to gain a comprehensive picture of unique domain name registrations in the new gTLD space. Counting active domain name registrations may result in a clearer picture of rate of growth. </w:t>
            </w:r>
          </w:p>
        </w:tc>
      </w:tr>
      <w:tr w:rsidR="00312710" w:rsidRPr="00AD5C36" w14:paraId="03E7B181" w14:textId="77777777" w:rsidTr="00660997">
        <w:trPr>
          <w:trHeight w:val="690"/>
          <w:tblHeader/>
        </w:trPr>
        <w:tc>
          <w:tcPr>
            <w:tcW w:w="3785" w:type="dxa"/>
            <w:tcBorders>
              <w:bottom w:val="single" w:sz="4" w:space="0" w:color="auto"/>
            </w:tcBorders>
            <w:shd w:val="clear" w:color="auto" w:fill="auto"/>
            <w:noWrap/>
            <w:vAlign w:val="center"/>
          </w:tcPr>
          <w:p w14:paraId="2AE97613" w14:textId="77777777" w:rsidR="00312710" w:rsidRDefault="00312710"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Quantity of “unique” second level </w:t>
            </w:r>
            <w:r w:rsidRPr="00A3667F">
              <w:rPr>
                <w:rFonts w:ascii="Calibri" w:eastAsia="Times New Roman" w:hAnsi="Calibri" w:cs="Times New Roman"/>
                <w:color w:val="000000"/>
                <w:sz w:val="20"/>
                <w:szCs w:val="22"/>
              </w:rPr>
              <w:t>registrations in the new gTLD space where that same string</w:t>
            </w:r>
            <w:r>
              <w:rPr>
                <w:rFonts w:ascii="Calibri" w:eastAsia="Times New Roman" w:hAnsi="Calibri" w:cs="Times New Roman"/>
                <w:color w:val="000000"/>
                <w:sz w:val="20"/>
                <w:szCs w:val="22"/>
              </w:rPr>
              <w:t xml:space="preserve"> </w:t>
            </w:r>
            <w:r w:rsidRPr="00A3667F">
              <w:rPr>
                <w:rFonts w:ascii="Calibri" w:eastAsia="Times New Roman" w:hAnsi="Calibri" w:cs="Times New Roman"/>
                <w:color w:val="000000"/>
                <w:sz w:val="20"/>
                <w:szCs w:val="22"/>
              </w:rPr>
              <w:t>does not appear as a registration in any</w:t>
            </w:r>
            <w:r>
              <w:rPr>
                <w:rFonts w:ascii="Calibri" w:eastAsia="Times New Roman" w:hAnsi="Calibri" w:cs="Times New Roman"/>
                <w:color w:val="000000"/>
                <w:sz w:val="20"/>
                <w:szCs w:val="22"/>
              </w:rPr>
              <w:t xml:space="preserve"> other</w:t>
            </w:r>
            <w:r w:rsidRPr="00A3667F">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TLD on a weekly or other interval basis (data analyzed in conjunction with website traffic identified in Choice).  </w:t>
            </w:r>
            <w:r w:rsidRPr="00AB44EC">
              <w:rPr>
                <w:rFonts w:ascii="Calibri" w:eastAsia="Times New Roman" w:hAnsi="Calibri" w:cs="Times New Roman"/>
                <w:color w:val="000000" w:themeColor="text1"/>
                <w:sz w:val="20"/>
                <w:szCs w:val="22"/>
              </w:rPr>
              <w:t>Open gTLDs only.</w:t>
            </w:r>
          </w:p>
        </w:tc>
        <w:tc>
          <w:tcPr>
            <w:tcW w:w="1080" w:type="dxa"/>
            <w:tcBorders>
              <w:bottom w:val="single" w:sz="4" w:space="0" w:color="auto"/>
            </w:tcBorders>
            <w:shd w:val="clear" w:color="auto" w:fill="auto"/>
            <w:noWrap/>
            <w:vAlign w:val="center"/>
          </w:tcPr>
          <w:p w14:paraId="59637577" w14:textId="77777777" w:rsidR="00312710" w:rsidRDefault="0031271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Zonefiles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14:paraId="579E49C5" w14:textId="77777777" w:rsidR="00312710" w:rsidRDefault="00312710"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14:paraId="6E80E7DA" w14:textId="77777777" w:rsidR="00312710" w:rsidRDefault="00312710"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c>
          <w:tcPr>
            <w:tcW w:w="3600" w:type="dxa"/>
            <w:vMerge/>
            <w:tcBorders>
              <w:bottom w:val="single" w:sz="4" w:space="0" w:color="auto"/>
            </w:tcBorders>
            <w:vAlign w:val="center"/>
          </w:tcPr>
          <w:p w14:paraId="624B7581" w14:textId="12234267" w:rsidR="00312710" w:rsidRDefault="00312710" w:rsidP="00027D10">
            <w:pPr>
              <w:spacing w:before="60" w:after="60"/>
              <w:jc w:val="center"/>
              <w:rPr>
                <w:rFonts w:ascii="Calibri" w:eastAsia="Times New Roman" w:hAnsi="Calibri" w:cs="Times New Roman"/>
                <w:color w:val="000000"/>
                <w:sz w:val="20"/>
                <w:szCs w:val="22"/>
              </w:rPr>
            </w:pPr>
          </w:p>
        </w:tc>
      </w:tr>
      <w:tr w:rsidR="0074510A" w:rsidRPr="009B6223" w14:paraId="655B5293" w14:textId="77777777" w:rsidTr="00660997">
        <w:tblPrEx>
          <w:shd w:val="clear" w:color="auto" w:fill="FFFFFF" w:themeFill="background1"/>
        </w:tblPrEx>
        <w:trPr>
          <w:trHeight w:val="432"/>
        </w:trPr>
        <w:tc>
          <w:tcPr>
            <w:tcW w:w="12785" w:type="dxa"/>
            <w:gridSpan w:val="5"/>
            <w:shd w:val="clear" w:color="auto" w:fill="BFBFBF" w:themeFill="background1" w:themeFillShade="BF"/>
            <w:noWrap/>
            <w:vAlign w:val="center"/>
          </w:tcPr>
          <w:p w14:paraId="6A915AF5" w14:textId="77777777" w:rsidR="0074510A" w:rsidRPr="009D55E9" w:rsidRDefault="0074510A"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312710" w:rsidRPr="00AD5C36" w14:paraId="718A0258" w14:textId="77777777" w:rsidTr="00660997">
        <w:tblPrEx>
          <w:shd w:val="clear" w:color="auto" w:fill="FFFFFF" w:themeFill="background1"/>
        </w:tblPrEx>
        <w:trPr>
          <w:trHeight w:val="690"/>
        </w:trPr>
        <w:tc>
          <w:tcPr>
            <w:tcW w:w="3785" w:type="dxa"/>
            <w:shd w:val="clear" w:color="auto" w:fill="FFFFFF" w:themeFill="background1"/>
            <w:noWrap/>
            <w:vAlign w:val="center"/>
            <w:hideMark/>
          </w:tcPr>
          <w:p w14:paraId="7B7BCEFB" w14:textId="77777777" w:rsidR="00312710" w:rsidRPr="00AD5C36" w:rsidRDefault="00312710"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domains in 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TLD attributes should be noted with the data (i.e. open TLDs, closed keyword TLDs, country of operations, single registrant, etc.).</w:t>
            </w:r>
          </w:p>
        </w:tc>
        <w:tc>
          <w:tcPr>
            <w:tcW w:w="1080" w:type="dxa"/>
            <w:shd w:val="clear" w:color="auto" w:fill="FFFFFF" w:themeFill="background1"/>
            <w:noWrap/>
            <w:vAlign w:val="center"/>
            <w:hideMark/>
          </w:tcPr>
          <w:p w14:paraId="57C05D81" w14:textId="77777777" w:rsidR="00312710" w:rsidRPr="00AD5C36" w:rsidRDefault="0031271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&amp; Rr data gathered by 3rd Party Vendor</w:t>
            </w:r>
          </w:p>
        </w:tc>
        <w:tc>
          <w:tcPr>
            <w:tcW w:w="2790" w:type="dxa"/>
            <w:shd w:val="clear" w:color="auto" w:fill="FFFFFF" w:themeFill="background1"/>
            <w:vAlign w:val="center"/>
          </w:tcPr>
          <w:p w14:paraId="09D0147A" w14:textId="77777777" w:rsidR="00312710" w:rsidRDefault="0031271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14:paraId="0EAE5468" w14:textId="77777777" w:rsidR="00312710" w:rsidRDefault="00312710"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(see legal note in Appendix C)</w:t>
            </w:r>
          </w:p>
        </w:tc>
        <w:tc>
          <w:tcPr>
            <w:tcW w:w="1530" w:type="dxa"/>
            <w:shd w:val="clear" w:color="auto" w:fill="FFFFFF" w:themeFill="background1"/>
            <w:vAlign w:val="center"/>
          </w:tcPr>
          <w:p w14:paraId="50E8C337" w14:textId="77777777" w:rsidR="00312710" w:rsidRPr="00AD5C36" w:rsidRDefault="00312710"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c>
          <w:tcPr>
            <w:tcW w:w="3600" w:type="dxa"/>
            <w:vMerge w:val="restart"/>
            <w:shd w:val="clear" w:color="auto" w:fill="FFFFFF" w:themeFill="background1"/>
            <w:vAlign w:val="center"/>
          </w:tcPr>
          <w:p w14:paraId="0C95FFFB" w14:textId="162B5A28" w:rsidR="00312710" w:rsidRPr="00312710" w:rsidRDefault="00312710" w:rsidP="00312710">
            <w:pPr>
              <w:rPr>
                <w:rFonts w:asciiTheme="majorHAnsi" w:hAnsiTheme="majorHAnsi"/>
                <w:sz w:val="20"/>
                <w:szCs w:val="20"/>
              </w:rPr>
            </w:pPr>
            <w:r w:rsidRPr="00312710">
              <w:rPr>
                <w:rFonts w:asciiTheme="majorHAnsi" w:hAnsiTheme="majorHAnsi"/>
                <w:sz w:val="20"/>
                <w:szCs w:val="20"/>
              </w:rPr>
              <w:t xml:space="preserve">Metrics 3.9-3.11 were determined to require a third party’s economic analysis of wholesale and retail pricing in the new gTLD space, as well as other indicators of non-price-related competition indicators. Because pricing in the legacy gTLD space may shift with the introduction of new gTLD domain names, IAG-CCT members felt it was important to launch this study as soon as possible to ensure a sufficient baseline of data was available for comparison when new gTLD domain names become more prevalent online. </w:t>
            </w:r>
            <w:r w:rsidRPr="00312710">
              <w:rPr>
                <w:rFonts w:asciiTheme="majorHAnsi" w:hAnsiTheme="majorHAnsi" w:cs="Helvetica"/>
                <w:sz w:val="20"/>
                <w:szCs w:val="20"/>
                <w:shd w:val="clear" w:color="auto" w:fill="FFFFFF"/>
              </w:rPr>
              <w:t xml:space="preserve">The study will place high importance on confidentiality of pricing data, particularly as it relates to specific registries, to guard against the appearance of collusion, and to protect registries’ and registrars’ competitive positions. </w:t>
            </w:r>
            <w:r>
              <w:rPr>
                <w:rFonts w:asciiTheme="majorHAnsi" w:hAnsiTheme="majorHAnsi" w:cs="Helvetica"/>
                <w:sz w:val="20"/>
                <w:szCs w:val="20"/>
                <w:shd w:val="clear" w:color="auto" w:fill="FFFFFF"/>
              </w:rPr>
              <w:t xml:space="preserve">An RFP for a study vendor was released 8 September. The target date to launch the study is early November 2014. </w:t>
            </w:r>
          </w:p>
        </w:tc>
      </w:tr>
      <w:tr w:rsidR="00312710" w:rsidRPr="00AD5C36" w14:paraId="2ABF3C03" w14:textId="77777777" w:rsidTr="00660997">
        <w:tblPrEx>
          <w:shd w:val="clear" w:color="auto" w:fill="FFFFFF" w:themeFill="background1"/>
        </w:tblPrEx>
        <w:trPr>
          <w:trHeight w:val="690"/>
        </w:trPr>
        <w:tc>
          <w:tcPr>
            <w:tcW w:w="3785" w:type="dxa"/>
            <w:shd w:val="clear" w:color="auto" w:fill="FFFFFF" w:themeFill="background1"/>
            <w:noWrap/>
            <w:vAlign w:val="center"/>
            <w:hideMark/>
          </w:tcPr>
          <w:p w14:paraId="5688D2B8" w14:textId="77777777" w:rsidR="00312710" w:rsidRPr="00AD5C36" w:rsidRDefault="00312710"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Pr>
                <w:rFonts w:ascii="Calibri" w:eastAsia="Times New Roman" w:hAnsi="Calibri" w:cs="Times New Roman"/>
                <w:color w:val="000000"/>
                <w:sz w:val="20"/>
                <w:szCs w:val="22"/>
              </w:rPr>
              <w:t xml:space="preserve">domains in 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to the general public.   TLD attributes should be noted with the data (i.e. open TLDs, closed keyword TLDs, country of operations, single registrant, etc.).</w:t>
            </w:r>
          </w:p>
        </w:tc>
        <w:tc>
          <w:tcPr>
            <w:tcW w:w="1080" w:type="dxa"/>
            <w:shd w:val="clear" w:color="auto" w:fill="FFFFFF" w:themeFill="background1"/>
            <w:noWrap/>
            <w:vAlign w:val="center"/>
            <w:hideMark/>
          </w:tcPr>
          <w:p w14:paraId="5A08B449" w14:textId="77777777" w:rsidR="00312710" w:rsidRPr="00AD5C36" w:rsidRDefault="0031271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Ry &amp; Rr data gathered by 3rd Party Vendor</w:t>
            </w:r>
          </w:p>
        </w:tc>
        <w:tc>
          <w:tcPr>
            <w:tcW w:w="2790" w:type="dxa"/>
            <w:shd w:val="clear" w:color="auto" w:fill="FFFFFF" w:themeFill="background1"/>
            <w:vAlign w:val="center"/>
          </w:tcPr>
          <w:p w14:paraId="1AF92D63" w14:textId="77777777" w:rsidR="00312710" w:rsidRDefault="0031271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14:paraId="644EF2C6" w14:textId="77777777" w:rsidR="00312710" w:rsidRDefault="00312710"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C) </w:t>
            </w:r>
          </w:p>
        </w:tc>
        <w:tc>
          <w:tcPr>
            <w:tcW w:w="1530" w:type="dxa"/>
            <w:shd w:val="clear" w:color="auto" w:fill="FFFFFF" w:themeFill="background1"/>
            <w:vAlign w:val="center"/>
          </w:tcPr>
          <w:p w14:paraId="43C47E88" w14:textId="77777777" w:rsidR="00312710" w:rsidRPr="00AD5C36" w:rsidRDefault="0031271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c>
          <w:tcPr>
            <w:tcW w:w="3600" w:type="dxa"/>
            <w:vMerge/>
            <w:shd w:val="clear" w:color="auto" w:fill="FFFFFF" w:themeFill="background1"/>
            <w:vAlign w:val="center"/>
          </w:tcPr>
          <w:p w14:paraId="6436F0C2" w14:textId="526B1558" w:rsidR="00312710" w:rsidRDefault="00312710" w:rsidP="00BA3DBF">
            <w:pPr>
              <w:spacing w:before="60" w:after="60"/>
              <w:jc w:val="center"/>
              <w:rPr>
                <w:rFonts w:ascii="Calibri" w:eastAsia="Times New Roman" w:hAnsi="Calibri" w:cs="Times New Roman"/>
                <w:color w:val="000000"/>
                <w:sz w:val="20"/>
                <w:szCs w:val="22"/>
              </w:rPr>
            </w:pPr>
          </w:p>
        </w:tc>
      </w:tr>
      <w:tr w:rsidR="00312710" w:rsidRPr="00AD5C36" w14:paraId="40DD1D7E" w14:textId="77777777" w:rsidTr="00660997">
        <w:tblPrEx>
          <w:shd w:val="clear" w:color="auto" w:fill="FFFFFF" w:themeFill="background1"/>
        </w:tblPrEx>
        <w:trPr>
          <w:trHeight w:val="690"/>
        </w:trPr>
        <w:tc>
          <w:tcPr>
            <w:tcW w:w="3785" w:type="dxa"/>
            <w:shd w:val="clear" w:color="auto" w:fill="FFFFFF" w:themeFill="background1"/>
            <w:noWrap/>
            <w:vAlign w:val="center"/>
          </w:tcPr>
          <w:p w14:paraId="056E0A66" w14:textId="77777777" w:rsidR="00312710" w:rsidRPr="00217937" w:rsidRDefault="00312710" w:rsidP="00034BA0">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r>
              <w:rPr>
                <w:rFonts w:ascii="Calibri" w:eastAsia="Times New Roman" w:hAnsi="Calibri" w:cs="Times New Roman"/>
                <w:color w:val="000000"/>
                <w:sz w:val="20"/>
                <w:szCs w:val="22"/>
              </w:rPr>
              <w:t xml:space="preserve"> </w:t>
            </w:r>
            <w:r w:rsidRPr="00C62C95">
              <w:rPr>
                <w:rFonts w:ascii="Calibri" w:eastAsia="Times New Roman" w:hAnsi="Calibri" w:cs="Times New Roman"/>
                <w:color w:val="000000"/>
                <w:sz w:val="20"/>
                <w:szCs w:val="22"/>
              </w:rPr>
              <w:t xml:space="preserve">non-price </w:t>
            </w:r>
            <w:r>
              <w:rPr>
                <w:rFonts w:ascii="Calibri" w:eastAsia="Times New Roman" w:hAnsi="Calibri" w:cs="Times New Roman"/>
                <w:color w:val="000000"/>
                <w:sz w:val="20"/>
                <w:szCs w:val="22"/>
              </w:rPr>
              <w:t xml:space="preserve">indicia of </w:t>
            </w:r>
            <w:r w:rsidRPr="00C62C95">
              <w:rPr>
                <w:rFonts w:ascii="Calibri" w:eastAsia="Times New Roman" w:hAnsi="Calibri" w:cs="Times New Roman"/>
                <w:color w:val="000000"/>
                <w:sz w:val="20"/>
                <w:szCs w:val="22"/>
              </w:rPr>
              <w:t>competition through innovations that benefit registrants and users, particularly for new market</w:t>
            </w:r>
            <w:r>
              <w:rPr>
                <w:rFonts w:ascii="Calibri" w:eastAsia="Times New Roman" w:hAnsi="Calibri" w:cs="Times New Roman"/>
                <w:color w:val="000000"/>
                <w:sz w:val="20"/>
                <w:szCs w:val="22"/>
              </w:rPr>
              <w:t>s</w:t>
            </w:r>
            <w:r w:rsidRPr="00C62C95">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14:paraId="69918D38" w14:textId="77777777" w:rsidR="00312710" w:rsidRDefault="0031271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14:paraId="0FE396F5" w14:textId="77777777" w:rsidR="00312710" w:rsidRDefault="00312710"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14:paraId="2922E0EA" w14:textId="77777777" w:rsidR="00312710" w:rsidRDefault="0031271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c>
          <w:tcPr>
            <w:tcW w:w="3600" w:type="dxa"/>
            <w:vMerge/>
            <w:shd w:val="clear" w:color="auto" w:fill="FFFFFF" w:themeFill="background1"/>
            <w:vAlign w:val="center"/>
          </w:tcPr>
          <w:p w14:paraId="3A1B356B" w14:textId="711EA39D" w:rsidR="00312710" w:rsidRDefault="00312710" w:rsidP="005F63A9">
            <w:pPr>
              <w:spacing w:before="60" w:after="60"/>
              <w:jc w:val="center"/>
              <w:rPr>
                <w:rFonts w:ascii="Calibri" w:eastAsia="Times New Roman" w:hAnsi="Calibri" w:cs="Times New Roman"/>
                <w:color w:val="000000"/>
                <w:sz w:val="20"/>
                <w:szCs w:val="22"/>
              </w:rPr>
            </w:pPr>
          </w:p>
        </w:tc>
      </w:tr>
    </w:tbl>
    <w:p w14:paraId="7DC13985" w14:textId="77777777" w:rsidR="005F63A9" w:rsidRDefault="005F63A9" w:rsidP="00553269">
      <w:pPr>
        <w:widowControl w:val="0"/>
        <w:autoSpaceDE w:val="0"/>
        <w:autoSpaceDN w:val="0"/>
        <w:adjustRightInd w:val="0"/>
        <w:rPr>
          <w:rFonts w:ascii="Calibri" w:hAnsi="Calibri" w:cs="Calibri"/>
          <w:sz w:val="22"/>
          <w:szCs w:val="22"/>
        </w:rPr>
      </w:pPr>
    </w:p>
    <w:p w14:paraId="78C89FD8" w14:textId="77777777" w:rsidR="00BC6C08" w:rsidRDefault="00BC6C08">
      <w:pPr>
        <w:rPr>
          <w:rFonts w:asciiTheme="majorHAnsi" w:hAnsiTheme="majorHAnsi"/>
          <w:b/>
          <w:sz w:val="22"/>
          <w:szCs w:val="22"/>
        </w:rPr>
      </w:pPr>
      <w:r>
        <w:rPr>
          <w:rFonts w:asciiTheme="majorHAnsi" w:hAnsiTheme="majorHAnsi"/>
          <w:b/>
          <w:sz w:val="22"/>
          <w:szCs w:val="22"/>
        </w:rPr>
        <w:br w:type="page"/>
      </w:r>
    </w:p>
    <w:p w14:paraId="43A91D7A" w14:textId="77777777"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t>Appendix A</w:t>
      </w:r>
    </w:p>
    <w:p w14:paraId="49DC9C79" w14:textId="77777777" w:rsidR="000812DC" w:rsidRDefault="000812DC">
      <w:pPr>
        <w:rPr>
          <w:rFonts w:asciiTheme="majorHAnsi" w:hAnsiTheme="majorHAnsi"/>
          <w:sz w:val="22"/>
          <w:szCs w:val="22"/>
        </w:rPr>
      </w:pPr>
    </w:p>
    <w:p w14:paraId="2F6BAEEA" w14:textId="7777777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5122227F" w14:textId="77777777" w:rsidR="008C345B" w:rsidRPr="00AE2198" w:rsidRDefault="008C345B" w:rsidP="008C345B">
      <w:pPr>
        <w:rPr>
          <w:rFonts w:asciiTheme="majorHAnsi" w:hAnsiTheme="majorHAnsi"/>
          <w:sz w:val="22"/>
          <w:szCs w:val="22"/>
        </w:rPr>
      </w:pPr>
    </w:p>
    <w:p w14:paraId="259233A9"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Zuck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14:paraId="74D4A5D8"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14:paraId="1CEB4C4D"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Berard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09DAF121"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Olivier Crepin-</w:t>
      </w:r>
      <w:r w:rsidRPr="00AE2198">
        <w:rPr>
          <w:rFonts w:asciiTheme="majorHAnsi" w:hAnsiTheme="majorHAnsi"/>
          <w:sz w:val="22"/>
          <w:szCs w:val="22"/>
        </w:rPr>
        <w:t>Leblond – ALAC</w:t>
      </w:r>
    </w:p>
    <w:p w14:paraId="2F613995"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14:paraId="3FEAE49E"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Carlos Dionisio Aguirre - NCA</w:t>
      </w:r>
    </w:p>
    <w:p w14:paraId="315152EC"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14:paraId="17E6F331" w14:textId="77777777"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14:paraId="120C4EE8"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7D3BE548"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Evan Leibovitch – ALAC</w:t>
      </w:r>
    </w:p>
    <w:p w14:paraId="7DD7F489" w14:textId="77777777"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14:paraId="60CD35DC"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Jonathan Robinson - RySG</w:t>
      </w:r>
    </w:p>
    <w:p w14:paraId="3B983022"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Tim Ruiz - RrSG</w:t>
      </w:r>
    </w:p>
    <w:p w14:paraId="587B61D1" w14:textId="77777777" w:rsidR="008C345B" w:rsidRDefault="008C345B" w:rsidP="00C71446">
      <w:pPr>
        <w:ind w:left="720"/>
        <w:rPr>
          <w:rFonts w:asciiTheme="majorHAnsi" w:hAnsiTheme="majorHAnsi"/>
          <w:sz w:val="22"/>
          <w:szCs w:val="22"/>
        </w:rPr>
      </w:pPr>
      <w:r w:rsidRPr="00AE2198">
        <w:rPr>
          <w:rFonts w:asciiTheme="majorHAnsi" w:hAnsiTheme="majorHAnsi"/>
          <w:sz w:val="22"/>
          <w:szCs w:val="22"/>
        </w:rPr>
        <w:t xml:space="preserve">Wendy Seltzer </w:t>
      </w:r>
      <w:r w:rsidR="00C72163">
        <w:rPr>
          <w:rFonts w:asciiTheme="majorHAnsi" w:hAnsiTheme="majorHAnsi"/>
          <w:sz w:val="22"/>
          <w:szCs w:val="22"/>
        </w:rPr>
        <w:t>–</w:t>
      </w:r>
      <w:r w:rsidRPr="00AE2198">
        <w:rPr>
          <w:rFonts w:asciiTheme="majorHAnsi" w:hAnsiTheme="majorHAnsi"/>
          <w:sz w:val="22"/>
          <w:szCs w:val="22"/>
        </w:rPr>
        <w:t xml:space="preserve"> NCSG</w:t>
      </w:r>
    </w:p>
    <w:p w14:paraId="1064641F" w14:textId="77777777" w:rsidR="00C72163" w:rsidRDefault="00C72163" w:rsidP="00C71446">
      <w:pPr>
        <w:ind w:left="720"/>
        <w:rPr>
          <w:rFonts w:asciiTheme="majorHAnsi" w:hAnsiTheme="majorHAnsi"/>
          <w:sz w:val="22"/>
          <w:szCs w:val="22"/>
        </w:rPr>
      </w:pPr>
      <w:r>
        <w:rPr>
          <w:rFonts w:asciiTheme="majorHAnsi" w:hAnsiTheme="majorHAnsi"/>
          <w:sz w:val="22"/>
          <w:szCs w:val="22"/>
        </w:rPr>
        <w:t xml:space="preserve">Mason Cole </w:t>
      </w:r>
      <w:r w:rsidR="00AB44EC">
        <w:rPr>
          <w:rFonts w:asciiTheme="majorHAnsi" w:hAnsiTheme="majorHAnsi"/>
          <w:sz w:val="22"/>
          <w:szCs w:val="22"/>
        </w:rPr>
        <w:t>–</w:t>
      </w:r>
      <w:r>
        <w:rPr>
          <w:rFonts w:asciiTheme="majorHAnsi" w:hAnsiTheme="majorHAnsi"/>
          <w:sz w:val="22"/>
          <w:szCs w:val="22"/>
        </w:rPr>
        <w:t xml:space="preserve"> RrSG</w:t>
      </w:r>
    </w:p>
    <w:p w14:paraId="7661C0E4" w14:textId="77777777" w:rsidR="00AB44EC" w:rsidRPr="00AE2198" w:rsidRDefault="00AB44EC" w:rsidP="00C71446">
      <w:pPr>
        <w:ind w:left="720"/>
        <w:rPr>
          <w:rFonts w:asciiTheme="majorHAnsi" w:hAnsiTheme="majorHAnsi"/>
          <w:sz w:val="22"/>
          <w:szCs w:val="22"/>
        </w:rPr>
      </w:pPr>
      <w:r>
        <w:rPr>
          <w:rFonts w:asciiTheme="majorHAnsi" w:hAnsiTheme="majorHAnsi"/>
          <w:sz w:val="22"/>
          <w:szCs w:val="22"/>
        </w:rPr>
        <w:t xml:space="preserve">Jeff Neuman </w:t>
      </w:r>
      <w:r w:rsidR="00BD723B">
        <w:rPr>
          <w:rFonts w:asciiTheme="majorHAnsi" w:hAnsiTheme="majorHAnsi"/>
          <w:sz w:val="22"/>
          <w:szCs w:val="22"/>
        </w:rPr>
        <w:t>–</w:t>
      </w:r>
      <w:r>
        <w:rPr>
          <w:rFonts w:asciiTheme="majorHAnsi" w:hAnsiTheme="majorHAnsi"/>
          <w:sz w:val="22"/>
          <w:szCs w:val="22"/>
        </w:rPr>
        <w:t xml:space="preserve"> RySG</w:t>
      </w:r>
    </w:p>
    <w:p w14:paraId="1F31DD8C" w14:textId="77777777" w:rsidR="008C345B" w:rsidRPr="00AE2198" w:rsidRDefault="008C345B" w:rsidP="008C345B">
      <w:pPr>
        <w:rPr>
          <w:rFonts w:asciiTheme="majorHAnsi" w:hAnsiTheme="majorHAnsi"/>
          <w:sz w:val="22"/>
          <w:szCs w:val="22"/>
        </w:rPr>
      </w:pPr>
    </w:p>
    <w:p w14:paraId="570CFAEE" w14:textId="77777777"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280369B5"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25FB1827"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14:paraId="2CDA4A04" w14:textId="77777777" w:rsidR="00904ACE" w:rsidRDefault="00904ACE" w:rsidP="008C345B">
      <w:pPr>
        <w:ind w:left="720"/>
        <w:rPr>
          <w:rFonts w:asciiTheme="majorHAnsi" w:hAnsiTheme="majorHAnsi"/>
          <w:sz w:val="22"/>
          <w:szCs w:val="22"/>
        </w:rPr>
      </w:pPr>
      <w:r>
        <w:rPr>
          <w:rFonts w:asciiTheme="majorHAnsi" w:hAnsiTheme="majorHAnsi"/>
          <w:sz w:val="22"/>
          <w:szCs w:val="22"/>
        </w:rPr>
        <w:t>Julie Hedlund</w:t>
      </w:r>
      <w:r w:rsidRPr="00AE2198">
        <w:rPr>
          <w:rFonts w:asciiTheme="majorHAnsi" w:hAnsiTheme="majorHAnsi"/>
          <w:sz w:val="22"/>
          <w:szCs w:val="22"/>
        </w:rPr>
        <w:t xml:space="preserve"> </w:t>
      </w:r>
    </w:p>
    <w:p w14:paraId="4D56379F" w14:textId="77777777"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14:paraId="7FA0A321"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br/>
        <w:t>Nathalie Peregrine</w:t>
      </w:r>
    </w:p>
    <w:p w14:paraId="509F170F" w14:textId="77777777"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14:paraId="02446DD9" w14:textId="77777777" w:rsidR="00C72163" w:rsidRDefault="008C345B" w:rsidP="00C72163">
      <w:pPr>
        <w:ind w:left="720"/>
        <w:rPr>
          <w:rFonts w:asciiTheme="majorHAnsi" w:hAnsiTheme="majorHAnsi"/>
          <w:sz w:val="22"/>
          <w:szCs w:val="22"/>
        </w:rPr>
      </w:pPr>
      <w:r w:rsidRPr="00AE2198">
        <w:rPr>
          <w:rFonts w:asciiTheme="majorHAnsi" w:hAnsiTheme="majorHAnsi"/>
          <w:sz w:val="22"/>
          <w:szCs w:val="22"/>
        </w:rPr>
        <w:t>Maguy Serad</w:t>
      </w:r>
    </w:p>
    <w:p w14:paraId="1636D7AE" w14:textId="77777777" w:rsidR="00904ACE" w:rsidRDefault="00904ACE" w:rsidP="009D55E9">
      <w:pPr>
        <w:rPr>
          <w:rFonts w:asciiTheme="majorHAnsi" w:hAnsiTheme="majorHAnsi"/>
          <w:sz w:val="22"/>
          <w:szCs w:val="22"/>
        </w:rPr>
      </w:pPr>
    </w:p>
    <w:p w14:paraId="50FCEA61" w14:textId="77777777" w:rsidR="00904ACE" w:rsidRPr="00AE2198" w:rsidRDefault="008F2392" w:rsidP="009D55E9">
      <w:pPr>
        <w:rPr>
          <w:rFonts w:asciiTheme="majorHAnsi" w:hAnsiTheme="majorHAnsi"/>
          <w:sz w:val="22"/>
          <w:szCs w:val="22"/>
        </w:rPr>
      </w:pPr>
      <w:hyperlink r:id="rId15"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14:paraId="11B8769D" w14:textId="77777777" w:rsidR="008C345B" w:rsidRPr="00AE2198" w:rsidRDefault="008C345B" w:rsidP="008C345B">
      <w:pPr>
        <w:rPr>
          <w:rFonts w:asciiTheme="majorHAnsi" w:hAnsiTheme="majorHAnsi"/>
          <w:sz w:val="22"/>
          <w:szCs w:val="22"/>
        </w:rPr>
      </w:pPr>
    </w:p>
    <w:p w14:paraId="6CAB23AC" w14:textId="77777777" w:rsidR="0033140F" w:rsidRDefault="0033140F">
      <w:pPr>
        <w:rPr>
          <w:sz w:val="22"/>
          <w:szCs w:val="22"/>
        </w:rPr>
      </w:pPr>
      <w:r>
        <w:rPr>
          <w:sz w:val="22"/>
          <w:szCs w:val="22"/>
        </w:rPr>
        <w:br w:type="page"/>
      </w:r>
    </w:p>
    <w:p w14:paraId="7C8477FD" w14:textId="77777777"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t>Appendix B</w:t>
      </w:r>
    </w:p>
    <w:p w14:paraId="00FC2484" w14:textId="77777777"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14:anchorId="53EAA25F" wp14:editId="6B6406E7">
                <wp:simplePos x="0" y="0"/>
                <wp:positionH relativeFrom="column">
                  <wp:posOffset>-227965</wp:posOffset>
                </wp:positionH>
                <wp:positionV relativeFrom="paragraph">
                  <wp:posOffset>228600</wp:posOffset>
                </wp:positionV>
                <wp:extent cx="5943600" cy="81038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03870"/>
                        </a:xfrm>
                        <a:prstGeom prst="rect">
                          <a:avLst/>
                        </a:prstGeom>
                        <a:noFill/>
                        <a:ln>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50306E" w14:textId="77777777" w:rsidR="00F337B8" w:rsidRPr="000C15A2" w:rsidRDefault="00F337B8"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4D5EAE59" w14:textId="77777777" w:rsidR="00F337B8" w:rsidRPr="0096023F" w:rsidRDefault="00F337B8"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45363A0" w14:textId="77777777" w:rsidR="00F337B8" w:rsidRPr="0096023F" w:rsidRDefault="00F337B8"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E21BC0E" w14:textId="77777777" w:rsidR="00F337B8" w:rsidRPr="0096023F" w:rsidRDefault="00F337B8"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7F383122" w14:textId="77777777" w:rsidR="00F337B8" w:rsidRPr="0096023F" w:rsidRDefault="00F337B8"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14:paraId="29C1F391" w14:textId="77777777" w:rsidR="00F337B8" w:rsidRDefault="00F337B8"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10A9D23A" w14:textId="77777777" w:rsidR="00F337B8" w:rsidRPr="000C15A2" w:rsidRDefault="00F337B8"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5DF2B8A9" w14:textId="77777777" w:rsidR="00F337B8" w:rsidRPr="000C15A2" w:rsidRDefault="00F337B8"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43A31113" w14:textId="77777777" w:rsidR="00F337B8" w:rsidRDefault="00F337B8"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61D2CC09" w14:textId="77777777" w:rsidR="00F337B8" w:rsidRDefault="00F337B8" w:rsidP="0028276F">
                            <w:pPr>
                              <w:numPr>
                                <w:ilvl w:val="0"/>
                                <w:numId w:val="15"/>
                              </w:numPr>
                              <w:spacing w:before="60"/>
                              <w:rPr>
                                <w:sz w:val="20"/>
                              </w:rPr>
                            </w:pPr>
                            <w:r w:rsidRPr="00A75B04">
                              <w:rPr>
                                <w:sz w:val="20"/>
                                <w:szCs w:val="20"/>
                              </w:rPr>
                              <w:t xml:space="preserve">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6EEA4FB5" w14:textId="77777777" w:rsidR="00F337B8" w:rsidRDefault="00F337B8"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2E00B5CF" w14:textId="77777777" w:rsidR="00F337B8" w:rsidRPr="00A75B04" w:rsidRDefault="00F337B8" w:rsidP="0028276F">
                            <w:pPr>
                              <w:numPr>
                                <w:ilvl w:val="0"/>
                                <w:numId w:val="15"/>
                              </w:numPr>
                              <w:spacing w:before="60"/>
                              <w:rPr>
                                <w:sz w:val="20"/>
                                <w:szCs w:val="20"/>
                              </w:rPr>
                            </w:pPr>
                            <w:r w:rsidRPr="00A75B04">
                              <w:rPr>
                                <w:sz w:val="20"/>
                                <w:szCs w:val="20"/>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6C4BA522" w14:textId="77777777" w:rsidR="00F337B8" w:rsidRPr="00A75B04" w:rsidRDefault="00F337B8"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EAA25F" id="_x0000_t202" coordsize="21600,21600" o:spt="202" path="m,l,21600r21600,l21600,xe">
                <v:stroke joinstyle="miter"/>
                <v:path gradientshapeok="t" o:connecttype="rect"/>
              </v:shapetype>
              <v:shape id="Text Box 2" o:spid="_x0000_s1026" type="#_x0000_t202" style="position:absolute;left:0;text-align:left;margin-left:-17.95pt;margin-top:18pt;width:468pt;height:6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" filled="f" strokecolor="#a5a5a5 [2092]">
                <v:path arrowok="t"/>
                <v:textbox style="mso-fit-shape-to-text:t">
                  <w:txbxContent>
                    <w:p w14:paraId="0650306E" w14:textId="77777777" w:rsidR="00F337B8" w:rsidRPr="000C15A2" w:rsidRDefault="00F337B8"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4D5EAE59" w14:textId="77777777" w:rsidR="00F337B8" w:rsidRPr="0096023F" w:rsidRDefault="00F337B8"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45363A0" w14:textId="77777777" w:rsidR="00F337B8" w:rsidRPr="0096023F" w:rsidRDefault="00F337B8"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E21BC0E" w14:textId="77777777" w:rsidR="00F337B8" w:rsidRPr="0096023F" w:rsidRDefault="00F337B8"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7F383122" w14:textId="77777777" w:rsidR="00F337B8" w:rsidRPr="0096023F" w:rsidRDefault="00F337B8"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14:paraId="29C1F391" w14:textId="77777777" w:rsidR="00F337B8" w:rsidRDefault="00F337B8"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10A9D23A" w14:textId="77777777" w:rsidR="00F337B8" w:rsidRPr="000C15A2" w:rsidRDefault="00F337B8"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5DF2B8A9" w14:textId="77777777" w:rsidR="00F337B8" w:rsidRPr="000C15A2" w:rsidRDefault="00F337B8"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43A31113" w14:textId="77777777" w:rsidR="00F337B8" w:rsidRDefault="00F337B8"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61D2CC09" w14:textId="77777777" w:rsidR="00F337B8" w:rsidRDefault="00F337B8" w:rsidP="0028276F">
                      <w:pPr>
                        <w:numPr>
                          <w:ilvl w:val="0"/>
                          <w:numId w:val="15"/>
                        </w:numPr>
                        <w:spacing w:before="60"/>
                        <w:rPr>
                          <w:sz w:val="20"/>
                        </w:rPr>
                      </w:pPr>
                      <w:r w:rsidRPr="00A75B04">
                        <w:rPr>
                          <w:sz w:val="20"/>
                          <w:szCs w:val="20"/>
                        </w:rPr>
                        <w:t xml:space="preserve">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6EEA4FB5" w14:textId="77777777" w:rsidR="00F337B8" w:rsidRDefault="00F337B8"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2E00B5CF" w14:textId="77777777" w:rsidR="00F337B8" w:rsidRPr="00A75B04" w:rsidRDefault="00F337B8" w:rsidP="0028276F">
                      <w:pPr>
                        <w:numPr>
                          <w:ilvl w:val="0"/>
                          <w:numId w:val="15"/>
                        </w:numPr>
                        <w:spacing w:before="60"/>
                        <w:rPr>
                          <w:sz w:val="20"/>
                          <w:szCs w:val="20"/>
                        </w:rPr>
                      </w:pPr>
                      <w:r w:rsidRPr="00A75B04">
                        <w:rPr>
                          <w:sz w:val="20"/>
                          <w:szCs w:val="20"/>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6C4BA522" w14:textId="77777777" w:rsidR="00F337B8" w:rsidRPr="00A75B04" w:rsidRDefault="00F337B8" w:rsidP="0028276F">
                      <w:pPr>
                        <w:rPr>
                          <w:sz w:val="20"/>
                          <w:szCs w:val="20"/>
                        </w:rPr>
                      </w:pPr>
                    </w:p>
                  </w:txbxContent>
                </v:textbox>
                <w10:wrap type="square"/>
              </v:shape>
            </w:pict>
          </mc:Fallback>
        </mc:AlternateContent>
      </w:r>
    </w:p>
    <w:p w14:paraId="64119C51" w14:textId="77777777" w:rsidR="0028276F" w:rsidRDefault="0028276F">
      <w:pPr>
        <w:rPr>
          <w:rFonts w:asciiTheme="majorHAnsi" w:hAnsiTheme="majorHAnsi"/>
          <w:b/>
          <w:sz w:val="22"/>
          <w:szCs w:val="22"/>
        </w:rPr>
      </w:pPr>
    </w:p>
    <w:p w14:paraId="12A6AA65" w14:textId="77777777"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14:paraId="1EE390E7" w14:textId="77777777" w:rsidR="003E644D" w:rsidRDefault="003E644D" w:rsidP="0033140F">
      <w:pPr>
        <w:rPr>
          <w:rFonts w:asciiTheme="majorHAnsi" w:hAnsiTheme="majorHAnsi"/>
          <w:sz w:val="22"/>
          <w:szCs w:val="22"/>
        </w:rPr>
      </w:pPr>
    </w:p>
    <w:p w14:paraId="1B3AA7D7" w14:textId="77777777"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14:paraId="3445A63E" w14:textId="77777777" w:rsidR="00B731B2" w:rsidRDefault="00B731B2" w:rsidP="0033140F">
      <w:pPr>
        <w:rPr>
          <w:rFonts w:asciiTheme="majorHAnsi" w:hAnsiTheme="majorHAnsi"/>
          <w:b/>
          <w:sz w:val="22"/>
          <w:szCs w:val="22"/>
        </w:rPr>
      </w:pPr>
    </w:p>
    <w:p w14:paraId="6F0768C5" w14:textId="77777777"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14:paraId="0A4B3C04" w14:textId="77777777"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14:paraId="034A0F0B"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14:paraId="4B2FC534"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02AD3C2E"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14:paraId="4AEA647C"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14:paraId="1D1DD699" w14:textId="77777777"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14:paraId="1CBE6521" w14:textId="77777777" w:rsidR="00B731B2" w:rsidRDefault="00B731B2" w:rsidP="00B731B2">
      <w:pPr>
        <w:rPr>
          <w:rFonts w:asciiTheme="majorHAnsi" w:hAnsiTheme="majorHAnsi"/>
          <w:sz w:val="20"/>
          <w:szCs w:val="22"/>
        </w:rPr>
      </w:pPr>
    </w:p>
    <w:p w14:paraId="4F3A69A5" w14:textId="77777777"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14:paraId="0EF3C3CC" w14:textId="77777777" w:rsidR="00017BF3" w:rsidRDefault="00017BF3" w:rsidP="00B731B2">
      <w:pPr>
        <w:rPr>
          <w:rFonts w:asciiTheme="majorHAnsi" w:hAnsiTheme="majorHAnsi"/>
          <w:i/>
          <w:sz w:val="22"/>
          <w:szCs w:val="22"/>
        </w:rPr>
      </w:pPr>
    </w:p>
    <w:p w14:paraId="38AB2F51" w14:textId="77777777"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14:paraId="1A4317D6" w14:textId="77777777" w:rsidR="006B7041" w:rsidRDefault="006B7041">
      <w:pPr>
        <w:rPr>
          <w:rFonts w:asciiTheme="majorHAnsi" w:hAnsiTheme="majorHAnsi"/>
          <w:sz w:val="20"/>
          <w:szCs w:val="22"/>
        </w:rPr>
      </w:pPr>
      <w:r>
        <w:rPr>
          <w:rFonts w:asciiTheme="majorHAnsi" w:hAnsiTheme="majorHAnsi"/>
          <w:sz w:val="20"/>
          <w:szCs w:val="22"/>
        </w:rPr>
        <w:br w:type="page"/>
      </w:r>
    </w:p>
    <w:p w14:paraId="1AF62551" w14:textId="77777777" w:rsidR="004C083C" w:rsidRPr="00D53025" w:rsidRDefault="0028276F" w:rsidP="004C083C">
      <w:pPr>
        <w:jc w:val="center"/>
        <w:rPr>
          <w:rFonts w:asciiTheme="majorHAnsi" w:hAnsiTheme="majorHAnsi"/>
          <w:b/>
          <w:sz w:val="22"/>
          <w:szCs w:val="22"/>
        </w:rPr>
      </w:pPr>
      <w:r>
        <w:rPr>
          <w:rFonts w:asciiTheme="majorHAnsi" w:hAnsiTheme="majorHAnsi"/>
          <w:b/>
          <w:sz w:val="22"/>
          <w:szCs w:val="22"/>
        </w:rPr>
        <w:t>Appendix D</w:t>
      </w:r>
    </w:p>
    <w:p w14:paraId="70024D38" w14:textId="77777777" w:rsidR="004C083C" w:rsidRDefault="004C083C" w:rsidP="004C083C">
      <w:pPr>
        <w:rPr>
          <w:rFonts w:asciiTheme="majorHAnsi" w:hAnsiTheme="majorHAnsi"/>
          <w:sz w:val="22"/>
          <w:szCs w:val="22"/>
        </w:rPr>
      </w:pPr>
    </w:p>
    <w:p w14:paraId="23595169" w14:textId="77777777"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14:paraId="3494EA8F" w14:textId="77777777" w:rsidR="004C083C" w:rsidRDefault="004C083C" w:rsidP="004C083C">
      <w:pPr>
        <w:rPr>
          <w:rFonts w:asciiTheme="majorHAnsi" w:hAnsiTheme="majorHAnsi"/>
          <w:b/>
          <w:sz w:val="22"/>
          <w:szCs w:val="22"/>
        </w:rPr>
      </w:pPr>
    </w:p>
    <w:p w14:paraId="4FF73961" w14:textId="77777777" w:rsidR="004C083C" w:rsidRDefault="004C083C" w:rsidP="004C083C">
      <w:pPr>
        <w:pStyle w:val="PlainText"/>
      </w:pPr>
      <w:r>
        <w:t>NCSG believes that many of the "Consumer Trust" metrics rely on a faulty premise, that gTLDs should be predictable, rather than open to innovative and unexpected new uses.</w:t>
      </w:r>
    </w:p>
    <w:p w14:paraId="5A611860" w14:textId="77777777" w:rsidR="004C083C" w:rsidRDefault="004C083C" w:rsidP="004C083C">
      <w:pPr>
        <w:pStyle w:val="PlainText"/>
      </w:pPr>
    </w:p>
    <w:p w14:paraId="59F1086B" w14:textId="77777777" w:rsidR="004C083C" w:rsidRDefault="004C083C" w:rsidP="004C083C">
      <w:pPr>
        <w:pStyle w:val="PlainText"/>
      </w:pPr>
      <w:r>
        <w:t>These metrics mistake a platform, a gTLD, for an end-product. A key value of a platform is its generativity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14:paraId="0EDCE025" w14:textId="77777777" w:rsidR="004C083C" w:rsidRDefault="004C083C" w:rsidP="004C083C">
      <w:pPr>
        <w:pStyle w:val="PlainText"/>
      </w:pPr>
    </w:p>
    <w:p w14:paraId="4A8F94CD" w14:textId="77777777"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14:paraId="014C6082" w14:textId="77777777" w:rsidR="004C083C" w:rsidRDefault="004C083C" w:rsidP="004C083C">
      <w:pPr>
        <w:pStyle w:val="PlainText"/>
      </w:pPr>
      <w:r>
        <w:t>activities.</w:t>
      </w:r>
    </w:p>
    <w:p w14:paraId="6A1EFB25" w14:textId="77777777" w:rsidR="004C083C" w:rsidRDefault="004C083C" w:rsidP="004C083C">
      <w:pPr>
        <w:pStyle w:val="PlainText"/>
      </w:pPr>
    </w:p>
    <w:p w14:paraId="4195A2D1" w14:textId="77777777" w:rsidR="004C083C" w:rsidRDefault="004C083C" w:rsidP="004C083C">
      <w:pPr>
        <w:pStyle w:val="PlainText"/>
      </w:pPr>
      <w:r>
        <w:t>ICANN's planned reviews of and targets for gTLD success should not interfere with market decisions about the utility of various offerings.</w:t>
      </w:r>
    </w:p>
    <w:p w14:paraId="24941234" w14:textId="77777777" w:rsidR="004C083C" w:rsidRDefault="004C083C" w:rsidP="004C083C">
      <w:pPr>
        <w:pStyle w:val="PlainText"/>
      </w:pPr>
    </w:p>
    <w:p w14:paraId="5F8B2C68" w14:textId="77777777"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14:paraId="7933719D" w14:textId="77777777" w:rsidR="004C083C" w:rsidRDefault="004C083C" w:rsidP="004C083C">
      <w:pPr>
        <w:pStyle w:val="PlainText"/>
      </w:pPr>
    </w:p>
    <w:p w14:paraId="459A7A16" w14:textId="77777777" w:rsidR="004C083C" w:rsidRDefault="004C083C" w:rsidP="004C083C">
      <w:pPr>
        <w:pStyle w:val="PlainText"/>
      </w:pPr>
      <w:r>
        <w:t>Separately, NCSG disagrees with setting targets for the "redirection,"</w:t>
      </w:r>
    </w:p>
    <w:p w14:paraId="524A871E" w14:textId="77777777" w:rsidR="004C083C" w:rsidRDefault="004C083C" w:rsidP="004C083C">
      <w:pPr>
        <w:pStyle w:val="PlainText"/>
      </w:pPr>
      <w:r>
        <w:t>"duplicates," (2.10, 2.11) and "traffic" (2.15) measures. All of these presume that the use for new gTLDs is to provide the same type of service to different parties, while some might be used to provide different services to parties including existing registrants.</w:t>
      </w:r>
    </w:p>
    <w:p w14:paraId="102E5DAC" w14:textId="77777777" w:rsidR="00EF3E94" w:rsidRDefault="00EF3E94" w:rsidP="004C083C">
      <w:pPr>
        <w:pStyle w:val="PlainText"/>
      </w:pPr>
    </w:p>
    <w:p w14:paraId="5DCC45CE" w14:textId="77777777" w:rsidR="00D977C5" w:rsidRDefault="00D977C5" w:rsidP="004C083C">
      <w:pPr>
        <w:rPr>
          <w:rFonts w:asciiTheme="majorHAnsi" w:hAnsiTheme="majorHAnsi"/>
          <w:sz w:val="22"/>
          <w:szCs w:val="22"/>
        </w:rPr>
      </w:pPr>
    </w:p>
    <w:p w14:paraId="009EE421" w14:textId="77777777" w:rsidR="00AB44EC" w:rsidRDefault="00AB44EC">
      <w:pPr>
        <w:rPr>
          <w:rFonts w:asciiTheme="majorHAnsi" w:hAnsiTheme="majorHAnsi"/>
          <w:b/>
          <w:sz w:val="22"/>
          <w:szCs w:val="22"/>
        </w:rPr>
      </w:pPr>
      <w:r>
        <w:rPr>
          <w:rFonts w:asciiTheme="majorHAnsi" w:hAnsiTheme="majorHAnsi"/>
          <w:b/>
          <w:sz w:val="22"/>
          <w:szCs w:val="22"/>
        </w:rPr>
        <w:br w:type="page"/>
      </w:r>
    </w:p>
    <w:p w14:paraId="6AA275DD" w14:textId="77777777" w:rsidR="00EF3E94" w:rsidRDefault="00EF3E94" w:rsidP="00EF3E94">
      <w:pPr>
        <w:rPr>
          <w:rFonts w:asciiTheme="majorHAnsi" w:hAnsiTheme="majorHAnsi"/>
          <w:b/>
          <w:sz w:val="22"/>
          <w:szCs w:val="22"/>
        </w:rPr>
      </w:pPr>
      <w:r>
        <w:rPr>
          <w:rFonts w:asciiTheme="majorHAnsi" w:hAnsiTheme="majorHAnsi"/>
          <w:b/>
          <w:sz w:val="22"/>
          <w:szCs w:val="22"/>
        </w:rPr>
        <w:t>The following is an email response to dissent position from Evan Leibovitch of ALAC:</w:t>
      </w:r>
    </w:p>
    <w:p w14:paraId="7590A21C" w14:textId="77777777" w:rsidR="00EF3E94" w:rsidRDefault="00EF3E94" w:rsidP="004C083C">
      <w:pPr>
        <w:rPr>
          <w:rFonts w:asciiTheme="majorHAnsi" w:hAnsiTheme="majorHAnsi"/>
          <w:sz w:val="22"/>
          <w:szCs w:val="22"/>
        </w:rPr>
      </w:pPr>
    </w:p>
    <w:p w14:paraId="48A7F705" w14:textId="77777777" w:rsidR="00EF3E94" w:rsidRPr="009D55E9" w:rsidRDefault="00EF3E94" w:rsidP="009D55E9">
      <w:pPr>
        <w:pStyle w:val="PlainText"/>
        <w:ind w:left="720"/>
        <w:rPr>
          <w:i/>
        </w:rPr>
      </w:pPr>
      <w:r w:rsidRPr="009D55E9">
        <w:rPr>
          <w:i/>
        </w:rPr>
        <w:t>On 12 August 2012 14:44, Wendy Seltzer &lt;</w:t>
      </w:r>
      <w:hyperlink r:id="rId16" w:tgtFrame="_blank" w:history="1">
        <w:r w:rsidRPr="009D55E9">
          <w:rPr>
            <w:i/>
          </w:rPr>
          <w:t>wendy@seltzer.com</w:t>
        </w:r>
      </w:hyperlink>
      <w:r w:rsidRPr="009D55E9">
        <w:rPr>
          <w:i/>
        </w:rPr>
        <w:t>&gt; wrote:</w:t>
      </w:r>
    </w:p>
    <w:p w14:paraId="6EBC558D" w14:textId="77777777"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r w:rsidRPr="009D55E9">
        <w:rPr>
          <w:i/>
        </w:rPr>
        <w:br/>
        <w:t>1.14, 1.15, 1.16, 1.17,1.18, 1.19, 1.20.  It is further inappropriate to</w:t>
      </w:r>
      <w:r w:rsidRPr="009D55E9">
        <w:rPr>
          <w:i/>
        </w:rPr>
        <w:br/>
        <w:t>use unverified complaints as a basis for metrics (1.9, 1.11, 1.20).</w:t>
      </w:r>
    </w:p>
    <w:p w14:paraId="4A2B0127" w14:textId="77777777" w:rsidR="00EF3E94" w:rsidRDefault="00EF3E94" w:rsidP="009D55E9">
      <w:pPr>
        <w:pStyle w:val="PlainText"/>
      </w:pPr>
      <w:r>
        <w:br/>
      </w:r>
      <w:r>
        <w:br/>
        <w:t>For what it's worth ....</w:t>
      </w:r>
      <w:r>
        <w:br/>
      </w:r>
      <w:r>
        <w:br/>
        <w:t>As many in this group know, I've been one of its more-cynical participants, and from the start 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(Having said that, I agree completely with Wendy that metrics  regarding unverified or unsubstantiated complaints should be assigned significantly less value than those that are proven, or preferably should be dropped entirely. Innocent until proven guilty, etc. A growth in complaints could simply indicate a growth in harassment of legitimate sites -- the "complaint" metrics would be useful if seen in this light, as a metric of harassment of registrants.)</w:t>
      </w:r>
      <w:r>
        <w:br/>
        <w:t> </w:t>
      </w:r>
    </w:p>
    <w:p w14:paraId="6ED8039E" w14:textId="77777777"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14:paraId="700FA50E" w14:textId="77777777" w:rsidR="00EF3E94" w:rsidRDefault="00EF3E94" w:rsidP="00AB44EC">
      <w:pPr>
        <w:pStyle w:val="PlainText"/>
      </w:pP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14:paraId="233BF037" w14:textId="77777777" w:rsidR="00AB44EC" w:rsidRDefault="004C083C" w:rsidP="00D53025">
      <w:pPr>
        <w:rPr>
          <w:rFonts w:asciiTheme="majorHAnsi" w:hAnsiTheme="majorHAnsi"/>
          <w:sz w:val="22"/>
          <w:szCs w:val="22"/>
        </w:rPr>
      </w:pPr>
      <w:r>
        <w:rPr>
          <w:rFonts w:asciiTheme="majorHAnsi" w:hAnsiTheme="majorHAnsi"/>
          <w:sz w:val="22"/>
          <w:szCs w:val="22"/>
        </w:rPr>
        <w:t xml:space="preserve"> </w:t>
      </w:r>
    </w:p>
    <w:p w14:paraId="4D7B37A2" w14:textId="77777777" w:rsidR="00AB44EC" w:rsidRPr="00874E5D" w:rsidRDefault="00AB44EC">
      <w:pPr>
        <w:rPr>
          <w:rFonts w:asciiTheme="majorHAnsi" w:hAnsiTheme="majorHAnsi"/>
          <w:sz w:val="22"/>
        </w:rPr>
      </w:pPr>
      <w:r w:rsidRPr="00874E5D">
        <w:rPr>
          <w:rFonts w:asciiTheme="majorHAnsi" w:hAnsiTheme="majorHAnsi"/>
          <w:sz w:val="22"/>
        </w:rPr>
        <w:br w:type="page"/>
      </w:r>
    </w:p>
    <w:p w14:paraId="0B1230E6" w14:textId="77777777" w:rsidR="00D53025" w:rsidRPr="005F57B6" w:rsidRDefault="006B7041" w:rsidP="00D53025">
      <w:pPr>
        <w:rPr>
          <w:rFonts w:asciiTheme="majorHAnsi" w:hAnsiTheme="majorHAnsi"/>
          <w:b/>
          <w:sz w:val="22"/>
          <w:szCs w:val="22"/>
        </w:rPr>
      </w:pPr>
      <w:r w:rsidRPr="005F57B6">
        <w:rPr>
          <w:rFonts w:asciiTheme="majorHAnsi" w:hAnsiTheme="majorHAnsi"/>
          <w:b/>
          <w:sz w:val="22"/>
          <w:szCs w:val="22"/>
        </w:rPr>
        <w:t>Endnotes</w:t>
      </w:r>
    </w:p>
    <w:sectPr w:rsidR="00D53025" w:rsidRPr="005F57B6" w:rsidSect="003C6070">
      <w:footerReference w:type="even" r:id="rId17"/>
      <w:footerReference w:type="default" r:id="rId18"/>
      <w:endnotePr>
        <w:numFmt w:val="decimal"/>
      </w:endnotePr>
      <w:pgSz w:w="15840" w:h="12240" w:orient="landscape"/>
      <w:pgMar w:top="1800" w:right="1440" w:bottom="18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16EC" w14:textId="77777777" w:rsidR="00F337B8" w:rsidRDefault="00F337B8" w:rsidP="002E7E35">
      <w:r>
        <w:separator/>
      </w:r>
    </w:p>
  </w:endnote>
  <w:endnote w:type="continuationSeparator" w:id="0">
    <w:p w14:paraId="0591F8CD" w14:textId="77777777" w:rsidR="00F337B8" w:rsidRDefault="00F337B8" w:rsidP="002E7E35">
      <w:r>
        <w:continuationSeparator/>
      </w:r>
    </w:p>
  </w:endnote>
  <w:endnote w:type="continuationNotice" w:id="1">
    <w:p w14:paraId="180E2D22" w14:textId="77777777" w:rsidR="00F337B8" w:rsidRDefault="00F337B8"/>
  </w:endnote>
  <w:endnote w:id="2">
    <w:p w14:paraId="6840EA05" w14:textId="77777777" w:rsidR="00F337B8" w:rsidRPr="000376DC" w:rsidRDefault="00F337B8"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IANA.org db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14:paraId="1D5EB85B" w14:textId="77777777" w:rsidR="00F337B8" w:rsidRPr="000376DC" w:rsidRDefault="00F337B8"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14:paraId="55D33C2C" w14:textId="77777777" w:rsidR="00F337B8" w:rsidRPr="000376DC" w:rsidRDefault="00F337B8"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.gov, .mil, .int</w:t>
      </w:r>
    </w:p>
    <w:p w14:paraId="23B837E8" w14:textId="77777777" w:rsidR="00F337B8" w:rsidRPr="000376DC" w:rsidRDefault="00F337B8"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14:paraId="6D45838A" w14:textId="77777777" w:rsidR="00F337B8" w:rsidRPr="006B7041" w:rsidRDefault="00F337B8"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.gov, .mil, .int</w:t>
      </w:r>
      <w:r>
        <w:rPr>
          <w:rFonts w:asciiTheme="majorHAnsi" w:hAnsiTheme="majorHAnsi"/>
          <w:sz w:val="20"/>
          <w:szCs w:val="20"/>
        </w:rPr>
        <w:t>, .edu, .arpa</w:t>
      </w:r>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F337B8" w:rsidRPr="005F57B6" w14:paraId="4AE1F68D" w14:textId="77777777" w:rsidTr="005F57B6">
        <w:tc>
          <w:tcPr>
            <w:tcW w:w="1620" w:type="dxa"/>
          </w:tcPr>
          <w:p w14:paraId="1ED4312F"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14:paraId="4D6F88DA"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ASIA</w:t>
            </w:r>
          </w:p>
        </w:tc>
      </w:tr>
      <w:tr w:rsidR="00F337B8" w:rsidRPr="005F57B6" w14:paraId="3B0CAE87" w14:textId="77777777" w:rsidTr="005F57B6">
        <w:tc>
          <w:tcPr>
            <w:tcW w:w="1620" w:type="dxa"/>
          </w:tcPr>
          <w:p w14:paraId="59BC5384"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14:paraId="28DCD60E"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CAT</w:t>
            </w:r>
          </w:p>
        </w:tc>
      </w:tr>
      <w:tr w:rsidR="00F337B8" w:rsidRPr="005F57B6" w14:paraId="6D72D1D0" w14:textId="77777777" w:rsidTr="005F57B6">
        <w:tc>
          <w:tcPr>
            <w:tcW w:w="1620" w:type="dxa"/>
          </w:tcPr>
          <w:p w14:paraId="709049E8"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14:paraId="6A703374"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COOP</w:t>
            </w:r>
          </w:p>
        </w:tc>
      </w:tr>
      <w:tr w:rsidR="00F337B8" w:rsidRPr="005F57B6" w14:paraId="27A62AA7" w14:textId="77777777" w:rsidTr="005F57B6">
        <w:tc>
          <w:tcPr>
            <w:tcW w:w="1620" w:type="dxa"/>
          </w:tcPr>
          <w:p w14:paraId="68E80F3F" w14:textId="77777777" w:rsidR="00F337B8" w:rsidRPr="005F57B6" w:rsidRDefault="00F337B8" w:rsidP="00B720EC">
            <w:pPr>
              <w:pStyle w:val="EndnoteText"/>
              <w:rPr>
                <w:rFonts w:asciiTheme="majorHAnsi" w:hAnsiTheme="majorHAnsi"/>
                <w:sz w:val="20"/>
                <w:szCs w:val="20"/>
              </w:rPr>
            </w:pPr>
          </w:p>
        </w:tc>
        <w:tc>
          <w:tcPr>
            <w:tcW w:w="1530" w:type="dxa"/>
          </w:tcPr>
          <w:p w14:paraId="299DD94D"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INFO</w:t>
            </w:r>
          </w:p>
        </w:tc>
      </w:tr>
      <w:tr w:rsidR="00F337B8" w:rsidRPr="005F57B6" w14:paraId="1CE7A158" w14:textId="77777777" w:rsidTr="005F57B6">
        <w:tc>
          <w:tcPr>
            <w:tcW w:w="1620" w:type="dxa"/>
          </w:tcPr>
          <w:p w14:paraId="2CBF0DAE"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14:paraId="387C8ADA"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MOBI</w:t>
            </w:r>
          </w:p>
        </w:tc>
      </w:tr>
      <w:tr w:rsidR="00F337B8" w:rsidRPr="005F57B6" w14:paraId="7EF5B770" w14:textId="77777777" w:rsidTr="005F57B6">
        <w:tc>
          <w:tcPr>
            <w:tcW w:w="1620" w:type="dxa"/>
          </w:tcPr>
          <w:p w14:paraId="7D255FC4"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14:paraId="1DD7E841"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NAME</w:t>
            </w:r>
          </w:p>
        </w:tc>
      </w:tr>
      <w:tr w:rsidR="00F337B8" w:rsidRPr="005F57B6" w14:paraId="22F9EC97" w14:textId="77777777" w:rsidTr="005F57B6">
        <w:tc>
          <w:tcPr>
            <w:tcW w:w="1620" w:type="dxa"/>
          </w:tcPr>
          <w:p w14:paraId="338B3BE0"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14:paraId="7F84C156"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ORG</w:t>
            </w:r>
          </w:p>
        </w:tc>
      </w:tr>
      <w:tr w:rsidR="00F337B8" w:rsidRPr="005F57B6" w14:paraId="7DEC1BDF" w14:textId="77777777" w:rsidTr="005F57B6">
        <w:tc>
          <w:tcPr>
            <w:tcW w:w="1620" w:type="dxa"/>
          </w:tcPr>
          <w:p w14:paraId="68F62981"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14:paraId="46A33319"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TEL</w:t>
            </w:r>
          </w:p>
        </w:tc>
      </w:tr>
      <w:tr w:rsidR="00F337B8" w:rsidRPr="005F57B6" w14:paraId="72255042" w14:textId="77777777" w:rsidTr="005F57B6">
        <w:tc>
          <w:tcPr>
            <w:tcW w:w="1620" w:type="dxa"/>
          </w:tcPr>
          <w:p w14:paraId="65F63963"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14:paraId="32048313" w14:textId="77777777" w:rsidR="00F337B8" w:rsidRPr="005F57B6" w:rsidRDefault="00F337B8" w:rsidP="00B720EC">
            <w:pPr>
              <w:pStyle w:val="EndnoteText"/>
              <w:rPr>
                <w:rFonts w:asciiTheme="majorHAnsi" w:hAnsiTheme="majorHAnsi"/>
                <w:sz w:val="20"/>
                <w:szCs w:val="20"/>
              </w:rPr>
            </w:pPr>
            <w:r w:rsidRPr="005F57B6">
              <w:rPr>
                <w:rFonts w:asciiTheme="majorHAnsi" w:hAnsiTheme="majorHAnsi"/>
                <w:sz w:val="20"/>
                <w:szCs w:val="20"/>
              </w:rPr>
              <w:t>XXX</w:t>
            </w:r>
          </w:p>
        </w:tc>
      </w:tr>
    </w:tbl>
    <w:p w14:paraId="1C84E472" w14:textId="77777777" w:rsidR="00F337B8" w:rsidRPr="006B7041" w:rsidRDefault="00F337B8" w:rsidP="006B7041">
      <w:pPr>
        <w:pStyle w:val="EndnoteText"/>
        <w:rPr>
          <w:rFonts w:asciiTheme="majorHAnsi" w:hAnsiTheme="majorHAnsi"/>
          <w:sz w:val="20"/>
          <w:szCs w:val="20"/>
        </w:rPr>
      </w:pPr>
    </w:p>
  </w:endnote>
  <w:endnote w:id="4">
    <w:p w14:paraId="313CB59E" w14:textId="77777777" w:rsidR="00F337B8" w:rsidRPr="006B7041" w:rsidRDefault="00F337B8"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14:paraId="01103DD4"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14:paraId="67208FCE"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Telnic Ltd.</w:t>
      </w:r>
    </w:p>
    <w:p w14:paraId="6739CEF7"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NeuStar, Inc.</w:t>
      </w:r>
    </w:p>
    <w:p w14:paraId="2FC5CC13"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DotAsia Organisation Ltd.</w:t>
      </w:r>
    </w:p>
    <w:p w14:paraId="5232AF6C"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DotCooperation LLC</w:t>
      </w:r>
    </w:p>
    <w:p w14:paraId="7D8096C0" w14:textId="77777777" w:rsidR="00F337B8" w:rsidRDefault="00F337B8" w:rsidP="00A03F91">
      <w:pPr>
        <w:pStyle w:val="EndnoteText"/>
        <w:ind w:left="720"/>
        <w:rPr>
          <w:rFonts w:asciiTheme="majorHAnsi" w:hAnsiTheme="majorHAnsi"/>
          <w:sz w:val="20"/>
          <w:szCs w:val="20"/>
        </w:rPr>
      </w:pPr>
      <w:r w:rsidRPr="006B7041">
        <w:rPr>
          <w:rFonts w:asciiTheme="majorHAnsi" w:hAnsiTheme="majorHAnsi"/>
          <w:sz w:val="20"/>
          <w:szCs w:val="20"/>
        </w:rPr>
        <w:t>Afilias Limited</w:t>
      </w:r>
      <w:r>
        <w:rPr>
          <w:rFonts w:asciiTheme="majorHAnsi" w:hAnsiTheme="majorHAnsi"/>
          <w:sz w:val="20"/>
          <w:szCs w:val="20"/>
        </w:rPr>
        <w:t>***</w:t>
      </w:r>
    </w:p>
    <w:p w14:paraId="49243FC2" w14:textId="77777777" w:rsidR="00F337B8" w:rsidRPr="00B720EC" w:rsidRDefault="00F337B8" w:rsidP="00A03F91">
      <w:pPr>
        <w:pStyle w:val="EndnoteText"/>
        <w:ind w:left="720"/>
        <w:rPr>
          <w:rFonts w:asciiTheme="majorHAnsi" w:hAnsiTheme="majorHAnsi"/>
          <w:sz w:val="20"/>
          <w:szCs w:val="20"/>
        </w:rPr>
      </w:pPr>
      <w:r w:rsidRPr="00B720EC">
        <w:rPr>
          <w:rFonts w:asciiTheme="majorHAnsi" w:hAnsiTheme="majorHAnsi"/>
          <w:sz w:val="20"/>
          <w:szCs w:val="20"/>
        </w:rPr>
        <w:t>mTLD Top Level Domain Limited dba dotMobi</w:t>
      </w:r>
      <w:r>
        <w:rPr>
          <w:rFonts w:asciiTheme="majorHAnsi" w:hAnsiTheme="majorHAnsi"/>
          <w:sz w:val="20"/>
          <w:szCs w:val="20"/>
        </w:rPr>
        <w:t>***</w:t>
      </w:r>
    </w:p>
    <w:p w14:paraId="0EAEC0A2"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14:paraId="6120C172"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14:paraId="40AA0DE7"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14:paraId="56E42870"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Fundacio puntCAT</w:t>
      </w:r>
    </w:p>
    <w:p w14:paraId="09F04282"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Societe Internationale de Telecommunications Aeronautique (SITA INC USA)</w:t>
      </w:r>
    </w:p>
    <w:p w14:paraId="61342554" w14:textId="77777777" w:rsidR="00F337B8" w:rsidRPr="006B7041"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Tralliance Registry Management Company, LLC.</w:t>
      </w:r>
    </w:p>
    <w:p w14:paraId="2888F8E2" w14:textId="77777777" w:rsidR="00F337B8" w:rsidRDefault="00F337B8"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14:paraId="29C0C920" w14:textId="77777777" w:rsidR="00F337B8" w:rsidRPr="00B720EC" w:rsidRDefault="00F337B8"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dotMobi &amp; RegistryPro are wholly owned by Afilias.  However, the WG did not have time to determine the affiliate count for Registrars and to maintain consistency for this draft, dotMobi and RegistryPro will count as unique</w:t>
      </w:r>
    </w:p>
    <w:p w14:paraId="63F08DFD" w14:textId="77777777" w:rsidR="00F337B8" w:rsidRPr="006B7041" w:rsidRDefault="00F337B8" w:rsidP="009B6A90">
      <w:pPr>
        <w:pStyle w:val="EndnoteText"/>
        <w:ind w:left="720"/>
        <w:rPr>
          <w:rFonts w:asciiTheme="majorHAnsi" w:hAnsiTheme="majorHAnsi"/>
          <w:sz w:val="20"/>
          <w:szCs w:val="20"/>
        </w:rPr>
      </w:pPr>
    </w:p>
  </w:endnote>
  <w:endnote w:id="5">
    <w:p w14:paraId="1E841A0C" w14:textId="77777777" w:rsidR="00F337B8" w:rsidRPr="003204CA" w:rsidRDefault="00F337B8"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14:paraId="4CE810DB" w14:textId="77777777" w:rsidR="00F337B8" w:rsidRPr="003204CA" w:rsidRDefault="00F337B8"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14:paraId="7DDB7ADF" w14:textId="77777777" w:rsidR="00F337B8" w:rsidRPr="003204CA" w:rsidRDefault="00F337B8" w:rsidP="003204CA">
      <w:pPr>
        <w:pStyle w:val="EndnoteText"/>
        <w:ind w:left="720"/>
        <w:rPr>
          <w:rFonts w:asciiTheme="majorHAnsi" w:hAnsiTheme="majorHAnsi"/>
          <w:sz w:val="20"/>
          <w:szCs w:val="20"/>
        </w:rPr>
      </w:pPr>
      <w:r w:rsidRPr="003204CA">
        <w:rPr>
          <w:rFonts w:asciiTheme="majorHAnsi" w:hAnsiTheme="majorHAnsi"/>
          <w:sz w:val="20"/>
          <w:szCs w:val="20"/>
        </w:rPr>
        <w:t>Afilias Limited</w:t>
      </w:r>
    </w:p>
    <w:p w14:paraId="6805AAA1" w14:textId="77777777" w:rsidR="00F337B8" w:rsidRPr="003204CA" w:rsidRDefault="00F337B8" w:rsidP="003204CA">
      <w:pPr>
        <w:pStyle w:val="EndnoteText"/>
        <w:ind w:left="720"/>
        <w:rPr>
          <w:rFonts w:asciiTheme="majorHAnsi" w:hAnsiTheme="majorHAnsi"/>
          <w:sz w:val="20"/>
          <w:szCs w:val="20"/>
        </w:rPr>
      </w:pPr>
      <w:r w:rsidRPr="003204CA">
        <w:rPr>
          <w:rFonts w:asciiTheme="majorHAnsi" w:hAnsiTheme="majorHAnsi"/>
          <w:sz w:val="20"/>
          <w:szCs w:val="20"/>
        </w:rPr>
        <w:t>NeuStar, Inc.</w:t>
      </w:r>
    </w:p>
    <w:p w14:paraId="3C6FD8CD" w14:textId="77777777" w:rsidR="00F337B8" w:rsidRPr="003204CA" w:rsidRDefault="00F337B8"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14:paraId="29DD030C" w14:textId="77777777" w:rsidR="00F337B8" w:rsidRPr="003204CA" w:rsidRDefault="00F337B8"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14:paraId="1ECA9D48" w14:textId="77777777" w:rsidR="00F337B8" w:rsidRDefault="00F337B8" w:rsidP="003204CA">
      <w:pPr>
        <w:pStyle w:val="EndnoteText"/>
        <w:ind w:left="720"/>
        <w:rPr>
          <w:rFonts w:asciiTheme="majorHAnsi" w:hAnsiTheme="majorHAnsi"/>
          <w:sz w:val="20"/>
          <w:szCs w:val="20"/>
        </w:rPr>
      </w:pPr>
      <w:r w:rsidRPr="003204CA">
        <w:rPr>
          <w:rFonts w:asciiTheme="majorHAnsi" w:hAnsiTheme="majorHAnsi"/>
          <w:sz w:val="20"/>
          <w:szCs w:val="20"/>
        </w:rPr>
        <w:t>Midcounties Co-operative Domains Ltd</w:t>
      </w:r>
    </w:p>
    <w:p w14:paraId="5E00964A" w14:textId="77777777" w:rsidR="00F337B8" w:rsidRPr="003204CA" w:rsidRDefault="00F337B8" w:rsidP="003204CA">
      <w:pPr>
        <w:pStyle w:val="EndnoteText"/>
        <w:ind w:left="720"/>
        <w:rPr>
          <w:rFonts w:asciiTheme="majorHAnsi" w:hAnsiTheme="majorHAnsi"/>
          <w:sz w:val="20"/>
          <w:szCs w:val="20"/>
        </w:rPr>
      </w:pPr>
    </w:p>
  </w:endnote>
  <w:endnote w:id="6">
    <w:p w14:paraId="57928B7E" w14:textId="77777777" w:rsidR="00F337B8" w:rsidRPr="005F57B6" w:rsidRDefault="00F337B8"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14:paraId="2BFE4F38" w14:textId="77777777" w:rsidR="00F337B8" w:rsidRDefault="00F337B8"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14:paraId="5631E724" w14:textId="77777777" w:rsidR="00F337B8" w:rsidRPr="00B720EC" w:rsidRDefault="00F337B8"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C07A" w14:textId="77777777" w:rsidR="00F337B8" w:rsidRDefault="00F337B8"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EA8C4" w14:textId="77777777" w:rsidR="00F337B8" w:rsidRDefault="00F337B8"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A2D1" w14:textId="77777777" w:rsidR="00F337B8" w:rsidRPr="005F57B6" w:rsidRDefault="00F337B8" w:rsidP="002F50C3">
    <w:pPr>
      <w:pStyle w:val="Footer"/>
      <w:framePr w:wrap="around" w:vAnchor="text" w:hAnchor="page" w:x="13321" w:y="-83"/>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8F2392">
      <w:rPr>
        <w:rStyle w:val="PageNumber"/>
        <w:rFonts w:asciiTheme="majorHAnsi" w:hAnsiTheme="majorHAnsi"/>
        <w:noProof/>
        <w:sz w:val="22"/>
        <w:szCs w:val="22"/>
      </w:rPr>
      <w:t>1</w:t>
    </w:r>
    <w:r w:rsidRPr="005F57B6">
      <w:rPr>
        <w:rStyle w:val="PageNumber"/>
        <w:rFonts w:asciiTheme="majorHAnsi" w:hAnsiTheme="majorHAnsi"/>
        <w:sz w:val="22"/>
        <w:szCs w:val="22"/>
      </w:rPr>
      <w:fldChar w:fldCharType="end"/>
    </w:r>
  </w:p>
  <w:p w14:paraId="79DD2B60" w14:textId="4523BC49" w:rsidR="00F337B8" w:rsidRDefault="00F337B8" w:rsidP="002E7E35">
    <w:pPr>
      <w:pStyle w:val="Footer"/>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9B770" w14:textId="77777777" w:rsidR="00F337B8" w:rsidRDefault="00F337B8" w:rsidP="002E7E35">
      <w:r>
        <w:separator/>
      </w:r>
    </w:p>
  </w:footnote>
  <w:footnote w:type="continuationSeparator" w:id="0">
    <w:p w14:paraId="35D26A56" w14:textId="77777777" w:rsidR="00F337B8" w:rsidRDefault="00F337B8" w:rsidP="002E7E35">
      <w:r>
        <w:continuationSeparator/>
      </w:r>
    </w:p>
  </w:footnote>
  <w:footnote w:type="continuationNotice" w:id="1">
    <w:p w14:paraId="765EF541" w14:textId="77777777" w:rsidR="00F337B8" w:rsidRDefault="00F337B8"/>
  </w:footnote>
  <w:footnote w:id="2">
    <w:p w14:paraId="4C30BE37" w14:textId="77777777" w:rsidR="00F337B8" w:rsidRDefault="00F337B8">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14:paraId="04FE32F4" w14:textId="77777777" w:rsidR="00F337B8" w:rsidRDefault="00F337B8">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14:paraId="26F56E7E" w14:textId="77777777" w:rsidR="00F337B8" w:rsidRDefault="00F337B8">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14:paraId="309CA5ED" w14:textId="77777777" w:rsidR="00F337B8" w:rsidRDefault="00F337B8">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14:paraId="049639E3" w14:textId="77777777" w:rsidR="00F337B8" w:rsidRDefault="00F337B8">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14:paraId="12376334" w14:textId="77777777" w:rsidR="00F337B8" w:rsidRDefault="00F337B8">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14:paraId="71E57C08" w14:textId="77777777" w:rsidR="00F337B8" w:rsidRDefault="00F337B8">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40354"/>
    <w:multiLevelType w:val="hybridMultilevel"/>
    <w:tmpl w:val="B874D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5">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10">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1">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3B5134"/>
    <w:multiLevelType w:val="hybridMultilevel"/>
    <w:tmpl w:val="1BBC51EE"/>
    <w:lvl w:ilvl="0" w:tplc="61F6AA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10"/>
  </w:num>
  <w:num w:numId="4">
    <w:abstractNumId w:val="4"/>
  </w:num>
  <w:num w:numId="5">
    <w:abstractNumId w:val="15"/>
  </w:num>
  <w:num w:numId="6">
    <w:abstractNumId w:val="6"/>
  </w:num>
  <w:num w:numId="7">
    <w:abstractNumId w:val="14"/>
  </w:num>
  <w:num w:numId="8">
    <w:abstractNumId w:val="13"/>
  </w:num>
  <w:num w:numId="9">
    <w:abstractNumId w:val="0"/>
  </w:num>
  <w:num w:numId="10">
    <w:abstractNumId w:val="1"/>
  </w:num>
  <w:num w:numId="11">
    <w:abstractNumId w:val="11"/>
  </w:num>
  <w:num w:numId="12">
    <w:abstractNumId w:val="8"/>
  </w:num>
  <w:num w:numId="13">
    <w:abstractNumId w:val="16"/>
  </w:num>
  <w:num w:numId="14">
    <w:abstractNumId w:val="7"/>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12"/>
    <w:rsid w:val="000028EF"/>
    <w:rsid w:val="0001097A"/>
    <w:rsid w:val="000118A8"/>
    <w:rsid w:val="00011A0B"/>
    <w:rsid w:val="00011F89"/>
    <w:rsid w:val="000145B0"/>
    <w:rsid w:val="00015677"/>
    <w:rsid w:val="00017BF3"/>
    <w:rsid w:val="00027D10"/>
    <w:rsid w:val="0003326B"/>
    <w:rsid w:val="00034BA0"/>
    <w:rsid w:val="0003624B"/>
    <w:rsid w:val="000376DC"/>
    <w:rsid w:val="000418B0"/>
    <w:rsid w:val="0004256A"/>
    <w:rsid w:val="00050E1B"/>
    <w:rsid w:val="00055332"/>
    <w:rsid w:val="00055B38"/>
    <w:rsid w:val="00056270"/>
    <w:rsid w:val="0005627E"/>
    <w:rsid w:val="000562EB"/>
    <w:rsid w:val="00061F76"/>
    <w:rsid w:val="000629CF"/>
    <w:rsid w:val="000635BA"/>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1B41"/>
    <w:rsid w:val="0011273B"/>
    <w:rsid w:val="00112EE5"/>
    <w:rsid w:val="001163EF"/>
    <w:rsid w:val="00124FE3"/>
    <w:rsid w:val="00146A1B"/>
    <w:rsid w:val="00147451"/>
    <w:rsid w:val="00153DC9"/>
    <w:rsid w:val="00161CA7"/>
    <w:rsid w:val="00166DCD"/>
    <w:rsid w:val="00180F06"/>
    <w:rsid w:val="00183579"/>
    <w:rsid w:val="00194CD2"/>
    <w:rsid w:val="001A66B0"/>
    <w:rsid w:val="001B72E4"/>
    <w:rsid w:val="001B7C83"/>
    <w:rsid w:val="001D1F46"/>
    <w:rsid w:val="001D4A85"/>
    <w:rsid w:val="001D5730"/>
    <w:rsid w:val="001E1776"/>
    <w:rsid w:val="001E2A6C"/>
    <w:rsid w:val="001E58BB"/>
    <w:rsid w:val="001F114A"/>
    <w:rsid w:val="001F37B3"/>
    <w:rsid w:val="001F7C18"/>
    <w:rsid w:val="002153EC"/>
    <w:rsid w:val="00217937"/>
    <w:rsid w:val="00220444"/>
    <w:rsid w:val="00220812"/>
    <w:rsid w:val="00242C4C"/>
    <w:rsid w:val="0024517F"/>
    <w:rsid w:val="00247A85"/>
    <w:rsid w:val="00250457"/>
    <w:rsid w:val="002569BF"/>
    <w:rsid w:val="00262335"/>
    <w:rsid w:val="0027187A"/>
    <w:rsid w:val="0027222B"/>
    <w:rsid w:val="00274431"/>
    <w:rsid w:val="0028276F"/>
    <w:rsid w:val="00283F94"/>
    <w:rsid w:val="002920A3"/>
    <w:rsid w:val="00296991"/>
    <w:rsid w:val="002D354C"/>
    <w:rsid w:val="002D4685"/>
    <w:rsid w:val="002E6740"/>
    <w:rsid w:val="002E7E35"/>
    <w:rsid w:val="002F121F"/>
    <w:rsid w:val="002F50C3"/>
    <w:rsid w:val="002F5CBA"/>
    <w:rsid w:val="00301602"/>
    <w:rsid w:val="0031266B"/>
    <w:rsid w:val="00312710"/>
    <w:rsid w:val="003204CA"/>
    <w:rsid w:val="003254D9"/>
    <w:rsid w:val="0033140F"/>
    <w:rsid w:val="00343FD0"/>
    <w:rsid w:val="00344396"/>
    <w:rsid w:val="00344430"/>
    <w:rsid w:val="00347026"/>
    <w:rsid w:val="00347843"/>
    <w:rsid w:val="00350434"/>
    <w:rsid w:val="00353842"/>
    <w:rsid w:val="00354A36"/>
    <w:rsid w:val="00355057"/>
    <w:rsid w:val="003560B6"/>
    <w:rsid w:val="003611B7"/>
    <w:rsid w:val="003639C3"/>
    <w:rsid w:val="00374830"/>
    <w:rsid w:val="003762D7"/>
    <w:rsid w:val="003812E1"/>
    <w:rsid w:val="00384C84"/>
    <w:rsid w:val="0038534A"/>
    <w:rsid w:val="00385482"/>
    <w:rsid w:val="003A56C6"/>
    <w:rsid w:val="003A6EA0"/>
    <w:rsid w:val="003B3E2A"/>
    <w:rsid w:val="003C0046"/>
    <w:rsid w:val="003C6070"/>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376C"/>
    <w:rsid w:val="00495FF2"/>
    <w:rsid w:val="004A138A"/>
    <w:rsid w:val="004A4B94"/>
    <w:rsid w:val="004A553D"/>
    <w:rsid w:val="004B2B45"/>
    <w:rsid w:val="004B35DE"/>
    <w:rsid w:val="004B4383"/>
    <w:rsid w:val="004C083C"/>
    <w:rsid w:val="004D4C12"/>
    <w:rsid w:val="004E2D51"/>
    <w:rsid w:val="004F1686"/>
    <w:rsid w:val="0050004A"/>
    <w:rsid w:val="005026D1"/>
    <w:rsid w:val="00503D46"/>
    <w:rsid w:val="00510161"/>
    <w:rsid w:val="005210CA"/>
    <w:rsid w:val="00527116"/>
    <w:rsid w:val="00527500"/>
    <w:rsid w:val="005279DE"/>
    <w:rsid w:val="0053157B"/>
    <w:rsid w:val="0053293E"/>
    <w:rsid w:val="00535897"/>
    <w:rsid w:val="005526A1"/>
    <w:rsid w:val="00553269"/>
    <w:rsid w:val="0055502C"/>
    <w:rsid w:val="00561B2F"/>
    <w:rsid w:val="0056609E"/>
    <w:rsid w:val="0057243E"/>
    <w:rsid w:val="00584238"/>
    <w:rsid w:val="0058423B"/>
    <w:rsid w:val="00587F68"/>
    <w:rsid w:val="00591A81"/>
    <w:rsid w:val="0059570B"/>
    <w:rsid w:val="005A0943"/>
    <w:rsid w:val="005A0F63"/>
    <w:rsid w:val="005B122B"/>
    <w:rsid w:val="005B3593"/>
    <w:rsid w:val="005B4874"/>
    <w:rsid w:val="005F57B6"/>
    <w:rsid w:val="005F5FF7"/>
    <w:rsid w:val="005F63A9"/>
    <w:rsid w:val="006100B5"/>
    <w:rsid w:val="00625E4B"/>
    <w:rsid w:val="00630F3D"/>
    <w:rsid w:val="00634185"/>
    <w:rsid w:val="006372B6"/>
    <w:rsid w:val="006447BE"/>
    <w:rsid w:val="00646CE3"/>
    <w:rsid w:val="00651F0F"/>
    <w:rsid w:val="00653354"/>
    <w:rsid w:val="006604CB"/>
    <w:rsid w:val="00660997"/>
    <w:rsid w:val="00660A46"/>
    <w:rsid w:val="00660ED1"/>
    <w:rsid w:val="00663C6B"/>
    <w:rsid w:val="0066499A"/>
    <w:rsid w:val="006706D0"/>
    <w:rsid w:val="00673C72"/>
    <w:rsid w:val="0068087F"/>
    <w:rsid w:val="006877E6"/>
    <w:rsid w:val="006941B3"/>
    <w:rsid w:val="00695061"/>
    <w:rsid w:val="00695507"/>
    <w:rsid w:val="006B0EC9"/>
    <w:rsid w:val="006B7041"/>
    <w:rsid w:val="006B7391"/>
    <w:rsid w:val="006C2E08"/>
    <w:rsid w:val="006D5890"/>
    <w:rsid w:val="006D6378"/>
    <w:rsid w:val="006E1EEE"/>
    <w:rsid w:val="006E2F36"/>
    <w:rsid w:val="006E4015"/>
    <w:rsid w:val="006F0912"/>
    <w:rsid w:val="006F52BF"/>
    <w:rsid w:val="006F590D"/>
    <w:rsid w:val="006F71FA"/>
    <w:rsid w:val="0070200A"/>
    <w:rsid w:val="00704751"/>
    <w:rsid w:val="00705EF1"/>
    <w:rsid w:val="00714DCC"/>
    <w:rsid w:val="00733AC8"/>
    <w:rsid w:val="00741A44"/>
    <w:rsid w:val="0074510A"/>
    <w:rsid w:val="00751547"/>
    <w:rsid w:val="007516A3"/>
    <w:rsid w:val="00761C4E"/>
    <w:rsid w:val="007669F2"/>
    <w:rsid w:val="00767114"/>
    <w:rsid w:val="00767514"/>
    <w:rsid w:val="00774DDD"/>
    <w:rsid w:val="00775BB3"/>
    <w:rsid w:val="007A1220"/>
    <w:rsid w:val="007A4306"/>
    <w:rsid w:val="007A46AC"/>
    <w:rsid w:val="007A65D0"/>
    <w:rsid w:val="007A7C38"/>
    <w:rsid w:val="007B29A1"/>
    <w:rsid w:val="007B7969"/>
    <w:rsid w:val="007C26A9"/>
    <w:rsid w:val="007C4285"/>
    <w:rsid w:val="007C7314"/>
    <w:rsid w:val="007D0AF0"/>
    <w:rsid w:val="007D2AFB"/>
    <w:rsid w:val="007D6351"/>
    <w:rsid w:val="007E13E6"/>
    <w:rsid w:val="007E2787"/>
    <w:rsid w:val="007E281E"/>
    <w:rsid w:val="007E2E1A"/>
    <w:rsid w:val="007E618E"/>
    <w:rsid w:val="007E6461"/>
    <w:rsid w:val="007E6ACC"/>
    <w:rsid w:val="007F2E37"/>
    <w:rsid w:val="007F4A74"/>
    <w:rsid w:val="0080347C"/>
    <w:rsid w:val="00806303"/>
    <w:rsid w:val="008147D2"/>
    <w:rsid w:val="00825A9B"/>
    <w:rsid w:val="00831C67"/>
    <w:rsid w:val="0084344C"/>
    <w:rsid w:val="00843E56"/>
    <w:rsid w:val="00846082"/>
    <w:rsid w:val="00846D67"/>
    <w:rsid w:val="008475D6"/>
    <w:rsid w:val="00856AEF"/>
    <w:rsid w:val="008571FE"/>
    <w:rsid w:val="00861745"/>
    <w:rsid w:val="0086314E"/>
    <w:rsid w:val="00871F9C"/>
    <w:rsid w:val="0087483A"/>
    <w:rsid w:val="00874E5D"/>
    <w:rsid w:val="00887A6F"/>
    <w:rsid w:val="00890A94"/>
    <w:rsid w:val="008B0E9C"/>
    <w:rsid w:val="008C345B"/>
    <w:rsid w:val="008C5EE9"/>
    <w:rsid w:val="008C797C"/>
    <w:rsid w:val="008D4747"/>
    <w:rsid w:val="008E0462"/>
    <w:rsid w:val="008F2392"/>
    <w:rsid w:val="008F2D58"/>
    <w:rsid w:val="008F6438"/>
    <w:rsid w:val="009008FA"/>
    <w:rsid w:val="009028E3"/>
    <w:rsid w:val="00904ACE"/>
    <w:rsid w:val="00910825"/>
    <w:rsid w:val="00934861"/>
    <w:rsid w:val="00954DC9"/>
    <w:rsid w:val="0096023F"/>
    <w:rsid w:val="009771F3"/>
    <w:rsid w:val="0099308F"/>
    <w:rsid w:val="009972FB"/>
    <w:rsid w:val="009B01A1"/>
    <w:rsid w:val="009B0F22"/>
    <w:rsid w:val="009B2A2A"/>
    <w:rsid w:val="009B6223"/>
    <w:rsid w:val="009B6A90"/>
    <w:rsid w:val="009C2FD9"/>
    <w:rsid w:val="009D3566"/>
    <w:rsid w:val="009D3665"/>
    <w:rsid w:val="009D4C53"/>
    <w:rsid w:val="009D55E9"/>
    <w:rsid w:val="009D64A2"/>
    <w:rsid w:val="009E078A"/>
    <w:rsid w:val="009E0BB5"/>
    <w:rsid w:val="009E7F03"/>
    <w:rsid w:val="009F24F1"/>
    <w:rsid w:val="00A00991"/>
    <w:rsid w:val="00A015A9"/>
    <w:rsid w:val="00A015EB"/>
    <w:rsid w:val="00A01B08"/>
    <w:rsid w:val="00A03BEE"/>
    <w:rsid w:val="00A03F91"/>
    <w:rsid w:val="00A11FD0"/>
    <w:rsid w:val="00A17478"/>
    <w:rsid w:val="00A23B43"/>
    <w:rsid w:val="00A30FCA"/>
    <w:rsid w:val="00A36343"/>
    <w:rsid w:val="00A3667F"/>
    <w:rsid w:val="00A44934"/>
    <w:rsid w:val="00A53BC5"/>
    <w:rsid w:val="00A6363F"/>
    <w:rsid w:val="00A64983"/>
    <w:rsid w:val="00A75B04"/>
    <w:rsid w:val="00A75B1D"/>
    <w:rsid w:val="00A853E6"/>
    <w:rsid w:val="00A8783A"/>
    <w:rsid w:val="00A93E3E"/>
    <w:rsid w:val="00AA3354"/>
    <w:rsid w:val="00AA3DC4"/>
    <w:rsid w:val="00AB2B4B"/>
    <w:rsid w:val="00AB44EC"/>
    <w:rsid w:val="00AB5398"/>
    <w:rsid w:val="00AB7B81"/>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95B"/>
    <w:rsid w:val="00B56C4A"/>
    <w:rsid w:val="00B668CB"/>
    <w:rsid w:val="00B720EC"/>
    <w:rsid w:val="00B731B2"/>
    <w:rsid w:val="00B808D9"/>
    <w:rsid w:val="00BA3DBF"/>
    <w:rsid w:val="00BC23B6"/>
    <w:rsid w:val="00BC6C08"/>
    <w:rsid w:val="00BD216C"/>
    <w:rsid w:val="00BD6809"/>
    <w:rsid w:val="00BD7120"/>
    <w:rsid w:val="00BD723B"/>
    <w:rsid w:val="00BD75DB"/>
    <w:rsid w:val="00BE1189"/>
    <w:rsid w:val="00BE180F"/>
    <w:rsid w:val="00BF5270"/>
    <w:rsid w:val="00BF56DC"/>
    <w:rsid w:val="00C1103F"/>
    <w:rsid w:val="00C122CE"/>
    <w:rsid w:val="00C14F7F"/>
    <w:rsid w:val="00C313F6"/>
    <w:rsid w:val="00C349A3"/>
    <w:rsid w:val="00C51356"/>
    <w:rsid w:val="00C53021"/>
    <w:rsid w:val="00C57730"/>
    <w:rsid w:val="00C62C95"/>
    <w:rsid w:val="00C64E8B"/>
    <w:rsid w:val="00C71446"/>
    <w:rsid w:val="00C72163"/>
    <w:rsid w:val="00C77F53"/>
    <w:rsid w:val="00C81853"/>
    <w:rsid w:val="00C83B9B"/>
    <w:rsid w:val="00C91A3B"/>
    <w:rsid w:val="00C9281B"/>
    <w:rsid w:val="00C92949"/>
    <w:rsid w:val="00C97099"/>
    <w:rsid w:val="00CB1698"/>
    <w:rsid w:val="00CB7C3E"/>
    <w:rsid w:val="00CC64DA"/>
    <w:rsid w:val="00CC6A22"/>
    <w:rsid w:val="00CD4646"/>
    <w:rsid w:val="00CE1F5C"/>
    <w:rsid w:val="00CE30A2"/>
    <w:rsid w:val="00CE5ECD"/>
    <w:rsid w:val="00CE7971"/>
    <w:rsid w:val="00CE7F3E"/>
    <w:rsid w:val="00CF4906"/>
    <w:rsid w:val="00D00805"/>
    <w:rsid w:val="00D07D40"/>
    <w:rsid w:val="00D312EE"/>
    <w:rsid w:val="00D341EB"/>
    <w:rsid w:val="00D36935"/>
    <w:rsid w:val="00D427CE"/>
    <w:rsid w:val="00D4584E"/>
    <w:rsid w:val="00D53025"/>
    <w:rsid w:val="00D61D65"/>
    <w:rsid w:val="00D63DCA"/>
    <w:rsid w:val="00D672DF"/>
    <w:rsid w:val="00D74A32"/>
    <w:rsid w:val="00D76D2B"/>
    <w:rsid w:val="00D81DB8"/>
    <w:rsid w:val="00D90AEE"/>
    <w:rsid w:val="00D966AB"/>
    <w:rsid w:val="00D977B0"/>
    <w:rsid w:val="00D977C5"/>
    <w:rsid w:val="00DA5E2E"/>
    <w:rsid w:val="00DB361A"/>
    <w:rsid w:val="00DB3F97"/>
    <w:rsid w:val="00DE3990"/>
    <w:rsid w:val="00DE509F"/>
    <w:rsid w:val="00DE53E5"/>
    <w:rsid w:val="00DF34B6"/>
    <w:rsid w:val="00E07FF6"/>
    <w:rsid w:val="00E16751"/>
    <w:rsid w:val="00E20D0A"/>
    <w:rsid w:val="00E2329E"/>
    <w:rsid w:val="00E267B5"/>
    <w:rsid w:val="00E31138"/>
    <w:rsid w:val="00E33FAF"/>
    <w:rsid w:val="00E42913"/>
    <w:rsid w:val="00E4455B"/>
    <w:rsid w:val="00E55ECE"/>
    <w:rsid w:val="00E6003E"/>
    <w:rsid w:val="00E62893"/>
    <w:rsid w:val="00E62DFC"/>
    <w:rsid w:val="00E669E6"/>
    <w:rsid w:val="00E71F88"/>
    <w:rsid w:val="00E72FA3"/>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E5554"/>
    <w:rsid w:val="00EF08BB"/>
    <w:rsid w:val="00EF3E94"/>
    <w:rsid w:val="00F10292"/>
    <w:rsid w:val="00F17C05"/>
    <w:rsid w:val="00F26140"/>
    <w:rsid w:val="00F30FB6"/>
    <w:rsid w:val="00F337B8"/>
    <w:rsid w:val="00F42DAF"/>
    <w:rsid w:val="00F440DB"/>
    <w:rsid w:val="00F50A46"/>
    <w:rsid w:val="00F63385"/>
    <w:rsid w:val="00F73CD6"/>
    <w:rsid w:val="00F77260"/>
    <w:rsid w:val="00F8382F"/>
    <w:rsid w:val="00F92288"/>
    <w:rsid w:val="00F94D8A"/>
    <w:rsid w:val="00F95FE0"/>
    <w:rsid w:val="00FA33AF"/>
    <w:rsid w:val="00FB06FA"/>
    <w:rsid w:val="00FD0DD7"/>
    <w:rsid w:val="00FD30ED"/>
    <w:rsid w:val="00FF0046"/>
    <w:rsid w:val="00FF675B"/>
    <w:rsid w:val="00FF71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C05BD"/>
  <w15:docId w15:val="{726B84D6-DC95-47CF-B70A-3A72D4CB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247A85"/>
    <w:rPr>
      <w:rFonts w:ascii="Calibri" w:eastAsiaTheme="minorHAnsi" w:hAnsi="Calibri"/>
      <w:sz w:val="22"/>
      <w:szCs w:val="21"/>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display/alacpolicydev/At-Large+Report+of+the+GNSO+WG+on+Consumer+Trust%2C+Consumer+Choice%2C+and+Competition+Workspace"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ndy@seltz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hyperlink" Target="http://community.icann.org/display/CMG/WG+Attendance+Log" TargetMode="External"/><Relationship Id="rId10" Type="http://schemas.openxmlformats.org/officeDocument/2006/relationships/hyperlink" Target="http://www.icann.org/en/minutes/resolutions-10dec10-en.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cann.org/en/documents/affirmation-of-commitments-30sep09-en.htm" TargetMode="External"/><Relationship Id="rId14" Type="http://schemas.openxmlformats.org/officeDocument/2006/relationships/hyperlink" Target="http://www.icmregistry.com/about/sponsored-community/"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7" Type="http://schemas.openxmlformats.org/officeDocument/2006/relationships/hyperlink" Target="http://community.icann.org/display/CMG/WG+Attendance+Log"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6" Type="http://schemas.openxmlformats.org/officeDocument/2006/relationships/hyperlink" Target="http://www.icmregistry.com/about/sponsored-community/" TargetMode="External"/><Relationship Id="rId5"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D921-AF8F-4906-95C0-088DC9E922A9}">
  <ds:schemaRefs>
    <ds:schemaRef ds:uri="http://schemas.openxmlformats.org/officeDocument/2006/bibliography"/>
  </ds:schemaRefs>
</ds:datastoreItem>
</file>

<file path=customXml/itemProps2.xml><?xml version="1.0" encoding="utf-8"?>
<ds:datastoreItem xmlns:ds="http://schemas.openxmlformats.org/officeDocument/2006/customXml" ds:itemID="{CC51F0C5-7B68-4800-95B9-34AF67A2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11731</Words>
  <Characters>66867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Eleeza Agopian</dc:creator>
  <cp:keywords/>
  <dc:description/>
  <cp:lastModifiedBy>Eleeza Agopian</cp:lastModifiedBy>
  <cp:revision>2</cp:revision>
  <cp:lastPrinted>2012-02-15T14:17:00Z</cp:lastPrinted>
  <dcterms:created xsi:type="dcterms:W3CDTF">2014-09-25T23:06:00Z</dcterms:created>
  <dcterms:modified xsi:type="dcterms:W3CDTF">2014-09-25T23:06:00Z</dcterms:modified>
  <cp:category/>
</cp:coreProperties>
</file>