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4A7C" w14:textId="77777777" w:rsidR="006552EE" w:rsidRDefault="006552EE" w:rsidP="00602EFE">
      <w:pPr>
        <w:pStyle w:val="Title"/>
      </w:pPr>
      <w:r>
        <w:t>Implementation Advisory Group for Competition, Consumer Trust &amp; Consumer Choice (IAG-CCT): Final Recommendations on Metrics for CCT Review</w:t>
      </w:r>
    </w:p>
    <w:p w14:paraId="60C33F5A" w14:textId="69DB0CEA" w:rsidR="00A606D3" w:rsidRDefault="00F91587" w:rsidP="006552EE">
      <w:r w:rsidRPr="00A606D3">
        <w:t>26 September</w:t>
      </w:r>
      <w:r w:rsidR="00EC1C97" w:rsidRPr="00A606D3">
        <w:t>, 201</w:t>
      </w:r>
      <w:r w:rsidRPr="00F91587">
        <w:t>4</w:t>
      </w:r>
    </w:p>
    <w:p w14:paraId="138B5456" w14:textId="77777777" w:rsidR="00A606D3" w:rsidRDefault="00A606D3">
      <w:r>
        <w:br w:type="page"/>
      </w:r>
    </w:p>
    <w:sdt>
      <w:sdtPr>
        <w:rPr>
          <w:rFonts w:asciiTheme="minorHAnsi" w:eastAsiaTheme="minorHAnsi" w:hAnsiTheme="minorHAnsi" w:cstheme="minorBidi"/>
          <w:color w:val="auto"/>
          <w:sz w:val="22"/>
          <w:szCs w:val="22"/>
        </w:rPr>
        <w:id w:val="-973902671"/>
        <w:docPartObj>
          <w:docPartGallery w:val="Table of Contents"/>
          <w:docPartUnique/>
        </w:docPartObj>
      </w:sdtPr>
      <w:sdtEndPr>
        <w:rPr>
          <w:b/>
          <w:bCs/>
          <w:noProof/>
        </w:rPr>
      </w:sdtEndPr>
      <w:sdtContent>
        <w:p w14:paraId="237F6C6E" w14:textId="65D62299" w:rsidR="00602EFE" w:rsidRDefault="00602EFE">
          <w:pPr>
            <w:pStyle w:val="TOCHeading"/>
          </w:pPr>
          <w:r>
            <w:t>Table of Contents</w:t>
          </w:r>
        </w:p>
        <w:p w14:paraId="06A6D140" w14:textId="77777777" w:rsidR="00C16741" w:rsidRDefault="00602EF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9424492" w:history="1">
            <w:r w:rsidR="00C16741" w:rsidRPr="00BE462B">
              <w:rPr>
                <w:rStyle w:val="Hyperlink"/>
                <w:noProof/>
              </w:rPr>
              <w:t>Executive Summary</w:t>
            </w:r>
            <w:r w:rsidR="00C16741">
              <w:rPr>
                <w:noProof/>
                <w:webHidden/>
              </w:rPr>
              <w:tab/>
            </w:r>
            <w:r w:rsidR="00C16741">
              <w:rPr>
                <w:noProof/>
                <w:webHidden/>
              </w:rPr>
              <w:fldChar w:fldCharType="begin"/>
            </w:r>
            <w:r w:rsidR="00C16741">
              <w:rPr>
                <w:noProof/>
                <w:webHidden/>
              </w:rPr>
              <w:instrText xml:space="preserve"> PAGEREF _Toc399424492 \h </w:instrText>
            </w:r>
            <w:r w:rsidR="00C16741">
              <w:rPr>
                <w:noProof/>
                <w:webHidden/>
              </w:rPr>
            </w:r>
            <w:r w:rsidR="00C16741">
              <w:rPr>
                <w:noProof/>
                <w:webHidden/>
              </w:rPr>
              <w:fldChar w:fldCharType="separate"/>
            </w:r>
            <w:r w:rsidR="00C16741">
              <w:rPr>
                <w:noProof/>
                <w:webHidden/>
              </w:rPr>
              <w:t>3</w:t>
            </w:r>
            <w:r w:rsidR="00C16741">
              <w:rPr>
                <w:noProof/>
                <w:webHidden/>
              </w:rPr>
              <w:fldChar w:fldCharType="end"/>
            </w:r>
          </w:hyperlink>
        </w:p>
        <w:p w14:paraId="48B636D4" w14:textId="77777777" w:rsidR="00C16741" w:rsidRDefault="004721D5">
          <w:pPr>
            <w:pStyle w:val="TOC1"/>
            <w:tabs>
              <w:tab w:val="right" w:leader="dot" w:pos="9350"/>
            </w:tabs>
            <w:rPr>
              <w:rFonts w:eastAsiaTheme="minorEastAsia"/>
              <w:noProof/>
            </w:rPr>
          </w:pPr>
          <w:hyperlink w:anchor="_Toc399424493" w:history="1">
            <w:r w:rsidR="00C16741" w:rsidRPr="00BE462B">
              <w:rPr>
                <w:rStyle w:val="Hyperlink"/>
                <w:noProof/>
              </w:rPr>
              <w:t>Recommendations</w:t>
            </w:r>
            <w:r w:rsidR="00C16741">
              <w:rPr>
                <w:noProof/>
                <w:webHidden/>
              </w:rPr>
              <w:tab/>
            </w:r>
            <w:r w:rsidR="00C16741">
              <w:rPr>
                <w:noProof/>
                <w:webHidden/>
              </w:rPr>
              <w:fldChar w:fldCharType="begin"/>
            </w:r>
            <w:r w:rsidR="00C16741">
              <w:rPr>
                <w:noProof/>
                <w:webHidden/>
              </w:rPr>
              <w:instrText xml:space="preserve"> PAGEREF _Toc399424493 \h </w:instrText>
            </w:r>
            <w:r w:rsidR="00C16741">
              <w:rPr>
                <w:noProof/>
                <w:webHidden/>
              </w:rPr>
            </w:r>
            <w:r w:rsidR="00C16741">
              <w:rPr>
                <w:noProof/>
                <w:webHidden/>
              </w:rPr>
              <w:fldChar w:fldCharType="separate"/>
            </w:r>
            <w:r w:rsidR="00C16741">
              <w:rPr>
                <w:noProof/>
                <w:webHidden/>
              </w:rPr>
              <w:t>3</w:t>
            </w:r>
            <w:r w:rsidR="00C16741">
              <w:rPr>
                <w:noProof/>
                <w:webHidden/>
              </w:rPr>
              <w:fldChar w:fldCharType="end"/>
            </w:r>
          </w:hyperlink>
        </w:p>
        <w:p w14:paraId="11622DCC" w14:textId="77777777" w:rsidR="00C16741" w:rsidRDefault="004721D5">
          <w:pPr>
            <w:pStyle w:val="TOC1"/>
            <w:tabs>
              <w:tab w:val="right" w:leader="dot" w:pos="9350"/>
            </w:tabs>
            <w:rPr>
              <w:rFonts w:eastAsiaTheme="minorEastAsia"/>
              <w:noProof/>
            </w:rPr>
          </w:pPr>
          <w:hyperlink w:anchor="_Toc399424494" w:history="1">
            <w:r w:rsidR="00C16741" w:rsidRPr="00BE462B">
              <w:rPr>
                <w:rStyle w:val="Hyperlink"/>
                <w:noProof/>
              </w:rPr>
              <w:t>Background</w:t>
            </w:r>
            <w:r w:rsidR="00C16741">
              <w:rPr>
                <w:noProof/>
                <w:webHidden/>
              </w:rPr>
              <w:tab/>
            </w:r>
            <w:r w:rsidR="00C16741">
              <w:rPr>
                <w:noProof/>
                <w:webHidden/>
              </w:rPr>
              <w:fldChar w:fldCharType="begin"/>
            </w:r>
            <w:r w:rsidR="00C16741">
              <w:rPr>
                <w:noProof/>
                <w:webHidden/>
              </w:rPr>
              <w:instrText xml:space="preserve"> PAGEREF _Toc399424494 \h </w:instrText>
            </w:r>
            <w:r w:rsidR="00C16741">
              <w:rPr>
                <w:noProof/>
                <w:webHidden/>
              </w:rPr>
            </w:r>
            <w:r w:rsidR="00C16741">
              <w:rPr>
                <w:noProof/>
                <w:webHidden/>
              </w:rPr>
              <w:fldChar w:fldCharType="separate"/>
            </w:r>
            <w:r w:rsidR="00C16741">
              <w:rPr>
                <w:noProof/>
                <w:webHidden/>
              </w:rPr>
              <w:t>4</w:t>
            </w:r>
            <w:r w:rsidR="00C16741">
              <w:rPr>
                <w:noProof/>
                <w:webHidden/>
              </w:rPr>
              <w:fldChar w:fldCharType="end"/>
            </w:r>
          </w:hyperlink>
        </w:p>
        <w:p w14:paraId="7E83A939" w14:textId="77777777" w:rsidR="00C16741" w:rsidRDefault="004721D5">
          <w:pPr>
            <w:pStyle w:val="TOC1"/>
            <w:tabs>
              <w:tab w:val="right" w:leader="dot" w:pos="9350"/>
            </w:tabs>
            <w:rPr>
              <w:rFonts w:eastAsiaTheme="minorEastAsia"/>
              <w:noProof/>
            </w:rPr>
          </w:pPr>
          <w:hyperlink w:anchor="_Toc399424495" w:history="1">
            <w:r w:rsidR="00C16741" w:rsidRPr="00BE462B">
              <w:rPr>
                <w:rStyle w:val="Hyperlink"/>
                <w:noProof/>
              </w:rPr>
              <w:t>Previous new gTLD evaluations</w:t>
            </w:r>
            <w:r w:rsidR="00C16741">
              <w:rPr>
                <w:noProof/>
                <w:webHidden/>
              </w:rPr>
              <w:tab/>
            </w:r>
            <w:r w:rsidR="00C16741">
              <w:rPr>
                <w:noProof/>
                <w:webHidden/>
              </w:rPr>
              <w:fldChar w:fldCharType="begin"/>
            </w:r>
            <w:r w:rsidR="00C16741">
              <w:rPr>
                <w:noProof/>
                <w:webHidden/>
              </w:rPr>
              <w:instrText xml:space="preserve"> PAGEREF _Toc399424495 \h </w:instrText>
            </w:r>
            <w:r w:rsidR="00C16741">
              <w:rPr>
                <w:noProof/>
                <w:webHidden/>
              </w:rPr>
            </w:r>
            <w:r w:rsidR="00C16741">
              <w:rPr>
                <w:noProof/>
                <w:webHidden/>
              </w:rPr>
              <w:fldChar w:fldCharType="separate"/>
            </w:r>
            <w:r w:rsidR="00C16741">
              <w:rPr>
                <w:noProof/>
                <w:webHidden/>
              </w:rPr>
              <w:t>5</w:t>
            </w:r>
            <w:r w:rsidR="00C16741">
              <w:rPr>
                <w:noProof/>
                <w:webHidden/>
              </w:rPr>
              <w:fldChar w:fldCharType="end"/>
            </w:r>
          </w:hyperlink>
        </w:p>
        <w:p w14:paraId="1BFFDFCD" w14:textId="77777777" w:rsidR="00C16741" w:rsidRDefault="004721D5">
          <w:pPr>
            <w:pStyle w:val="TOC1"/>
            <w:tabs>
              <w:tab w:val="right" w:leader="dot" w:pos="9350"/>
            </w:tabs>
            <w:rPr>
              <w:rFonts w:eastAsiaTheme="minorEastAsia"/>
              <w:noProof/>
            </w:rPr>
          </w:pPr>
          <w:hyperlink w:anchor="_Toc399424496" w:history="1">
            <w:r w:rsidR="00C16741" w:rsidRPr="00BE462B">
              <w:rPr>
                <w:rStyle w:val="Hyperlink"/>
                <w:noProof/>
              </w:rPr>
              <w:t>Metric evaluation</w:t>
            </w:r>
            <w:r w:rsidR="00C16741">
              <w:rPr>
                <w:noProof/>
                <w:webHidden/>
              </w:rPr>
              <w:tab/>
            </w:r>
            <w:r w:rsidR="00C16741">
              <w:rPr>
                <w:noProof/>
                <w:webHidden/>
              </w:rPr>
              <w:fldChar w:fldCharType="begin"/>
            </w:r>
            <w:r w:rsidR="00C16741">
              <w:rPr>
                <w:noProof/>
                <w:webHidden/>
              </w:rPr>
              <w:instrText xml:space="preserve"> PAGEREF _Toc399424496 \h </w:instrText>
            </w:r>
            <w:r w:rsidR="00C16741">
              <w:rPr>
                <w:noProof/>
                <w:webHidden/>
              </w:rPr>
            </w:r>
            <w:r w:rsidR="00C16741">
              <w:rPr>
                <w:noProof/>
                <w:webHidden/>
              </w:rPr>
              <w:fldChar w:fldCharType="separate"/>
            </w:r>
            <w:r w:rsidR="00C16741">
              <w:rPr>
                <w:noProof/>
                <w:webHidden/>
              </w:rPr>
              <w:t>6</w:t>
            </w:r>
            <w:r w:rsidR="00C16741">
              <w:rPr>
                <w:noProof/>
                <w:webHidden/>
              </w:rPr>
              <w:fldChar w:fldCharType="end"/>
            </w:r>
          </w:hyperlink>
        </w:p>
        <w:p w14:paraId="42398B1F" w14:textId="77777777" w:rsidR="00C16741" w:rsidRDefault="004721D5">
          <w:pPr>
            <w:pStyle w:val="TOC2"/>
            <w:tabs>
              <w:tab w:val="right" w:leader="dot" w:pos="9350"/>
            </w:tabs>
            <w:rPr>
              <w:rFonts w:eastAsiaTheme="minorEastAsia"/>
              <w:noProof/>
            </w:rPr>
          </w:pPr>
          <w:hyperlink w:anchor="_Toc399424497" w:history="1">
            <w:r w:rsidR="00C16741" w:rsidRPr="00BE462B">
              <w:rPr>
                <w:rStyle w:val="Hyperlink"/>
                <w:noProof/>
              </w:rPr>
              <w:t>First priority metrics</w:t>
            </w:r>
            <w:r w:rsidR="00C16741">
              <w:rPr>
                <w:noProof/>
                <w:webHidden/>
              </w:rPr>
              <w:tab/>
            </w:r>
            <w:r w:rsidR="00C16741">
              <w:rPr>
                <w:noProof/>
                <w:webHidden/>
              </w:rPr>
              <w:fldChar w:fldCharType="begin"/>
            </w:r>
            <w:r w:rsidR="00C16741">
              <w:rPr>
                <w:noProof/>
                <w:webHidden/>
              </w:rPr>
              <w:instrText xml:space="preserve"> PAGEREF _Toc399424497 \h </w:instrText>
            </w:r>
            <w:r w:rsidR="00C16741">
              <w:rPr>
                <w:noProof/>
                <w:webHidden/>
              </w:rPr>
            </w:r>
            <w:r w:rsidR="00C16741">
              <w:rPr>
                <w:noProof/>
                <w:webHidden/>
              </w:rPr>
              <w:fldChar w:fldCharType="separate"/>
            </w:r>
            <w:r w:rsidR="00C16741">
              <w:rPr>
                <w:noProof/>
                <w:webHidden/>
              </w:rPr>
              <w:t>7</w:t>
            </w:r>
            <w:r w:rsidR="00C16741">
              <w:rPr>
                <w:noProof/>
                <w:webHidden/>
              </w:rPr>
              <w:fldChar w:fldCharType="end"/>
            </w:r>
          </w:hyperlink>
        </w:p>
        <w:p w14:paraId="349B0153" w14:textId="77777777" w:rsidR="00C16741" w:rsidRDefault="004721D5">
          <w:pPr>
            <w:pStyle w:val="TOC3"/>
            <w:tabs>
              <w:tab w:val="right" w:leader="dot" w:pos="9350"/>
            </w:tabs>
            <w:rPr>
              <w:rFonts w:eastAsiaTheme="minorEastAsia"/>
              <w:noProof/>
            </w:rPr>
          </w:pPr>
          <w:hyperlink w:anchor="_Toc399424498" w:history="1">
            <w:r w:rsidR="00C16741" w:rsidRPr="00BE462B">
              <w:rPr>
                <w:rStyle w:val="Hyperlink"/>
                <w:noProof/>
              </w:rPr>
              <w:t>Baseline and available data</w:t>
            </w:r>
            <w:r w:rsidR="00C16741">
              <w:rPr>
                <w:noProof/>
                <w:webHidden/>
              </w:rPr>
              <w:tab/>
            </w:r>
            <w:r w:rsidR="00C16741">
              <w:rPr>
                <w:noProof/>
                <w:webHidden/>
              </w:rPr>
              <w:fldChar w:fldCharType="begin"/>
            </w:r>
            <w:r w:rsidR="00C16741">
              <w:rPr>
                <w:noProof/>
                <w:webHidden/>
              </w:rPr>
              <w:instrText xml:space="preserve"> PAGEREF _Toc399424498 \h </w:instrText>
            </w:r>
            <w:r w:rsidR="00C16741">
              <w:rPr>
                <w:noProof/>
                <w:webHidden/>
              </w:rPr>
            </w:r>
            <w:r w:rsidR="00C16741">
              <w:rPr>
                <w:noProof/>
                <w:webHidden/>
              </w:rPr>
              <w:fldChar w:fldCharType="separate"/>
            </w:r>
            <w:r w:rsidR="00C16741">
              <w:rPr>
                <w:noProof/>
                <w:webHidden/>
              </w:rPr>
              <w:t>7</w:t>
            </w:r>
            <w:r w:rsidR="00C16741">
              <w:rPr>
                <w:noProof/>
                <w:webHidden/>
              </w:rPr>
              <w:fldChar w:fldCharType="end"/>
            </w:r>
          </w:hyperlink>
        </w:p>
        <w:p w14:paraId="398E978F" w14:textId="77777777" w:rsidR="00C16741" w:rsidRDefault="004721D5">
          <w:pPr>
            <w:pStyle w:val="TOC3"/>
            <w:tabs>
              <w:tab w:val="right" w:leader="dot" w:pos="9350"/>
            </w:tabs>
            <w:rPr>
              <w:rFonts w:eastAsiaTheme="minorEastAsia"/>
              <w:noProof/>
            </w:rPr>
          </w:pPr>
          <w:hyperlink w:anchor="_Toc399424499" w:history="1">
            <w:r w:rsidR="00C16741" w:rsidRPr="00BE462B">
              <w:rPr>
                <w:rStyle w:val="Hyperlink"/>
                <w:noProof/>
              </w:rPr>
              <w:t>Table 1: First priority metrics</w:t>
            </w:r>
            <w:r w:rsidR="00C16741">
              <w:rPr>
                <w:noProof/>
                <w:webHidden/>
              </w:rPr>
              <w:tab/>
            </w:r>
            <w:r w:rsidR="00C16741">
              <w:rPr>
                <w:noProof/>
                <w:webHidden/>
              </w:rPr>
              <w:fldChar w:fldCharType="begin"/>
            </w:r>
            <w:r w:rsidR="00C16741">
              <w:rPr>
                <w:noProof/>
                <w:webHidden/>
              </w:rPr>
              <w:instrText xml:space="preserve"> PAGEREF _Toc399424499 \h </w:instrText>
            </w:r>
            <w:r w:rsidR="00C16741">
              <w:rPr>
                <w:noProof/>
                <w:webHidden/>
              </w:rPr>
            </w:r>
            <w:r w:rsidR="00C16741">
              <w:rPr>
                <w:noProof/>
                <w:webHidden/>
              </w:rPr>
              <w:fldChar w:fldCharType="separate"/>
            </w:r>
            <w:r w:rsidR="00C16741">
              <w:rPr>
                <w:noProof/>
                <w:webHidden/>
              </w:rPr>
              <w:t>7</w:t>
            </w:r>
            <w:r w:rsidR="00C16741">
              <w:rPr>
                <w:noProof/>
                <w:webHidden/>
              </w:rPr>
              <w:fldChar w:fldCharType="end"/>
            </w:r>
          </w:hyperlink>
        </w:p>
        <w:p w14:paraId="2E590A96" w14:textId="77777777" w:rsidR="00C16741" w:rsidRDefault="004721D5">
          <w:pPr>
            <w:pStyle w:val="TOC3"/>
            <w:tabs>
              <w:tab w:val="right" w:leader="dot" w:pos="9350"/>
            </w:tabs>
            <w:rPr>
              <w:rFonts w:eastAsiaTheme="minorEastAsia"/>
              <w:noProof/>
            </w:rPr>
          </w:pPr>
          <w:hyperlink w:anchor="_Toc399424500" w:history="1">
            <w:r w:rsidR="00C16741" w:rsidRPr="00BE462B">
              <w:rPr>
                <w:rStyle w:val="Hyperlink"/>
                <w:noProof/>
              </w:rPr>
              <w:t>Consumer survey and economic study</w:t>
            </w:r>
            <w:r w:rsidR="00C16741">
              <w:rPr>
                <w:noProof/>
                <w:webHidden/>
              </w:rPr>
              <w:tab/>
            </w:r>
            <w:r w:rsidR="00C16741">
              <w:rPr>
                <w:noProof/>
                <w:webHidden/>
              </w:rPr>
              <w:fldChar w:fldCharType="begin"/>
            </w:r>
            <w:r w:rsidR="00C16741">
              <w:rPr>
                <w:noProof/>
                <w:webHidden/>
              </w:rPr>
              <w:instrText xml:space="preserve"> PAGEREF _Toc399424500 \h </w:instrText>
            </w:r>
            <w:r w:rsidR="00C16741">
              <w:rPr>
                <w:noProof/>
                <w:webHidden/>
              </w:rPr>
            </w:r>
            <w:r w:rsidR="00C16741">
              <w:rPr>
                <w:noProof/>
                <w:webHidden/>
              </w:rPr>
              <w:fldChar w:fldCharType="separate"/>
            </w:r>
            <w:r w:rsidR="00C16741">
              <w:rPr>
                <w:noProof/>
                <w:webHidden/>
              </w:rPr>
              <w:t>9</w:t>
            </w:r>
            <w:r w:rsidR="00C16741">
              <w:rPr>
                <w:noProof/>
                <w:webHidden/>
              </w:rPr>
              <w:fldChar w:fldCharType="end"/>
            </w:r>
          </w:hyperlink>
        </w:p>
        <w:p w14:paraId="28F7FAD4" w14:textId="77777777" w:rsidR="00C16741" w:rsidRDefault="004721D5">
          <w:pPr>
            <w:pStyle w:val="TOC3"/>
            <w:tabs>
              <w:tab w:val="right" w:leader="dot" w:pos="9350"/>
            </w:tabs>
            <w:rPr>
              <w:rFonts w:eastAsiaTheme="minorEastAsia"/>
              <w:noProof/>
            </w:rPr>
          </w:pPr>
          <w:hyperlink w:anchor="_Toc399424501" w:history="1">
            <w:r w:rsidR="00C16741" w:rsidRPr="00BE462B">
              <w:rPr>
                <w:rStyle w:val="Hyperlink"/>
                <w:noProof/>
              </w:rPr>
              <w:t>Table 2: Survey metrics</w:t>
            </w:r>
            <w:r w:rsidR="00C16741">
              <w:rPr>
                <w:noProof/>
                <w:webHidden/>
              </w:rPr>
              <w:tab/>
            </w:r>
            <w:r w:rsidR="00C16741">
              <w:rPr>
                <w:noProof/>
                <w:webHidden/>
              </w:rPr>
              <w:fldChar w:fldCharType="begin"/>
            </w:r>
            <w:r w:rsidR="00C16741">
              <w:rPr>
                <w:noProof/>
                <w:webHidden/>
              </w:rPr>
              <w:instrText xml:space="preserve"> PAGEREF _Toc399424501 \h </w:instrText>
            </w:r>
            <w:r w:rsidR="00C16741">
              <w:rPr>
                <w:noProof/>
                <w:webHidden/>
              </w:rPr>
            </w:r>
            <w:r w:rsidR="00C16741">
              <w:rPr>
                <w:noProof/>
                <w:webHidden/>
              </w:rPr>
              <w:fldChar w:fldCharType="separate"/>
            </w:r>
            <w:r w:rsidR="00C16741">
              <w:rPr>
                <w:noProof/>
                <w:webHidden/>
              </w:rPr>
              <w:t>9</w:t>
            </w:r>
            <w:r w:rsidR="00C16741">
              <w:rPr>
                <w:noProof/>
                <w:webHidden/>
              </w:rPr>
              <w:fldChar w:fldCharType="end"/>
            </w:r>
          </w:hyperlink>
        </w:p>
        <w:p w14:paraId="4C5E64CA" w14:textId="77777777" w:rsidR="00C16741" w:rsidRDefault="004721D5">
          <w:pPr>
            <w:pStyle w:val="TOC3"/>
            <w:tabs>
              <w:tab w:val="right" w:leader="dot" w:pos="9350"/>
            </w:tabs>
            <w:rPr>
              <w:rFonts w:eastAsiaTheme="minorEastAsia"/>
              <w:noProof/>
            </w:rPr>
          </w:pPr>
          <w:hyperlink w:anchor="_Toc399424502" w:history="1">
            <w:r w:rsidR="00C16741" w:rsidRPr="00BE462B">
              <w:rPr>
                <w:rStyle w:val="Hyperlink"/>
                <w:noProof/>
              </w:rPr>
              <w:t>Table 3: Economic study metrics</w:t>
            </w:r>
            <w:r w:rsidR="00C16741">
              <w:rPr>
                <w:noProof/>
                <w:webHidden/>
              </w:rPr>
              <w:tab/>
            </w:r>
            <w:r w:rsidR="00C16741">
              <w:rPr>
                <w:noProof/>
                <w:webHidden/>
              </w:rPr>
              <w:fldChar w:fldCharType="begin"/>
            </w:r>
            <w:r w:rsidR="00C16741">
              <w:rPr>
                <w:noProof/>
                <w:webHidden/>
              </w:rPr>
              <w:instrText xml:space="preserve"> PAGEREF _Toc399424502 \h </w:instrText>
            </w:r>
            <w:r w:rsidR="00C16741">
              <w:rPr>
                <w:noProof/>
                <w:webHidden/>
              </w:rPr>
            </w:r>
            <w:r w:rsidR="00C16741">
              <w:rPr>
                <w:noProof/>
                <w:webHidden/>
              </w:rPr>
              <w:fldChar w:fldCharType="separate"/>
            </w:r>
            <w:r w:rsidR="00C16741">
              <w:rPr>
                <w:noProof/>
                <w:webHidden/>
              </w:rPr>
              <w:t>14</w:t>
            </w:r>
            <w:r w:rsidR="00C16741">
              <w:rPr>
                <w:noProof/>
                <w:webHidden/>
              </w:rPr>
              <w:fldChar w:fldCharType="end"/>
            </w:r>
          </w:hyperlink>
        </w:p>
        <w:p w14:paraId="5C4D880D" w14:textId="77777777" w:rsidR="00C16741" w:rsidRDefault="004721D5">
          <w:pPr>
            <w:pStyle w:val="TOC2"/>
            <w:tabs>
              <w:tab w:val="right" w:leader="dot" w:pos="9350"/>
            </w:tabs>
            <w:rPr>
              <w:rFonts w:eastAsiaTheme="minorEastAsia"/>
              <w:noProof/>
            </w:rPr>
          </w:pPr>
          <w:hyperlink w:anchor="_Toc399424503" w:history="1">
            <w:r w:rsidR="00C16741" w:rsidRPr="00BE462B">
              <w:rPr>
                <w:rStyle w:val="Hyperlink"/>
                <w:noProof/>
              </w:rPr>
              <w:t>Remaining metrics</w:t>
            </w:r>
            <w:r w:rsidR="00C16741">
              <w:rPr>
                <w:noProof/>
                <w:webHidden/>
              </w:rPr>
              <w:tab/>
            </w:r>
            <w:r w:rsidR="00C16741">
              <w:rPr>
                <w:noProof/>
                <w:webHidden/>
              </w:rPr>
              <w:fldChar w:fldCharType="begin"/>
            </w:r>
            <w:r w:rsidR="00C16741">
              <w:rPr>
                <w:noProof/>
                <w:webHidden/>
              </w:rPr>
              <w:instrText xml:space="preserve"> PAGEREF _Toc399424503 \h </w:instrText>
            </w:r>
            <w:r w:rsidR="00C16741">
              <w:rPr>
                <w:noProof/>
                <w:webHidden/>
              </w:rPr>
            </w:r>
            <w:r w:rsidR="00C16741">
              <w:rPr>
                <w:noProof/>
                <w:webHidden/>
              </w:rPr>
              <w:fldChar w:fldCharType="separate"/>
            </w:r>
            <w:r w:rsidR="00C16741">
              <w:rPr>
                <w:noProof/>
                <w:webHidden/>
              </w:rPr>
              <w:t>14</w:t>
            </w:r>
            <w:r w:rsidR="00C16741">
              <w:rPr>
                <w:noProof/>
                <w:webHidden/>
              </w:rPr>
              <w:fldChar w:fldCharType="end"/>
            </w:r>
          </w:hyperlink>
        </w:p>
        <w:p w14:paraId="25693F6E" w14:textId="77777777" w:rsidR="00C16741" w:rsidRDefault="004721D5">
          <w:pPr>
            <w:pStyle w:val="TOC3"/>
            <w:tabs>
              <w:tab w:val="right" w:leader="dot" w:pos="9350"/>
            </w:tabs>
            <w:rPr>
              <w:rFonts w:eastAsiaTheme="minorEastAsia"/>
              <w:noProof/>
            </w:rPr>
          </w:pPr>
          <w:hyperlink w:anchor="_Toc399424504" w:history="1">
            <w:r w:rsidR="00C16741" w:rsidRPr="00BE462B">
              <w:rPr>
                <w:rStyle w:val="Hyperlink"/>
                <w:noProof/>
              </w:rPr>
              <w:t>Table 4: Remaining metrics for evaluation</w:t>
            </w:r>
            <w:r w:rsidR="00C16741">
              <w:rPr>
                <w:noProof/>
                <w:webHidden/>
              </w:rPr>
              <w:tab/>
            </w:r>
            <w:r w:rsidR="00C16741">
              <w:rPr>
                <w:noProof/>
                <w:webHidden/>
              </w:rPr>
              <w:fldChar w:fldCharType="begin"/>
            </w:r>
            <w:r w:rsidR="00C16741">
              <w:rPr>
                <w:noProof/>
                <w:webHidden/>
              </w:rPr>
              <w:instrText xml:space="preserve"> PAGEREF _Toc399424504 \h </w:instrText>
            </w:r>
            <w:r w:rsidR="00C16741">
              <w:rPr>
                <w:noProof/>
                <w:webHidden/>
              </w:rPr>
            </w:r>
            <w:r w:rsidR="00C16741">
              <w:rPr>
                <w:noProof/>
                <w:webHidden/>
              </w:rPr>
              <w:fldChar w:fldCharType="separate"/>
            </w:r>
            <w:r w:rsidR="00C16741">
              <w:rPr>
                <w:noProof/>
                <w:webHidden/>
              </w:rPr>
              <w:t>15</w:t>
            </w:r>
            <w:r w:rsidR="00C16741">
              <w:rPr>
                <w:noProof/>
                <w:webHidden/>
              </w:rPr>
              <w:fldChar w:fldCharType="end"/>
            </w:r>
          </w:hyperlink>
        </w:p>
        <w:p w14:paraId="51B3173B" w14:textId="77777777" w:rsidR="00C16741" w:rsidRDefault="004721D5">
          <w:pPr>
            <w:pStyle w:val="TOC3"/>
            <w:tabs>
              <w:tab w:val="right" w:leader="dot" w:pos="9350"/>
            </w:tabs>
            <w:rPr>
              <w:rFonts w:eastAsiaTheme="minorEastAsia"/>
              <w:noProof/>
            </w:rPr>
          </w:pPr>
          <w:hyperlink w:anchor="_Toc399424505" w:history="1">
            <w:r w:rsidR="00C16741" w:rsidRPr="00BE462B">
              <w:rPr>
                <w:rStyle w:val="Hyperlink"/>
                <w:noProof/>
              </w:rPr>
              <w:t>Metrics that may require contextual analysis or rephrasing</w:t>
            </w:r>
            <w:r w:rsidR="00C16741">
              <w:rPr>
                <w:noProof/>
                <w:webHidden/>
              </w:rPr>
              <w:tab/>
            </w:r>
            <w:r w:rsidR="00C16741">
              <w:rPr>
                <w:noProof/>
                <w:webHidden/>
              </w:rPr>
              <w:fldChar w:fldCharType="begin"/>
            </w:r>
            <w:r w:rsidR="00C16741">
              <w:rPr>
                <w:noProof/>
                <w:webHidden/>
              </w:rPr>
              <w:instrText xml:space="preserve"> PAGEREF _Toc399424505 \h </w:instrText>
            </w:r>
            <w:r w:rsidR="00C16741">
              <w:rPr>
                <w:noProof/>
                <w:webHidden/>
              </w:rPr>
            </w:r>
            <w:r w:rsidR="00C16741">
              <w:rPr>
                <w:noProof/>
                <w:webHidden/>
              </w:rPr>
              <w:fldChar w:fldCharType="separate"/>
            </w:r>
            <w:r w:rsidR="00C16741">
              <w:rPr>
                <w:noProof/>
                <w:webHidden/>
              </w:rPr>
              <w:t>17</w:t>
            </w:r>
            <w:r w:rsidR="00C16741">
              <w:rPr>
                <w:noProof/>
                <w:webHidden/>
              </w:rPr>
              <w:fldChar w:fldCharType="end"/>
            </w:r>
          </w:hyperlink>
        </w:p>
        <w:p w14:paraId="5E8F1C15" w14:textId="77777777" w:rsidR="00C16741" w:rsidRDefault="004721D5">
          <w:pPr>
            <w:pStyle w:val="TOC3"/>
            <w:tabs>
              <w:tab w:val="right" w:leader="dot" w:pos="9350"/>
            </w:tabs>
            <w:rPr>
              <w:rFonts w:eastAsiaTheme="minorEastAsia"/>
              <w:noProof/>
            </w:rPr>
          </w:pPr>
          <w:hyperlink w:anchor="_Toc399424506" w:history="1">
            <w:r w:rsidR="00C16741" w:rsidRPr="00BE462B">
              <w:rPr>
                <w:rStyle w:val="Hyperlink"/>
                <w:noProof/>
              </w:rPr>
              <w:t>Metrics that were not recommended</w:t>
            </w:r>
            <w:r w:rsidR="00C16741">
              <w:rPr>
                <w:noProof/>
                <w:webHidden/>
              </w:rPr>
              <w:tab/>
            </w:r>
            <w:r w:rsidR="00C16741">
              <w:rPr>
                <w:noProof/>
                <w:webHidden/>
              </w:rPr>
              <w:fldChar w:fldCharType="begin"/>
            </w:r>
            <w:r w:rsidR="00C16741">
              <w:rPr>
                <w:noProof/>
                <w:webHidden/>
              </w:rPr>
              <w:instrText xml:space="preserve"> PAGEREF _Toc399424506 \h </w:instrText>
            </w:r>
            <w:r w:rsidR="00C16741">
              <w:rPr>
                <w:noProof/>
                <w:webHidden/>
              </w:rPr>
            </w:r>
            <w:r w:rsidR="00C16741">
              <w:rPr>
                <w:noProof/>
                <w:webHidden/>
              </w:rPr>
              <w:fldChar w:fldCharType="separate"/>
            </w:r>
            <w:r w:rsidR="00C16741">
              <w:rPr>
                <w:noProof/>
                <w:webHidden/>
              </w:rPr>
              <w:t>22</w:t>
            </w:r>
            <w:r w:rsidR="00C16741">
              <w:rPr>
                <w:noProof/>
                <w:webHidden/>
              </w:rPr>
              <w:fldChar w:fldCharType="end"/>
            </w:r>
          </w:hyperlink>
        </w:p>
        <w:p w14:paraId="33352FD1" w14:textId="77777777" w:rsidR="00C16741" w:rsidRDefault="004721D5">
          <w:pPr>
            <w:pStyle w:val="TOC2"/>
            <w:tabs>
              <w:tab w:val="right" w:leader="dot" w:pos="9350"/>
            </w:tabs>
            <w:rPr>
              <w:rFonts w:eastAsiaTheme="minorEastAsia"/>
              <w:noProof/>
            </w:rPr>
          </w:pPr>
          <w:hyperlink w:anchor="_Toc399424507" w:history="1">
            <w:r w:rsidR="00C16741" w:rsidRPr="00BE462B">
              <w:rPr>
                <w:rStyle w:val="Hyperlink"/>
                <w:noProof/>
              </w:rPr>
              <w:t>Proposed new metrics</w:t>
            </w:r>
            <w:r w:rsidR="00C16741">
              <w:rPr>
                <w:noProof/>
                <w:webHidden/>
              </w:rPr>
              <w:tab/>
            </w:r>
            <w:r w:rsidR="00C16741">
              <w:rPr>
                <w:noProof/>
                <w:webHidden/>
              </w:rPr>
              <w:fldChar w:fldCharType="begin"/>
            </w:r>
            <w:r w:rsidR="00C16741">
              <w:rPr>
                <w:noProof/>
                <w:webHidden/>
              </w:rPr>
              <w:instrText xml:space="preserve"> PAGEREF _Toc399424507 \h </w:instrText>
            </w:r>
            <w:r w:rsidR="00C16741">
              <w:rPr>
                <w:noProof/>
                <w:webHidden/>
              </w:rPr>
            </w:r>
            <w:r w:rsidR="00C16741">
              <w:rPr>
                <w:noProof/>
                <w:webHidden/>
              </w:rPr>
              <w:fldChar w:fldCharType="separate"/>
            </w:r>
            <w:r w:rsidR="00C16741">
              <w:rPr>
                <w:noProof/>
                <w:webHidden/>
              </w:rPr>
              <w:t>23</w:t>
            </w:r>
            <w:r w:rsidR="00C16741">
              <w:rPr>
                <w:noProof/>
                <w:webHidden/>
              </w:rPr>
              <w:fldChar w:fldCharType="end"/>
            </w:r>
          </w:hyperlink>
        </w:p>
        <w:p w14:paraId="1A7824C4" w14:textId="77777777" w:rsidR="00C16741" w:rsidRDefault="004721D5">
          <w:pPr>
            <w:pStyle w:val="TOC3"/>
            <w:tabs>
              <w:tab w:val="right" w:leader="dot" w:pos="9350"/>
            </w:tabs>
            <w:rPr>
              <w:rFonts w:eastAsiaTheme="minorEastAsia"/>
              <w:noProof/>
            </w:rPr>
          </w:pPr>
          <w:hyperlink w:anchor="_Toc399424508" w:history="1">
            <w:r w:rsidR="00C16741" w:rsidRPr="00BE462B">
              <w:rPr>
                <w:rStyle w:val="Hyperlink"/>
                <w:noProof/>
              </w:rPr>
              <w:t>Evaluation</w:t>
            </w:r>
            <w:r w:rsidR="00C16741">
              <w:rPr>
                <w:noProof/>
                <w:webHidden/>
              </w:rPr>
              <w:tab/>
            </w:r>
            <w:r w:rsidR="00C16741">
              <w:rPr>
                <w:noProof/>
                <w:webHidden/>
              </w:rPr>
              <w:fldChar w:fldCharType="begin"/>
            </w:r>
            <w:r w:rsidR="00C16741">
              <w:rPr>
                <w:noProof/>
                <w:webHidden/>
              </w:rPr>
              <w:instrText xml:space="preserve"> PAGEREF _Toc399424508 \h </w:instrText>
            </w:r>
            <w:r w:rsidR="00C16741">
              <w:rPr>
                <w:noProof/>
                <w:webHidden/>
              </w:rPr>
            </w:r>
            <w:r w:rsidR="00C16741">
              <w:rPr>
                <w:noProof/>
                <w:webHidden/>
              </w:rPr>
              <w:fldChar w:fldCharType="separate"/>
            </w:r>
            <w:r w:rsidR="00C16741">
              <w:rPr>
                <w:noProof/>
                <w:webHidden/>
              </w:rPr>
              <w:t>23</w:t>
            </w:r>
            <w:r w:rsidR="00C16741">
              <w:rPr>
                <w:noProof/>
                <w:webHidden/>
              </w:rPr>
              <w:fldChar w:fldCharType="end"/>
            </w:r>
          </w:hyperlink>
        </w:p>
        <w:p w14:paraId="0E2743C1" w14:textId="77777777" w:rsidR="00C16741" w:rsidRDefault="004721D5">
          <w:pPr>
            <w:pStyle w:val="TOC1"/>
            <w:tabs>
              <w:tab w:val="right" w:leader="dot" w:pos="9350"/>
            </w:tabs>
            <w:rPr>
              <w:rFonts w:eastAsiaTheme="minorEastAsia"/>
              <w:noProof/>
            </w:rPr>
          </w:pPr>
          <w:hyperlink w:anchor="_Toc399424509" w:history="1">
            <w:r w:rsidR="00C16741" w:rsidRPr="00BE462B">
              <w:rPr>
                <w:rStyle w:val="Hyperlink"/>
                <w:noProof/>
              </w:rPr>
              <w:t>Conclusion</w:t>
            </w:r>
            <w:r w:rsidR="00C16741">
              <w:rPr>
                <w:noProof/>
                <w:webHidden/>
              </w:rPr>
              <w:tab/>
            </w:r>
            <w:r w:rsidR="00C16741">
              <w:rPr>
                <w:noProof/>
                <w:webHidden/>
              </w:rPr>
              <w:fldChar w:fldCharType="begin"/>
            </w:r>
            <w:r w:rsidR="00C16741">
              <w:rPr>
                <w:noProof/>
                <w:webHidden/>
              </w:rPr>
              <w:instrText xml:space="preserve"> PAGEREF _Toc399424509 \h </w:instrText>
            </w:r>
            <w:r w:rsidR="00C16741">
              <w:rPr>
                <w:noProof/>
                <w:webHidden/>
              </w:rPr>
            </w:r>
            <w:r w:rsidR="00C16741">
              <w:rPr>
                <w:noProof/>
                <w:webHidden/>
              </w:rPr>
              <w:fldChar w:fldCharType="separate"/>
            </w:r>
            <w:r w:rsidR="00C16741">
              <w:rPr>
                <w:noProof/>
                <w:webHidden/>
              </w:rPr>
              <w:t>24</w:t>
            </w:r>
            <w:r w:rsidR="00C16741">
              <w:rPr>
                <w:noProof/>
                <w:webHidden/>
              </w:rPr>
              <w:fldChar w:fldCharType="end"/>
            </w:r>
          </w:hyperlink>
        </w:p>
        <w:p w14:paraId="135F00B5" w14:textId="77777777" w:rsidR="00C16741" w:rsidRDefault="004721D5">
          <w:pPr>
            <w:pStyle w:val="TOC1"/>
            <w:tabs>
              <w:tab w:val="right" w:leader="dot" w:pos="9350"/>
            </w:tabs>
            <w:rPr>
              <w:rFonts w:eastAsiaTheme="minorEastAsia"/>
              <w:noProof/>
            </w:rPr>
          </w:pPr>
          <w:hyperlink w:anchor="_Toc399424510" w:history="1">
            <w:r w:rsidR="00C16741" w:rsidRPr="00BE462B">
              <w:rPr>
                <w:rStyle w:val="Hyperlink"/>
                <w:noProof/>
              </w:rPr>
              <w:t>Appendix 1: Original proposed metrics</w:t>
            </w:r>
            <w:r w:rsidR="00C16741">
              <w:rPr>
                <w:noProof/>
                <w:webHidden/>
              </w:rPr>
              <w:tab/>
            </w:r>
            <w:r w:rsidR="00C16741">
              <w:rPr>
                <w:noProof/>
                <w:webHidden/>
              </w:rPr>
              <w:fldChar w:fldCharType="begin"/>
            </w:r>
            <w:r w:rsidR="00C16741">
              <w:rPr>
                <w:noProof/>
                <w:webHidden/>
              </w:rPr>
              <w:instrText xml:space="preserve"> PAGEREF _Toc399424510 \h </w:instrText>
            </w:r>
            <w:r w:rsidR="00C16741">
              <w:rPr>
                <w:noProof/>
                <w:webHidden/>
              </w:rPr>
            </w:r>
            <w:r w:rsidR="00C16741">
              <w:rPr>
                <w:noProof/>
                <w:webHidden/>
              </w:rPr>
              <w:fldChar w:fldCharType="separate"/>
            </w:r>
            <w:r w:rsidR="00C16741">
              <w:rPr>
                <w:noProof/>
                <w:webHidden/>
              </w:rPr>
              <w:t>25</w:t>
            </w:r>
            <w:r w:rsidR="00C16741">
              <w:rPr>
                <w:noProof/>
                <w:webHidden/>
              </w:rPr>
              <w:fldChar w:fldCharType="end"/>
            </w:r>
          </w:hyperlink>
        </w:p>
        <w:p w14:paraId="3EAADF12" w14:textId="77777777" w:rsidR="00C16741" w:rsidRDefault="004721D5">
          <w:pPr>
            <w:pStyle w:val="TOC1"/>
            <w:tabs>
              <w:tab w:val="right" w:leader="dot" w:pos="9350"/>
            </w:tabs>
            <w:rPr>
              <w:rFonts w:eastAsiaTheme="minorEastAsia"/>
              <w:noProof/>
            </w:rPr>
          </w:pPr>
          <w:hyperlink w:anchor="_Toc399424511" w:history="1">
            <w:r w:rsidR="00C16741" w:rsidRPr="00BE462B">
              <w:rPr>
                <w:rStyle w:val="Hyperlink"/>
                <w:noProof/>
              </w:rPr>
              <w:t>Appendix 2: Recommended metrics, reorganization, and data collection phases</w:t>
            </w:r>
            <w:r w:rsidR="00C16741">
              <w:rPr>
                <w:noProof/>
                <w:webHidden/>
              </w:rPr>
              <w:tab/>
            </w:r>
            <w:r w:rsidR="00C16741">
              <w:rPr>
                <w:noProof/>
                <w:webHidden/>
              </w:rPr>
              <w:fldChar w:fldCharType="begin"/>
            </w:r>
            <w:r w:rsidR="00C16741">
              <w:rPr>
                <w:noProof/>
                <w:webHidden/>
              </w:rPr>
              <w:instrText xml:space="preserve"> PAGEREF _Toc399424511 \h </w:instrText>
            </w:r>
            <w:r w:rsidR="00C16741">
              <w:rPr>
                <w:noProof/>
                <w:webHidden/>
              </w:rPr>
            </w:r>
            <w:r w:rsidR="00C16741">
              <w:rPr>
                <w:noProof/>
                <w:webHidden/>
              </w:rPr>
              <w:fldChar w:fldCharType="separate"/>
            </w:r>
            <w:r w:rsidR="00C16741">
              <w:rPr>
                <w:noProof/>
                <w:webHidden/>
              </w:rPr>
              <w:t>31</w:t>
            </w:r>
            <w:r w:rsidR="00C16741">
              <w:rPr>
                <w:noProof/>
                <w:webHidden/>
              </w:rPr>
              <w:fldChar w:fldCharType="end"/>
            </w:r>
          </w:hyperlink>
        </w:p>
        <w:p w14:paraId="3C3C7BAC" w14:textId="77777777" w:rsidR="00C16741" w:rsidRDefault="004721D5">
          <w:pPr>
            <w:pStyle w:val="TOC1"/>
            <w:tabs>
              <w:tab w:val="right" w:leader="dot" w:pos="9350"/>
            </w:tabs>
            <w:rPr>
              <w:rFonts w:eastAsiaTheme="minorEastAsia"/>
              <w:noProof/>
            </w:rPr>
          </w:pPr>
          <w:hyperlink w:anchor="_Toc399424512" w:history="1">
            <w:r w:rsidR="00C16741" w:rsidRPr="00BE462B">
              <w:rPr>
                <w:rStyle w:val="Hyperlink"/>
                <w:noProof/>
              </w:rPr>
              <w:t>Appendix 3: Metrics breakdown</w:t>
            </w:r>
            <w:r w:rsidR="00C16741">
              <w:rPr>
                <w:noProof/>
                <w:webHidden/>
              </w:rPr>
              <w:tab/>
            </w:r>
            <w:r w:rsidR="00C16741">
              <w:rPr>
                <w:noProof/>
                <w:webHidden/>
              </w:rPr>
              <w:fldChar w:fldCharType="begin"/>
            </w:r>
            <w:r w:rsidR="00C16741">
              <w:rPr>
                <w:noProof/>
                <w:webHidden/>
              </w:rPr>
              <w:instrText xml:space="preserve"> PAGEREF _Toc399424512 \h </w:instrText>
            </w:r>
            <w:r w:rsidR="00C16741">
              <w:rPr>
                <w:noProof/>
                <w:webHidden/>
              </w:rPr>
            </w:r>
            <w:r w:rsidR="00C16741">
              <w:rPr>
                <w:noProof/>
                <w:webHidden/>
              </w:rPr>
              <w:fldChar w:fldCharType="separate"/>
            </w:r>
            <w:r w:rsidR="00C16741">
              <w:rPr>
                <w:noProof/>
                <w:webHidden/>
              </w:rPr>
              <w:t>38</w:t>
            </w:r>
            <w:r w:rsidR="00C16741">
              <w:rPr>
                <w:noProof/>
                <w:webHidden/>
              </w:rPr>
              <w:fldChar w:fldCharType="end"/>
            </w:r>
          </w:hyperlink>
        </w:p>
        <w:p w14:paraId="77614FEB" w14:textId="77777777" w:rsidR="00C16741" w:rsidRDefault="004721D5">
          <w:pPr>
            <w:pStyle w:val="TOC1"/>
            <w:tabs>
              <w:tab w:val="right" w:leader="dot" w:pos="9350"/>
            </w:tabs>
            <w:rPr>
              <w:rFonts w:eastAsiaTheme="minorEastAsia"/>
              <w:noProof/>
            </w:rPr>
          </w:pPr>
          <w:hyperlink w:anchor="_Toc399424513" w:history="1">
            <w:r w:rsidR="00C16741" w:rsidRPr="00BE462B">
              <w:rPr>
                <w:rStyle w:val="Hyperlink"/>
                <w:noProof/>
              </w:rPr>
              <w:t>Appendix 4: Team composition</w:t>
            </w:r>
            <w:r w:rsidR="00C16741">
              <w:rPr>
                <w:noProof/>
                <w:webHidden/>
              </w:rPr>
              <w:tab/>
            </w:r>
            <w:r w:rsidR="00C16741">
              <w:rPr>
                <w:noProof/>
                <w:webHidden/>
              </w:rPr>
              <w:fldChar w:fldCharType="begin"/>
            </w:r>
            <w:r w:rsidR="00C16741">
              <w:rPr>
                <w:noProof/>
                <w:webHidden/>
              </w:rPr>
              <w:instrText xml:space="preserve"> PAGEREF _Toc399424513 \h </w:instrText>
            </w:r>
            <w:r w:rsidR="00C16741">
              <w:rPr>
                <w:noProof/>
                <w:webHidden/>
              </w:rPr>
            </w:r>
            <w:r w:rsidR="00C16741">
              <w:rPr>
                <w:noProof/>
                <w:webHidden/>
              </w:rPr>
              <w:fldChar w:fldCharType="separate"/>
            </w:r>
            <w:r w:rsidR="00C16741">
              <w:rPr>
                <w:noProof/>
                <w:webHidden/>
              </w:rPr>
              <w:t>39</w:t>
            </w:r>
            <w:r w:rsidR="00C16741">
              <w:rPr>
                <w:noProof/>
                <w:webHidden/>
              </w:rPr>
              <w:fldChar w:fldCharType="end"/>
            </w:r>
          </w:hyperlink>
        </w:p>
        <w:p w14:paraId="6A6F6E0F" w14:textId="0C99080A" w:rsidR="00602EFE" w:rsidRDefault="00602EFE">
          <w:r>
            <w:rPr>
              <w:b/>
              <w:bCs/>
              <w:noProof/>
            </w:rPr>
            <w:fldChar w:fldCharType="end"/>
          </w:r>
        </w:p>
      </w:sdtContent>
    </w:sdt>
    <w:p w14:paraId="5D61F734" w14:textId="77777777" w:rsidR="000228E4" w:rsidRDefault="000228E4" w:rsidP="006552EE">
      <w:pPr>
        <w:rPr>
          <w:rFonts w:asciiTheme="majorHAnsi" w:eastAsiaTheme="majorEastAsia" w:hAnsiTheme="majorHAnsi" w:cstheme="majorBidi"/>
          <w:color w:val="2E74B5" w:themeColor="accent1" w:themeShade="BF"/>
          <w:sz w:val="32"/>
          <w:szCs w:val="32"/>
        </w:rPr>
      </w:pPr>
    </w:p>
    <w:p w14:paraId="3D624466" w14:textId="77777777" w:rsidR="006552EE" w:rsidRPr="006552EE" w:rsidRDefault="006552EE" w:rsidP="006552EE">
      <w:pPr>
        <w:pStyle w:val="Heading1"/>
      </w:pPr>
    </w:p>
    <w:p w14:paraId="556F4012" w14:textId="77777777" w:rsidR="000228E4" w:rsidRDefault="000228E4">
      <w:pPr>
        <w:rPr>
          <w:rFonts w:asciiTheme="majorHAnsi" w:eastAsiaTheme="majorEastAsia" w:hAnsiTheme="majorHAnsi" w:cstheme="majorBidi"/>
          <w:color w:val="2E74B5" w:themeColor="accent1" w:themeShade="BF"/>
          <w:sz w:val="26"/>
          <w:szCs w:val="26"/>
        </w:rPr>
      </w:pPr>
      <w:r>
        <w:br w:type="page"/>
      </w:r>
    </w:p>
    <w:p w14:paraId="7DE6DBB0" w14:textId="78D9C533" w:rsidR="00DB071D" w:rsidRDefault="00E479A3" w:rsidP="00602EFE">
      <w:pPr>
        <w:pStyle w:val="Heading1"/>
      </w:pPr>
      <w:bookmarkStart w:id="0" w:name="_Toc399424492"/>
      <w:r w:rsidRPr="00366440">
        <w:lastRenderedPageBreak/>
        <w:t>Executive Summary</w:t>
      </w:r>
      <w:bookmarkEnd w:id="0"/>
    </w:p>
    <w:p w14:paraId="1C86D897" w14:textId="77777777" w:rsidR="006552EE" w:rsidRDefault="006552EE" w:rsidP="006552EE">
      <w:r>
        <w:t xml:space="preserve">The Implementation Advisory Group for Competition, Consumer Trust &amp; Consumer Choice (IAG-CCT) was convened in October 2013 by the ICANN Board of Directors to evaluate metrics proposed by the Generic Names Supporting Organization (GNSO) and the At-Large Advisory Committee (ALAC). After eight months of deliberation, the group presents the metrics referenced herein to be used for ICANN’s review of the </w:t>
      </w:r>
      <w:proofErr w:type="gramStart"/>
      <w:r>
        <w:t>New</w:t>
      </w:r>
      <w:proofErr w:type="gramEnd"/>
      <w:r>
        <w:t xml:space="preserve"> </w:t>
      </w:r>
      <w:proofErr w:type="spellStart"/>
      <w:r>
        <w:t>gTLD</w:t>
      </w:r>
      <w:proofErr w:type="spellEnd"/>
      <w:r>
        <w:t xml:space="preserve"> Program, as mandated by the Affirmation of Commitments</w:t>
      </w:r>
      <w:r w:rsidR="00FF5D23">
        <w:t xml:space="preserve"> (AOC)</w:t>
      </w:r>
      <w:r>
        <w:t>, section 9.3.</w:t>
      </w:r>
      <w:r w:rsidR="009E4C26">
        <w:rPr>
          <w:rStyle w:val="FootnoteReference"/>
        </w:rPr>
        <w:footnoteReference w:id="1"/>
      </w:r>
      <w:r>
        <w:t xml:space="preserve"> </w:t>
      </w:r>
    </w:p>
    <w:p w14:paraId="7C2FD0D3" w14:textId="77777777" w:rsidR="00F070CE" w:rsidRDefault="00F070CE" w:rsidP="006552EE">
      <w:r>
        <w:t xml:space="preserve">The IAG-CCT’s mandate was to develop a set of recommendations on the metrics suggested for the eventual review team to compile and </w:t>
      </w:r>
      <w:r w:rsidR="00096C6D">
        <w:t>analyze</w:t>
      </w:r>
      <w:r>
        <w:t xml:space="preserve">. The group evaluated each metric on its feasibility, utility and cost-effectiveness. Its evaluation considered data available to the review team both internally from ICANN, as well as that which may be acquired from third party sources. </w:t>
      </w:r>
      <w:r w:rsidR="00FF5D23">
        <w:t>The CCT review is one of four periodic reviews called for in the AOC</w:t>
      </w:r>
      <w:r w:rsidR="00096C6D">
        <w:t xml:space="preserve"> focused on the following </w:t>
      </w:r>
      <w:r w:rsidR="00FF5D23">
        <w:t xml:space="preserve">four objectives: </w:t>
      </w:r>
    </w:p>
    <w:p w14:paraId="516B22CA" w14:textId="77777777" w:rsidR="00FF5D23" w:rsidRDefault="00FF5D23" w:rsidP="00FF5D23">
      <w:pPr>
        <w:pStyle w:val="ListParagraph"/>
        <w:numPr>
          <w:ilvl w:val="0"/>
          <w:numId w:val="3"/>
        </w:numPr>
      </w:pPr>
      <w:r>
        <w:t>Ensuring accountability, transparency and the interests of global Internet users;</w:t>
      </w:r>
    </w:p>
    <w:p w14:paraId="16228E34" w14:textId="77777777" w:rsidR="00FF5D23" w:rsidRDefault="00FF5D23" w:rsidP="00FF5D23">
      <w:pPr>
        <w:pStyle w:val="ListParagraph"/>
        <w:numPr>
          <w:ilvl w:val="0"/>
          <w:numId w:val="3"/>
        </w:numPr>
      </w:pPr>
      <w:r>
        <w:t xml:space="preserve">Preserving security, stability and resiliency of the DNS; </w:t>
      </w:r>
    </w:p>
    <w:p w14:paraId="46B62D2B" w14:textId="77777777" w:rsidR="00FF5D23" w:rsidRDefault="00FF5D23" w:rsidP="00FF5D23">
      <w:pPr>
        <w:pStyle w:val="ListParagraph"/>
        <w:numPr>
          <w:ilvl w:val="0"/>
          <w:numId w:val="3"/>
        </w:numPr>
      </w:pPr>
      <w:r>
        <w:t xml:space="preserve">Promoting competition, consumer trust and consumer choice; and </w:t>
      </w:r>
    </w:p>
    <w:p w14:paraId="55EFA103" w14:textId="77777777" w:rsidR="00FF5D23" w:rsidRDefault="00FF5D23" w:rsidP="00FF5D23">
      <w:pPr>
        <w:pStyle w:val="ListParagraph"/>
        <w:numPr>
          <w:ilvl w:val="0"/>
          <w:numId w:val="3"/>
        </w:numPr>
      </w:pPr>
      <w:proofErr w:type="spellStart"/>
      <w:r>
        <w:t>Whois</w:t>
      </w:r>
      <w:proofErr w:type="spellEnd"/>
      <w:r>
        <w:t xml:space="preserve"> policy.</w:t>
      </w:r>
    </w:p>
    <w:p w14:paraId="6500DA7C" w14:textId="77777777" w:rsidR="00660373" w:rsidRDefault="00660373" w:rsidP="006552EE">
      <w:r>
        <w:t xml:space="preserve">In its discussions, the </w:t>
      </w:r>
      <w:r w:rsidR="00EC1C97">
        <w:t xml:space="preserve">28 </w:t>
      </w:r>
      <w:r>
        <w:t xml:space="preserve">IAG-CCT members debated the merits of the recommended metrics, including whether targeted values demonstrated that a particular metric </w:t>
      </w:r>
      <w:r w:rsidR="00F070CE">
        <w:t xml:space="preserve">would be useful in evaluating the impact of the </w:t>
      </w:r>
      <w:proofErr w:type="gramStart"/>
      <w:r w:rsidR="00F070CE">
        <w:t>New</w:t>
      </w:r>
      <w:proofErr w:type="gramEnd"/>
      <w:r w:rsidR="00F070CE">
        <w:t xml:space="preserve"> </w:t>
      </w:r>
      <w:proofErr w:type="spellStart"/>
      <w:r w:rsidR="00F070CE">
        <w:t>gTLD</w:t>
      </w:r>
      <w:proofErr w:type="spellEnd"/>
      <w:r w:rsidR="00F070CE">
        <w:t xml:space="preserve"> Program. </w:t>
      </w:r>
      <w:r w:rsidR="00FF5D23">
        <w:t xml:space="preserve">Where the IAG-CCT’s recommendations differed from those of the GNSO and ALAC, members consulted with their communities to share the IAG-CCT’s rationale and determine whether the collective recommendations sufficiently addressed the larger community’s goals. </w:t>
      </w:r>
      <w:r w:rsidR="00B904B3">
        <w:t xml:space="preserve">Ultimately, the group came to a consensus on the below recommendations. </w:t>
      </w:r>
    </w:p>
    <w:p w14:paraId="6CCAC48D" w14:textId="13B94C16" w:rsidR="00504B70" w:rsidRPr="006552EE" w:rsidRDefault="00504B70" w:rsidP="006552EE">
      <w:r>
        <w:t xml:space="preserve">The CCT review is expected to launch after new </w:t>
      </w:r>
      <w:proofErr w:type="spellStart"/>
      <w:r>
        <w:t>gTLDs</w:t>
      </w:r>
      <w:proofErr w:type="spellEnd"/>
      <w:r>
        <w:t xml:space="preserve"> have been in operation for one year. </w:t>
      </w:r>
      <w:r w:rsidR="003F3A61">
        <w:t xml:space="preserve">However, in order to establish a baseline for activity in the current TLD space, some metrics were measured soon after they were deemed to be feasible and useful for the review team to ensure an accurate baseline was captured. </w:t>
      </w:r>
    </w:p>
    <w:p w14:paraId="39E33894" w14:textId="77777777" w:rsidR="00DB071D" w:rsidRDefault="00E479A3" w:rsidP="000F16C2">
      <w:pPr>
        <w:pStyle w:val="Heading1"/>
      </w:pPr>
      <w:bookmarkStart w:id="1" w:name="_Toc399424493"/>
      <w:r w:rsidRPr="00366440">
        <w:t>Recommendations</w:t>
      </w:r>
      <w:bookmarkEnd w:id="1"/>
    </w:p>
    <w:p w14:paraId="5CFE5A35" w14:textId="77777777" w:rsidR="00012436" w:rsidRDefault="00012436" w:rsidP="00012436">
      <w:r>
        <w:t xml:space="preserve">The IAG-CCT reviewed the 70 recommended metrics from the GNSO and ALAC and </w:t>
      </w:r>
      <w:r w:rsidR="00B904B3">
        <w:t>makes</w:t>
      </w:r>
      <w:r>
        <w:t xml:space="preserve"> the following recommendations: </w:t>
      </w:r>
    </w:p>
    <w:p w14:paraId="24D7984B" w14:textId="2A12D13E" w:rsidR="00012436" w:rsidRDefault="00001CBD" w:rsidP="00012436">
      <w:pPr>
        <w:pStyle w:val="ListParagraph"/>
        <w:numPr>
          <w:ilvl w:val="0"/>
          <w:numId w:val="2"/>
        </w:numPr>
      </w:pPr>
      <w:r>
        <w:t>Collect data on</w:t>
      </w:r>
      <w:r w:rsidR="00012436">
        <w:t xml:space="preserve"> 6</w:t>
      </w:r>
      <w:r w:rsidR="00785B4C">
        <w:t>5</w:t>
      </w:r>
      <w:r w:rsidR="00012436">
        <w:t xml:space="preserve"> metrics, with some adjustments to</w:t>
      </w:r>
      <w:r w:rsidR="00660373">
        <w:t xml:space="preserve"> terms and</w:t>
      </w:r>
      <w:r w:rsidR="00012436">
        <w:t xml:space="preserve"> parameters for data collection.</w:t>
      </w:r>
    </w:p>
    <w:p w14:paraId="7DFA4471" w14:textId="3516F7CB" w:rsidR="00012436" w:rsidRDefault="00A11852" w:rsidP="00012436">
      <w:pPr>
        <w:pStyle w:val="ListParagraph"/>
        <w:numPr>
          <w:ilvl w:val="0"/>
          <w:numId w:val="2"/>
        </w:numPr>
      </w:pPr>
      <w:r>
        <w:t>Delete</w:t>
      </w:r>
      <w:r w:rsidR="00012436">
        <w:t xml:space="preserve"> </w:t>
      </w:r>
      <w:r w:rsidR="00785B4C">
        <w:t>5</w:t>
      </w:r>
      <w:r w:rsidR="00012436">
        <w:t xml:space="preserve"> metrics.</w:t>
      </w:r>
    </w:p>
    <w:p w14:paraId="0520A308" w14:textId="77777777" w:rsidR="00012436" w:rsidRDefault="00012436" w:rsidP="00012436">
      <w:pPr>
        <w:pStyle w:val="ListParagraph"/>
        <w:numPr>
          <w:ilvl w:val="0"/>
          <w:numId w:val="2"/>
        </w:numPr>
      </w:pPr>
      <w:r>
        <w:t xml:space="preserve">Add </w:t>
      </w:r>
      <w:r w:rsidR="00660373">
        <w:t xml:space="preserve">one new metric on the impact of name collisions on new </w:t>
      </w:r>
      <w:proofErr w:type="spellStart"/>
      <w:r w:rsidR="00660373">
        <w:t>gTLD</w:t>
      </w:r>
      <w:proofErr w:type="spellEnd"/>
      <w:r w:rsidR="00660373">
        <w:t xml:space="preserve"> registrations. </w:t>
      </w:r>
    </w:p>
    <w:p w14:paraId="501B26AC" w14:textId="15AE0430" w:rsidR="00B904B3" w:rsidRDefault="00B904B3" w:rsidP="00B904B3">
      <w:r>
        <w:lastRenderedPageBreak/>
        <w:t>Of the 6</w:t>
      </w:r>
      <w:r w:rsidR="00785B4C">
        <w:t>5</w:t>
      </w:r>
      <w:r>
        <w:t xml:space="preserve"> recommended metrics, several included baseline figures that capture a snapshot of behaviors and activity in the domain name marketplace prior to the saturation of new </w:t>
      </w:r>
      <w:proofErr w:type="spellStart"/>
      <w:r>
        <w:t>gTLDs</w:t>
      </w:r>
      <w:proofErr w:type="spellEnd"/>
      <w:r>
        <w:t xml:space="preserve">. </w:t>
      </w:r>
      <w:r w:rsidR="003F3A61">
        <w:t xml:space="preserve">Depending on the metric, the baseline period may span from one year to </w:t>
      </w:r>
      <w:r w:rsidR="00A11852">
        <w:t>multiple</w:t>
      </w:r>
      <w:r w:rsidR="003F3A61">
        <w:t xml:space="preserve"> years prior to the delegation of new </w:t>
      </w:r>
      <w:proofErr w:type="spellStart"/>
      <w:r w:rsidR="003F3A61">
        <w:t>gTLDs</w:t>
      </w:r>
      <w:proofErr w:type="spellEnd"/>
      <w:r w:rsidR="003F3A61">
        <w:t xml:space="preserve">. </w:t>
      </w:r>
    </w:p>
    <w:p w14:paraId="4FE35A43" w14:textId="600A985A" w:rsidR="00785B4C" w:rsidRPr="00012436" w:rsidRDefault="00785B4C" w:rsidP="00B904B3">
      <w:r>
        <w:t xml:space="preserve">ICANN staff recommends a baseline period of two years prior to the first delegation of a new </w:t>
      </w:r>
      <w:proofErr w:type="spellStart"/>
      <w:r>
        <w:t>gTLD</w:t>
      </w:r>
      <w:proofErr w:type="spellEnd"/>
      <w:r>
        <w:t xml:space="preserve"> in October 2013. </w:t>
      </w:r>
    </w:p>
    <w:p w14:paraId="3CA77A3D" w14:textId="77777777" w:rsidR="00DB071D" w:rsidRPr="000F16C2" w:rsidRDefault="00E479A3" w:rsidP="000F16C2">
      <w:pPr>
        <w:pStyle w:val="Heading1"/>
      </w:pPr>
      <w:bookmarkStart w:id="2" w:name="_Toc399424494"/>
      <w:r w:rsidRPr="000F16C2">
        <w:t>Background</w:t>
      </w:r>
      <w:bookmarkEnd w:id="2"/>
    </w:p>
    <w:p w14:paraId="7E6637A7" w14:textId="77777777" w:rsidR="00F34D80" w:rsidRPr="00467A69" w:rsidRDefault="00F34D80" w:rsidP="00A11852">
      <w:r w:rsidRPr="00467A69">
        <w:rPr>
          <w:rFonts w:ascii="Calibri" w:hAnsi="Calibri"/>
        </w:rPr>
        <w:t>ICANN’s Affirmation of Commitments (</w:t>
      </w:r>
      <w:proofErr w:type="spellStart"/>
      <w:r w:rsidRPr="00467A69">
        <w:rPr>
          <w:rFonts w:ascii="Calibri" w:hAnsi="Calibri"/>
        </w:rPr>
        <w:t>AoC</w:t>
      </w:r>
      <w:proofErr w:type="spellEnd"/>
      <w:r w:rsidRPr="00467A69">
        <w:rPr>
          <w:rFonts w:ascii="Calibri" w:hAnsi="Calibri"/>
        </w:rPr>
        <w:t xml:space="preserve">) is one of the key documents guiding the organization’s operating </w:t>
      </w:r>
      <w:r w:rsidR="00967B56" w:rsidRPr="00467A69">
        <w:rPr>
          <w:rFonts w:ascii="Calibri" w:hAnsi="Calibri"/>
        </w:rPr>
        <w:t>principles</w:t>
      </w:r>
      <w:r w:rsidRPr="00467A69">
        <w:rPr>
          <w:rFonts w:ascii="Calibri" w:hAnsi="Calibri"/>
        </w:rPr>
        <w:t>. As an agreement between ICANN and the U.S. Department of Commerce</w:t>
      </w:r>
      <w:r w:rsidR="00967B56" w:rsidRPr="00467A69">
        <w:rPr>
          <w:rFonts w:ascii="Calibri" w:hAnsi="Calibri"/>
        </w:rPr>
        <w:t xml:space="preserve">, the </w:t>
      </w:r>
      <w:proofErr w:type="spellStart"/>
      <w:r w:rsidR="00967B56" w:rsidRPr="00467A69">
        <w:rPr>
          <w:rFonts w:ascii="Calibri" w:hAnsi="Calibri"/>
        </w:rPr>
        <w:t>AoC</w:t>
      </w:r>
      <w:proofErr w:type="spellEnd"/>
      <w:r w:rsidR="00967B56" w:rsidRPr="00467A69">
        <w:rPr>
          <w:rFonts w:ascii="Calibri" w:hAnsi="Calibri"/>
        </w:rPr>
        <w:t xml:space="preserve"> </w:t>
      </w:r>
      <w:r w:rsidR="00123C02" w:rsidRPr="00467A69">
        <w:rPr>
          <w:rFonts w:ascii="Calibri" w:hAnsi="Calibri"/>
        </w:rPr>
        <w:t xml:space="preserve">lays out commitments from both sides to: </w:t>
      </w:r>
      <w:r w:rsidR="00123C02" w:rsidRPr="00467A69">
        <w:rPr>
          <w:rFonts w:ascii="Calibri" w:hAnsi="Calibri"/>
          <w:shd w:val="clear" w:color="auto" w:fill="FFFFFF"/>
        </w:rPr>
        <w:t>ensure that decisions made related to the global technical coordination of the</w:t>
      </w:r>
      <w:r w:rsidR="00123C02" w:rsidRPr="00467A69">
        <w:rPr>
          <w:rStyle w:val="apple-converted-space"/>
          <w:rFonts w:ascii="Calibri" w:hAnsi="Calibri"/>
          <w:shd w:val="clear" w:color="auto" w:fill="FFFFFF"/>
        </w:rPr>
        <w:t> </w:t>
      </w:r>
      <w:r w:rsidR="00123C02" w:rsidRPr="00467A69">
        <w:rPr>
          <w:rFonts w:ascii="Calibri" w:hAnsi="Calibri"/>
        </w:rPr>
        <w:t>DNS</w:t>
      </w:r>
      <w:r w:rsidR="00123C02" w:rsidRPr="00467A69">
        <w:rPr>
          <w:rStyle w:val="apple-converted-space"/>
          <w:rFonts w:ascii="Calibri" w:hAnsi="Calibri"/>
          <w:shd w:val="clear" w:color="auto" w:fill="FFFFFF"/>
        </w:rPr>
        <w:t> </w:t>
      </w:r>
      <w:r w:rsidR="00123C02" w:rsidRPr="00467A69">
        <w:rPr>
          <w:rFonts w:ascii="Calibri" w:hAnsi="Calibri"/>
          <w:shd w:val="clear" w:color="auto" w:fill="FFFFFF"/>
        </w:rPr>
        <w:t>are made in the public interest and are accountable and transparent; preserve the security, stability and resiliency of the</w:t>
      </w:r>
      <w:r w:rsidR="00123C02" w:rsidRPr="00467A69">
        <w:rPr>
          <w:rStyle w:val="apple-converted-space"/>
          <w:rFonts w:ascii="Calibri" w:hAnsi="Calibri"/>
          <w:shd w:val="clear" w:color="auto" w:fill="FFFFFF"/>
        </w:rPr>
        <w:t> </w:t>
      </w:r>
      <w:r w:rsidR="00123C02" w:rsidRPr="00467A69">
        <w:rPr>
          <w:rFonts w:ascii="Calibri" w:hAnsi="Calibri"/>
        </w:rPr>
        <w:t>DNS</w:t>
      </w:r>
      <w:r w:rsidR="00123C02" w:rsidRPr="00467A69">
        <w:rPr>
          <w:rFonts w:ascii="Calibri" w:hAnsi="Calibri"/>
          <w:shd w:val="clear" w:color="auto" w:fill="FFFFFF"/>
        </w:rPr>
        <w:t>; promote competition, consumer trust, and consumer choice in the</w:t>
      </w:r>
      <w:r w:rsidR="00123C02" w:rsidRPr="00467A69">
        <w:rPr>
          <w:rStyle w:val="apple-converted-space"/>
          <w:rFonts w:ascii="Calibri" w:hAnsi="Calibri"/>
          <w:shd w:val="clear" w:color="auto" w:fill="FFFFFF"/>
        </w:rPr>
        <w:t> </w:t>
      </w:r>
      <w:r w:rsidR="00123C02" w:rsidRPr="00467A69">
        <w:rPr>
          <w:rFonts w:ascii="Calibri" w:hAnsi="Calibri"/>
        </w:rPr>
        <w:t>DNS</w:t>
      </w:r>
      <w:r w:rsidR="00123C02" w:rsidRPr="00467A69">
        <w:rPr>
          <w:rStyle w:val="apple-converted-space"/>
          <w:rFonts w:ascii="Calibri" w:hAnsi="Calibri"/>
          <w:shd w:val="clear" w:color="auto" w:fill="FFFFFF"/>
        </w:rPr>
        <w:t> </w:t>
      </w:r>
      <w:r w:rsidR="00123C02" w:rsidRPr="00467A69">
        <w:rPr>
          <w:rFonts w:ascii="Calibri" w:hAnsi="Calibri"/>
          <w:shd w:val="clear" w:color="auto" w:fill="FFFFFF"/>
        </w:rPr>
        <w:t>marketplace; and facilitate international participation in</w:t>
      </w:r>
      <w:r w:rsidR="00123C02" w:rsidRPr="00467A69">
        <w:rPr>
          <w:rStyle w:val="apple-converted-space"/>
          <w:rFonts w:ascii="Calibri" w:hAnsi="Calibri"/>
          <w:shd w:val="clear" w:color="auto" w:fill="FFFFFF"/>
        </w:rPr>
        <w:t> </w:t>
      </w:r>
      <w:r w:rsidR="00123C02" w:rsidRPr="00467A69">
        <w:rPr>
          <w:rFonts w:ascii="Calibri" w:hAnsi="Calibri"/>
        </w:rPr>
        <w:t>DNS</w:t>
      </w:r>
      <w:r w:rsidR="00123C02" w:rsidRPr="00467A69">
        <w:rPr>
          <w:rStyle w:val="apple-converted-space"/>
          <w:rFonts w:ascii="Calibri" w:hAnsi="Calibri"/>
          <w:shd w:val="clear" w:color="auto" w:fill="FFFFFF"/>
        </w:rPr>
        <w:t> </w:t>
      </w:r>
      <w:r w:rsidR="00123C02" w:rsidRPr="00467A69">
        <w:rPr>
          <w:rFonts w:ascii="Calibri" w:hAnsi="Calibri"/>
          <w:shd w:val="clear" w:color="auto" w:fill="FFFFFF"/>
        </w:rPr>
        <w:t xml:space="preserve">technical coordination. </w:t>
      </w:r>
      <w:r w:rsidRPr="00467A69">
        <w:t xml:space="preserve">While the U.S. Department of Commerce </w:t>
      </w:r>
      <w:r w:rsidR="00001CBD">
        <w:t xml:space="preserve">in March 2014 announced its intention to transition its oversight of </w:t>
      </w:r>
      <w:r w:rsidRPr="00467A69">
        <w:t xml:space="preserve">the IANA functions </w:t>
      </w:r>
      <w:r w:rsidR="00001CBD">
        <w:t xml:space="preserve">to the </w:t>
      </w:r>
      <w:proofErr w:type="spellStart"/>
      <w:r w:rsidR="00001CBD">
        <w:t>multistakeholder</w:t>
      </w:r>
      <w:proofErr w:type="spellEnd"/>
      <w:r w:rsidR="00001CBD">
        <w:t xml:space="preserve"> community</w:t>
      </w:r>
      <w:r w:rsidR="00967B56" w:rsidRPr="00467A69">
        <w:t>, ICANN plans to maintain it</w:t>
      </w:r>
      <w:r w:rsidR="00123C02" w:rsidRPr="00467A69">
        <w:t xml:space="preserve">s commitments, including those explicitly prescribed in the document. </w:t>
      </w:r>
    </w:p>
    <w:p w14:paraId="32720B77" w14:textId="77777777" w:rsidR="00A11852" w:rsidRDefault="00467A69" w:rsidP="00A11852">
      <w:r>
        <w:t xml:space="preserve">As one of the four key objectives to be evaluated as part of the </w:t>
      </w:r>
      <w:proofErr w:type="spellStart"/>
      <w:r>
        <w:t>AoC</w:t>
      </w:r>
      <w:proofErr w:type="spellEnd"/>
      <w:r>
        <w:t xml:space="preserve">, the CCT review will also help inform how ICANN may approach a second round of new </w:t>
      </w:r>
      <w:proofErr w:type="spellStart"/>
      <w:r>
        <w:t>gTLDs</w:t>
      </w:r>
      <w:proofErr w:type="spellEnd"/>
      <w:r>
        <w:t xml:space="preserve">, from the opening of the application process to delegation. </w:t>
      </w:r>
      <w:r w:rsidR="00AC1174">
        <w:t xml:space="preserve">To that end, the ICANN Board tasked the GNSO and ALAC to propose metrics that would not only inform this review but also </w:t>
      </w:r>
      <w:r w:rsidR="00001CBD">
        <w:t xml:space="preserve">provide insight into how to improve on the rollout of a new round of </w:t>
      </w:r>
      <w:proofErr w:type="spellStart"/>
      <w:r w:rsidR="00001CBD">
        <w:t>gTLD</w:t>
      </w:r>
      <w:proofErr w:type="spellEnd"/>
      <w:r w:rsidR="00001CBD">
        <w:t xml:space="preserve"> applications. </w:t>
      </w:r>
      <w:r w:rsidR="00AC1174">
        <w:t xml:space="preserve"> </w:t>
      </w:r>
    </w:p>
    <w:p w14:paraId="5C2E96D7" w14:textId="4ED9DC2E" w:rsidR="00A11852" w:rsidRDefault="00001CBD" w:rsidP="00A11852">
      <w:r>
        <w:t xml:space="preserve">The ICANN </w:t>
      </w:r>
      <w:r w:rsidR="00A11852">
        <w:t xml:space="preserve">Board asked </w:t>
      </w:r>
      <w:r>
        <w:t xml:space="preserve">the </w:t>
      </w:r>
      <w:r w:rsidR="00A11852">
        <w:t xml:space="preserve">GNSO and ALAC to come up with metrics in </w:t>
      </w:r>
      <w:r>
        <w:t xml:space="preserve">December 2010. In June 2011, at the ICANN meeting in Singapore, a working group was formed to come up with recommended metrics for the CCT review. </w:t>
      </w:r>
      <w:r w:rsidR="00FC1780">
        <w:t xml:space="preserve">The working group’s goal was to provide the </w:t>
      </w:r>
      <w:r w:rsidR="00FC1780" w:rsidRPr="00BE1189">
        <w:rPr>
          <w:rFonts w:ascii="Calibri" w:hAnsi="Calibri" w:cs="Calibri"/>
        </w:rPr>
        <w:t>ICANN</w:t>
      </w:r>
      <w:r w:rsidR="00FC1780">
        <w:rPr>
          <w:rFonts w:ascii="Calibri" w:hAnsi="Calibri" w:cs="Calibri"/>
        </w:rPr>
        <w:t xml:space="preserve"> Board </w:t>
      </w:r>
      <w:r w:rsidR="00FC1780" w:rsidRPr="00BE1189">
        <w:rPr>
          <w:rFonts w:ascii="Calibri" w:hAnsi="Calibri" w:cs="Calibri"/>
        </w:rPr>
        <w:t>with</w:t>
      </w:r>
      <w:r w:rsidR="00FC1780">
        <w:rPr>
          <w:rFonts w:ascii="Calibri" w:hAnsi="Calibri" w:cs="Calibri"/>
        </w:rPr>
        <w:t xml:space="preserve"> definitions, measures, and targets that could be useful to the CCT review team.</w:t>
      </w:r>
      <w:r w:rsidR="00BD1A82">
        <w:rPr>
          <w:rFonts w:ascii="Calibri" w:hAnsi="Calibri" w:cs="Calibri"/>
        </w:rPr>
        <w:t xml:space="preserve"> </w:t>
      </w:r>
      <w:r w:rsidR="002A5592">
        <w:rPr>
          <w:rFonts w:ascii="Calibri" w:hAnsi="Calibri" w:cs="Calibri"/>
        </w:rPr>
        <w:t>In December 2012, the group presented the board with a document detailing 70 recommended metrics, with proposed definitions and three-year targets.</w:t>
      </w:r>
      <w:r w:rsidR="004669A5">
        <w:rPr>
          <w:rStyle w:val="FootnoteReference"/>
          <w:rFonts w:ascii="Calibri" w:hAnsi="Calibri" w:cs="Calibri"/>
        </w:rPr>
        <w:footnoteReference w:id="2"/>
      </w:r>
    </w:p>
    <w:p w14:paraId="025DA24E" w14:textId="3185CE51" w:rsidR="00A11852" w:rsidRDefault="005963B3" w:rsidP="00A11852">
      <w:r>
        <w:t xml:space="preserve">The ICANN </w:t>
      </w:r>
      <w:r w:rsidR="00A11852">
        <w:t xml:space="preserve">Board formed </w:t>
      </w:r>
      <w:r>
        <w:t xml:space="preserve">the </w:t>
      </w:r>
      <w:r w:rsidR="00A11852">
        <w:t>IAG</w:t>
      </w:r>
      <w:r>
        <w:t>-CCT in September 2013</w:t>
      </w:r>
      <w:r w:rsidR="00A11852">
        <w:t xml:space="preserve"> to review those </w:t>
      </w:r>
      <w:r>
        <w:t xml:space="preserve">recommended metrics and make </w:t>
      </w:r>
      <w:r w:rsidR="00A11852">
        <w:t>recommendation</w:t>
      </w:r>
      <w:r>
        <w:t>s</w:t>
      </w:r>
      <w:r w:rsidR="00A11852">
        <w:t xml:space="preserve"> to the review team</w:t>
      </w:r>
      <w:r>
        <w:t xml:space="preserve"> based on an evaluation of the feasibility, utility and cost-effectiveness of each of the proposed 70 metrics. The group first met in November 2013, first via conference call, then in-person at the ICANN 48 meeting in Buenos Aires. </w:t>
      </w:r>
    </w:p>
    <w:p w14:paraId="3641C6F8" w14:textId="78C1D516" w:rsidR="00467A69" w:rsidRDefault="00864E23" w:rsidP="00467A69">
      <w:r>
        <w:t xml:space="preserve">With the IAG-CCT’s recommendations in hand, the ICANN Board may now take steps toward forming a review team to collecting the recommended data points, </w:t>
      </w:r>
      <w:r w:rsidR="007C4537">
        <w:t>considering</w:t>
      </w:r>
      <w:r>
        <w:t xml:space="preserve"> those recommendations made by the IAG-CCT. </w:t>
      </w:r>
      <w:r w:rsidR="00467A69">
        <w:t xml:space="preserve">The CCT evaluation will provide insight </w:t>
      </w:r>
      <w:r w:rsidR="00EB3E42">
        <w:t xml:space="preserve">into </w:t>
      </w:r>
      <w:r w:rsidR="00467A69">
        <w:t xml:space="preserve">how the program fared, how the next round of applications might be improved, </w:t>
      </w:r>
      <w:r>
        <w:t>as well as</w:t>
      </w:r>
      <w:r w:rsidR="00467A69">
        <w:t xml:space="preserve"> provide general information on how people use the internet</w:t>
      </w:r>
      <w:r>
        <w:t xml:space="preserve">, </w:t>
      </w:r>
      <w:r w:rsidR="00467A69">
        <w:t>view the DNS</w:t>
      </w:r>
      <w:r>
        <w:t xml:space="preserve">, </w:t>
      </w:r>
      <w:r w:rsidR="00467A69">
        <w:t xml:space="preserve">and </w:t>
      </w:r>
      <w:r>
        <w:t xml:space="preserve">collect </w:t>
      </w:r>
      <w:r w:rsidR="00467A69">
        <w:t xml:space="preserve">opinions </w:t>
      </w:r>
      <w:r>
        <w:t>Internet users</w:t>
      </w:r>
      <w:r w:rsidR="00467A69">
        <w:t xml:space="preserve"> may have about ICANN. </w:t>
      </w:r>
    </w:p>
    <w:p w14:paraId="44C9829B" w14:textId="24F83525" w:rsidR="004561A0" w:rsidRDefault="004561A0" w:rsidP="00C45E16">
      <w:pPr>
        <w:pStyle w:val="Heading1"/>
      </w:pPr>
      <w:bookmarkStart w:id="3" w:name="_Toc399424495"/>
      <w:r>
        <w:lastRenderedPageBreak/>
        <w:t xml:space="preserve">Previous </w:t>
      </w:r>
      <w:r w:rsidR="00B82B98">
        <w:t xml:space="preserve">new </w:t>
      </w:r>
      <w:proofErr w:type="spellStart"/>
      <w:r>
        <w:t>gTLD</w:t>
      </w:r>
      <w:proofErr w:type="spellEnd"/>
      <w:r>
        <w:t xml:space="preserve"> evaluations</w:t>
      </w:r>
      <w:bookmarkEnd w:id="3"/>
    </w:p>
    <w:p w14:paraId="70DB83A5" w14:textId="3CA0A5E4" w:rsidR="004561A0" w:rsidRDefault="009D7D18">
      <w:r>
        <w:t xml:space="preserve">Part of the IAG-CCT’s mandate was to </w:t>
      </w:r>
      <w:r w:rsidR="009A7C86">
        <w:t>assess</w:t>
      </w:r>
      <w:r>
        <w:t xml:space="preserve"> historical data regarding metrics used to evaluate earlier rounds of new </w:t>
      </w:r>
      <w:proofErr w:type="spellStart"/>
      <w:r>
        <w:t>gTLDs</w:t>
      </w:r>
      <w:proofErr w:type="spellEnd"/>
      <w:r>
        <w:t xml:space="preserve"> in 2000 and 2004. </w:t>
      </w:r>
      <w:r w:rsidR="00352AE1">
        <w:t>Five</w:t>
      </w:r>
      <w:r w:rsidR="00B82B98">
        <w:t xml:space="preserve"> previous reports provided input on several metrics to evaluate past rounds and provide recommendations on implementation of future rounds of new </w:t>
      </w:r>
      <w:proofErr w:type="spellStart"/>
      <w:r w:rsidR="00B82B98">
        <w:t>gTLD</w:t>
      </w:r>
      <w:proofErr w:type="spellEnd"/>
      <w:r w:rsidR="00B82B98">
        <w:t xml:space="preserve"> delegations.</w:t>
      </w:r>
      <w:r w:rsidR="00A71D47">
        <w:t xml:space="preserve"> With the selection in 2000 of seven new </w:t>
      </w:r>
      <w:proofErr w:type="spellStart"/>
      <w:r w:rsidR="00A71D47">
        <w:t>gTLDs</w:t>
      </w:r>
      <w:proofErr w:type="spellEnd"/>
      <w:r w:rsidR="00A71D47">
        <w:t xml:space="preserve"> (which were subsequently delegated in 2001 and 2002), the domain name space increased from 7 to 14. The seven new </w:t>
      </w:r>
      <w:proofErr w:type="spellStart"/>
      <w:r w:rsidR="00A71D47">
        <w:t>gTLDs</w:t>
      </w:r>
      <w:proofErr w:type="spellEnd"/>
      <w:r w:rsidR="00A71D47">
        <w:t xml:space="preserve"> chosen for delegation in 2000 included four unsponsored (.biz, .info, .name and .pro) and three sponsored TLDs: .aero, .coop and .museum. Six more sponsored </w:t>
      </w:r>
      <w:proofErr w:type="spellStart"/>
      <w:r w:rsidR="00A71D47">
        <w:t>gTLDs</w:t>
      </w:r>
      <w:proofErr w:type="spellEnd"/>
      <w:r w:rsidR="00A71D47">
        <w:t xml:space="preserve"> were introduced in 2003: .</w:t>
      </w:r>
      <w:proofErr w:type="spellStart"/>
      <w:r w:rsidR="00A71D47">
        <w:t>asia</w:t>
      </w:r>
      <w:proofErr w:type="spellEnd"/>
      <w:r w:rsidR="00A71D47">
        <w:t>, .cat, .jobs, .</w:t>
      </w:r>
      <w:proofErr w:type="spellStart"/>
      <w:r w:rsidR="00A71D47">
        <w:t>mobi</w:t>
      </w:r>
      <w:proofErr w:type="spellEnd"/>
      <w:r w:rsidR="00A71D47">
        <w:t>, .</w:t>
      </w:r>
      <w:proofErr w:type="spellStart"/>
      <w:r w:rsidR="00A71D47">
        <w:t>tel</w:t>
      </w:r>
      <w:proofErr w:type="spellEnd"/>
      <w:r w:rsidR="00A71D47">
        <w:t xml:space="preserve"> and .travel. </w:t>
      </w:r>
    </w:p>
    <w:p w14:paraId="6490B80D" w14:textId="32FC61E6" w:rsidR="00B666DC" w:rsidRDefault="00352AE1">
      <w:r w:rsidRPr="005F7B8A">
        <w:t>“The Final Report of the New TLD Evaluation Process Planning Task Force</w:t>
      </w:r>
      <w:r w:rsidR="005F7B8A" w:rsidRPr="005F7B8A">
        <w:rPr>
          <w:rStyle w:val="FootnoteReference"/>
        </w:rPr>
        <w:footnoteReference w:id="3"/>
      </w:r>
      <w:r w:rsidRPr="005F7B8A">
        <w:t xml:space="preserve">,” published in 2002, </w:t>
      </w:r>
      <w:r w:rsidR="00CC0588" w:rsidRPr="005F7B8A">
        <w:t>explored various topics like the opportunities and risks associated with parallel processing</w:t>
      </w:r>
      <w:r w:rsidR="005F7B8A" w:rsidRPr="005F7B8A">
        <w:t xml:space="preserve">, quickening the pace of </w:t>
      </w:r>
      <w:proofErr w:type="spellStart"/>
      <w:r w:rsidR="005F7B8A" w:rsidRPr="005F7B8A">
        <w:t>gTLD</w:t>
      </w:r>
      <w:proofErr w:type="spellEnd"/>
      <w:r w:rsidR="005F7B8A" w:rsidRPr="005F7B8A">
        <w:t xml:space="preserve"> launches against the risk of cutting short the evaluation of the program, and setting priorities for the future evaluation team. The report</w:t>
      </w:r>
      <w:r w:rsidR="005F7B8A" w:rsidRPr="00C45E16">
        <w:t xml:space="preserve">’s aim was to set the </w:t>
      </w:r>
      <w:r w:rsidR="005F7B8A" w:rsidRPr="005F7B8A">
        <w:t xml:space="preserve">parameters for a future evaluation team, which published </w:t>
      </w:r>
      <w:r w:rsidR="00B666DC" w:rsidRPr="005F7B8A">
        <w:t xml:space="preserve">“A Plan for Action Regarding New </w:t>
      </w:r>
      <w:proofErr w:type="spellStart"/>
      <w:r w:rsidR="00B666DC" w:rsidRPr="005F7B8A">
        <w:t>gTLDs</w:t>
      </w:r>
      <w:proofErr w:type="spellEnd"/>
      <w:r w:rsidR="001520A7" w:rsidRPr="005F7B8A">
        <w:t>,</w:t>
      </w:r>
      <w:r w:rsidR="00B666DC" w:rsidRPr="005F7B8A">
        <w:t>”</w:t>
      </w:r>
      <w:r w:rsidR="00B666DC" w:rsidRPr="005F7B8A">
        <w:rPr>
          <w:rStyle w:val="FootnoteReference"/>
        </w:rPr>
        <w:footnoteReference w:id="4"/>
      </w:r>
      <w:r w:rsidR="00B666DC" w:rsidRPr="005F7B8A">
        <w:t xml:space="preserve"> </w:t>
      </w:r>
      <w:r w:rsidR="005F7B8A" w:rsidRPr="005F7B8A">
        <w:t>in 2002. That report</w:t>
      </w:r>
      <w:r w:rsidR="001520A7" w:rsidRPr="005F7B8A">
        <w:t xml:space="preserve"> </w:t>
      </w:r>
      <w:r w:rsidR="00B666DC" w:rsidRPr="005F7B8A">
        <w:t>found that sponsored TLDs seemed to generat</w:t>
      </w:r>
      <w:r w:rsidR="008C62A9" w:rsidRPr="005F7B8A">
        <w:t>e fewer community and business concerns and generate fewer problems than unsponsored TLDs. For example, there were less worries about trademark infringement and cybersquatting in the sponsored space. Further, sponsored TLDs had fewer and less complex start-up and launch phase concerns.</w:t>
      </w:r>
      <w:r w:rsidR="008C62A9">
        <w:t xml:space="preserve"> </w:t>
      </w:r>
    </w:p>
    <w:p w14:paraId="32AFE502" w14:textId="0A89D699" w:rsidR="00A7341F" w:rsidRDefault="00A7341F">
      <w:r>
        <w:t xml:space="preserve">Another report, </w:t>
      </w:r>
      <w:r w:rsidR="001520A7">
        <w:t xml:space="preserve">published in 2004, </w:t>
      </w:r>
      <w:r>
        <w:t>by the Organization for Economic Co-operation and Development, “Generic Top Level Domain Names: Market Development and Allocation Issues,”</w:t>
      </w:r>
      <w:r>
        <w:rPr>
          <w:rStyle w:val="FootnoteReference"/>
        </w:rPr>
        <w:footnoteReference w:id="5"/>
      </w:r>
      <w:r>
        <w:t xml:space="preserve"> found that ICANN’s changes to the market structure for registering </w:t>
      </w:r>
      <w:proofErr w:type="spellStart"/>
      <w:r>
        <w:t>gTLDs</w:t>
      </w:r>
      <w:proofErr w:type="spellEnd"/>
      <w:r>
        <w:t xml:space="preserve"> has been successful. In particular, the division between registry and registrar functions has led to more competition with lower prices and greater innovation. </w:t>
      </w:r>
      <w:r w:rsidR="00A42474">
        <w:t xml:space="preserve">The report did note, however, the early defensive registrations, domain name speculation and traffic aggregation has made it difficult to evaluate the early </w:t>
      </w:r>
      <w:r w:rsidR="00273411">
        <w:t xml:space="preserve">success of new </w:t>
      </w:r>
      <w:proofErr w:type="spellStart"/>
      <w:r w:rsidR="00273411">
        <w:t>gTLDs</w:t>
      </w:r>
      <w:proofErr w:type="spellEnd"/>
      <w:r w:rsidR="00273411">
        <w:t xml:space="preserve">. </w:t>
      </w:r>
      <w:r w:rsidR="000A1166">
        <w:t>The report track</w:t>
      </w:r>
      <w:r w:rsidR="00C34823">
        <w:t>ed</w:t>
      </w:r>
      <w:r w:rsidR="000A1166">
        <w:t xml:space="preserve"> second-level domain name registrations in major </w:t>
      </w:r>
      <w:proofErr w:type="spellStart"/>
      <w:r w:rsidR="000A1166">
        <w:t>gTLDs</w:t>
      </w:r>
      <w:proofErr w:type="spellEnd"/>
      <w:r w:rsidR="000A1166">
        <w:t xml:space="preserve"> and </w:t>
      </w:r>
      <w:proofErr w:type="spellStart"/>
      <w:r w:rsidR="000A1166">
        <w:t>ccTLDs</w:t>
      </w:r>
      <w:proofErr w:type="spellEnd"/>
      <w:r w:rsidR="00402A92">
        <w:t xml:space="preserve">, as well as geographic locations of registrations. In addition, it charted </w:t>
      </w:r>
      <w:r w:rsidR="000A1166">
        <w:t>geographic locations of registries and registry operators</w:t>
      </w:r>
      <w:r w:rsidR="00402A92">
        <w:t xml:space="preserve"> and</w:t>
      </w:r>
      <w:r w:rsidR="000A1166">
        <w:t xml:space="preserve"> evaluated the market share of registries and registrars. </w:t>
      </w:r>
    </w:p>
    <w:p w14:paraId="64FA6AAB" w14:textId="7931E962" w:rsidR="001520A7" w:rsidRDefault="001520A7">
      <w:r>
        <w:t xml:space="preserve">Also in 2004, Summit Strategies </w:t>
      </w:r>
      <w:proofErr w:type="spellStart"/>
      <w:r>
        <w:t>Internationa’s</w:t>
      </w:r>
      <w:proofErr w:type="spellEnd"/>
      <w:r>
        <w:t xml:space="preserve"> “Evaluation of the New </w:t>
      </w:r>
      <w:proofErr w:type="spellStart"/>
      <w:r>
        <w:t>gTLDs</w:t>
      </w:r>
      <w:proofErr w:type="spellEnd"/>
      <w:r>
        <w:t>: Policy and Legal Issues”</w:t>
      </w:r>
      <w:r>
        <w:rPr>
          <w:rStyle w:val="FootnoteReference"/>
        </w:rPr>
        <w:footnoteReference w:id="6"/>
      </w:r>
      <w:r>
        <w:t xml:space="preserve"> determined that the 2000 round of new </w:t>
      </w:r>
      <w:proofErr w:type="spellStart"/>
      <w:r>
        <w:t>gTLDs</w:t>
      </w:r>
      <w:proofErr w:type="spellEnd"/>
      <w:r>
        <w:t xml:space="preserve"> introduced some competition to the domain name marketplace, but indicated that how much competition was debatable. The report noted that examining market share, choice and price elasticity indicates a minimal level of enhanced competition. Other evidence the report notes indicates that registrants were finding new uses for domain names in the new </w:t>
      </w:r>
      <w:proofErr w:type="spellStart"/>
      <w:r>
        <w:t>gTLDs</w:t>
      </w:r>
      <w:proofErr w:type="spellEnd"/>
      <w:r>
        <w:t xml:space="preserve"> and that the new </w:t>
      </w:r>
      <w:proofErr w:type="spellStart"/>
      <w:r>
        <w:t>gTLDs</w:t>
      </w:r>
      <w:proofErr w:type="spellEnd"/>
      <w:r>
        <w:t xml:space="preserve"> may have attracted domain name registrants who didn’t previously have any registrations.  </w:t>
      </w:r>
    </w:p>
    <w:p w14:paraId="0DC770C8" w14:textId="7EFE58BE" w:rsidR="00350F70" w:rsidRPr="004561A0" w:rsidRDefault="00350F70">
      <w:r>
        <w:t xml:space="preserve">A 2005 report from the World Intellectual Property </w:t>
      </w:r>
      <w:proofErr w:type="spellStart"/>
      <w:r>
        <w:t>Organizatio</w:t>
      </w:r>
      <w:proofErr w:type="spellEnd"/>
      <w:r>
        <w:t xml:space="preserve"> (WIPO), “New Generic Top-Level Domains: Intellectual Property Considerations</w:t>
      </w:r>
      <w:r w:rsidR="003876B8">
        <w:rPr>
          <w:rStyle w:val="FootnoteReference"/>
        </w:rPr>
        <w:footnoteReference w:id="7"/>
      </w:r>
      <w:r>
        <w:t xml:space="preserve">,” </w:t>
      </w:r>
      <w:r w:rsidR="003876B8">
        <w:t xml:space="preserve">explored the concerns and benefits of new </w:t>
      </w:r>
      <w:proofErr w:type="spellStart"/>
      <w:r w:rsidR="003876B8">
        <w:t>gTLDs</w:t>
      </w:r>
      <w:proofErr w:type="spellEnd"/>
      <w:r w:rsidR="003876B8">
        <w:t xml:space="preserve"> for IP </w:t>
      </w:r>
      <w:r w:rsidR="003876B8">
        <w:lastRenderedPageBreak/>
        <w:t xml:space="preserve">owners. On the one hand, the cost of policing registered marks and other protected names were highlighted as a concern of the expansion, the report also noted benefits for rights holders in an expanded DNS with potentially more relevant TLDs or TLDs identified with their brands. </w:t>
      </w:r>
    </w:p>
    <w:p w14:paraId="55686DCF" w14:textId="77777777" w:rsidR="00DB071D" w:rsidRDefault="00E479A3" w:rsidP="00602EFE">
      <w:pPr>
        <w:pStyle w:val="Heading1"/>
      </w:pPr>
      <w:bookmarkStart w:id="4" w:name="_Toc399424496"/>
      <w:r w:rsidRPr="00366440">
        <w:t>Metric evaluation</w:t>
      </w:r>
      <w:bookmarkEnd w:id="4"/>
    </w:p>
    <w:p w14:paraId="38DAEE95" w14:textId="0BA079A1" w:rsidR="00AE5902" w:rsidRDefault="00AE5902" w:rsidP="00AE5902">
      <w:r>
        <w:t xml:space="preserve">The IAG-CCT met on a regular basis starting </w:t>
      </w:r>
      <w:r w:rsidR="000228E4">
        <w:t>in</w:t>
      </w:r>
      <w:r>
        <w:t xml:space="preserve"> November 2013 until the publication of this report. The first few meetings focused on categorizing the original 70 recommended metrics. They were grouped by ICANN staff into those w</w:t>
      </w:r>
      <w:r w:rsidR="000228E4">
        <w:t>here data was easily accessible;</w:t>
      </w:r>
      <w:r>
        <w:t xml:space="preserve"> </w:t>
      </w:r>
      <w:r w:rsidR="000228E4">
        <w:t>those whose</w:t>
      </w:r>
      <w:r>
        <w:t xml:space="preserve"> data was deemed to be more difficult to compile due to challenges in </w:t>
      </w:r>
      <w:r w:rsidR="000228E4">
        <w:t>acquiring meaningful statistics;</w:t>
      </w:r>
      <w:r>
        <w:t xml:space="preserve"> metrics w</w:t>
      </w:r>
      <w:r w:rsidR="000228E4">
        <w:t>hose data came with a price tag;</w:t>
      </w:r>
      <w:r>
        <w:t xml:space="preserve"> and those whose values or targets were unclear and thus were unlikely to provide meaningful input for the evaluation. Staff provided feedback to the IAG on each of these evaluation axes. Based on the final analysis, the group settled on its recommendations, which are detailed below. </w:t>
      </w:r>
    </w:p>
    <w:p w14:paraId="7D9FBB85" w14:textId="348C2F5C" w:rsidR="001C4D32" w:rsidRDefault="00AE5902" w:rsidP="00667838">
      <w:r>
        <w:t>The IAG took s</w:t>
      </w:r>
      <w:r w:rsidR="001C4D32">
        <w:t>ever</w:t>
      </w:r>
      <w:r>
        <w:t>al passes at evaluating metrics. First, th</w:t>
      </w:r>
      <w:r w:rsidR="001C4D32">
        <w:t>e</w:t>
      </w:r>
      <w:r>
        <w:t>y explored those which</w:t>
      </w:r>
      <w:r w:rsidR="001C4D32">
        <w:t xml:space="preserve"> staff deemed to be easily collectible and clearly useful to the evaluation. Of those, metrics that had baseline data that needed to be captured immediately as a snapshot in time</w:t>
      </w:r>
      <w:r w:rsidR="00667838">
        <w:t xml:space="preserve"> were categorized as the first priority for collection</w:t>
      </w:r>
      <w:r w:rsidR="001C4D32">
        <w:t xml:space="preserve">. </w:t>
      </w:r>
      <w:r>
        <w:t xml:space="preserve">In the case of the </w:t>
      </w:r>
      <w:r w:rsidR="00667838">
        <w:t xml:space="preserve">global </w:t>
      </w:r>
      <w:r>
        <w:t>consumer survey</w:t>
      </w:r>
      <w:r w:rsidR="00667838">
        <w:t xml:space="preserve"> of Internet users, registrants and potential registrants</w:t>
      </w:r>
      <w:r>
        <w:t>,</w:t>
      </w:r>
      <w:r w:rsidR="00667838">
        <w:t xml:space="preserve"> and the economic study,</w:t>
      </w:r>
      <w:r>
        <w:t xml:space="preserve"> the</w:t>
      </w:r>
      <w:r w:rsidR="00667838">
        <w:t xml:space="preserve"> group discussed possible</w:t>
      </w:r>
      <w:r>
        <w:t xml:space="preserve"> methodologies and related costs before coming to a consensus on a recommendation that was made to the ICANN Board at the ICANN 49 meeting in Singapore. </w:t>
      </w:r>
      <w:r w:rsidR="00667838">
        <w:t xml:space="preserve">For more on the survey and the economic study, see the First Priority Metrics section below. </w:t>
      </w:r>
    </w:p>
    <w:p w14:paraId="73E9D606" w14:textId="270ECE32" w:rsidR="00F35258" w:rsidRDefault="00667838" w:rsidP="00667838">
      <w:r>
        <w:t>The remaining metrics, upon</w:t>
      </w:r>
      <w:r w:rsidR="00F35258">
        <w:t xml:space="preserve"> further investigation</w:t>
      </w:r>
      <w:r>
        <w:t xml:space="preserve"> by both ICANN staff and IAG-CCT members</w:t>
      </w:r>
      <w:r w:rsidR="00F35258">
        <w:t xml:space="preserve">, </w:t>
      </w:r>
      <w:r>
        <w:t xml:space="preserve">were deemed to require </w:t>
      </w:r>
      <w:r w:rsidR="00F35258">
        <w:t xml:space="preserve">outside resources, </w:t>
      </w:r>
      <w:r>
        <w:t xml:space="preserve">and thus </w:t>
      </w:r>
      <w:r w:rsidR="00F35258">
        <w:t>came with a cost or needed further definition</w:t>
      </w:r>
      <w:r>
        <w:t xml:space="preserve"> or clarification in order to make an informed recommendation. </w:t>
      </w:r>
      <w:r w:rsidR="00D8632E">
        <w:t xml:space="preserve">Based upon their evaluation for feasibility, utility and cost-effectiveness, the IAG-CCT members recommended the next subset of metrics for collection. </w:t>
      </w:r>
    </w:p>
    <w:p w14:paraId="3F769536" w14:textId="274962E6" w:rsidR="00565D6C" w:rsidRDefault="00454B0C" w:rsidP="00667838">
      <w:r>
        <w:t xml:space="preserve">Some of the metrics that are included in the recommendation come </w:t>
      </w:r>
      <w:r w:rsidR="002C330D">
        <w:t xml:space="preserve">with caveats for the analysis as the data produced may not offer a complete picture of the metric’s indication of the </w:t>
      </w:r>
      <w:proofErr w:type="gramStart"/>
      <w:r w:rsidR="002C330D">
        <w:t>New</w:t>
      </w:r>
      <w:proofErr w:type="gramEnd"/>
      <w:r w:rsidR="002C330D">
        <w:t xml:space="preserve"> </w:t>
      </w:r>
      <w:proofErr w:type="spellStart"/>
      <w:r w:rsidR="002C330D">
        <w:t>gTLD</w:t>
      </w:r>
      <w:proofErr w:type="spellEnd"/>
      <w:r w:rsidR="002C330D">
        <w:t xml:space="preserve"> Program’s success. For example, </w:t>
      </w:r>
      <w:r w:rsidR="00A56592">
        <w:t>metrics 5.2, 5.3 and 5.4</w:t>
      </w:r>
      <w:r w:rsidR="008A16AD">
        <w:t xml:space="preserve"> are</w:t>
      </w:r>
      <w:r w:rsidR="00A56592">
        <w:t xml:space="preserve"> all related to growth in use of tools that hide domain names, such as QR codes or URL </w:t>
      </w:r>
      <w:proofErr w:type="spellStart"/>
      <w:r w:rsidR="00A56592">
        <w:t>shorteners</w:t>
      </w:r>
      <w:proofErr w:type="spellEnd"/>
      <w:r w:rsidR="00A56592">
        <w:t>, and the use of Google or Facebook for hosted pages with domain names that</w:t>
      </w:r>
      <w:r w:rsidR="008A16AD">
        <w:t xml:space="preserve"> may not be otherwise memorable. T</w:t>
      </w:r>
      <w:r w:rsidR="00A56592">
        <w:t xml:space="preserve">here was disagreement among IAG-CCT members on whether an increase in the use of such tools is indicative of trust in the DNS. Some members argued that an increase in the use of tools is more a reflection of increased choice to consumers using the Internet or simply a change in the nature of </w:t>
      </w:r>
      <w:r w:rsidR="008A16AD">
        <w:t xml:space="preserve">how Internet users employ </w:t>
      </w:r>
      <w:r w:rsidR="00A56592">
        <w:t xml:space="preserve">technology. </w:t>
      </w:r>
      <w:r w:rsidR="00014834">
        <w:t xml:space="preserve">Others suggested that an increase in the use of such tools as compared with modest increases of registration and traffic in domain names registered in new </w:t>
      </w:r>
      <w:proofErr w:type="spellStart"/>
      <w:r w:rsidR="00014834">
        <w:t>gTLDs</w:t>
      </w:r>
      <w:proofErr w:type="spellEnd"/>
      <w:r w:rsidR="00014834">
        <w:t xml:space="preserve"> as opposed to domain names in the legacy space is an indication of a lack of trust. </w:t>
      </w:r>
      <w:r w:rsidR="00A56592">
        <w:t xml:space="preserve">The group agreed to collect the data to </w:t>
      </w:r>
      <w:r w:rsidR="00014834">
        <w:t>offer</w:t>
      </w:r>
      <w:r w:rsidR="008A16AD">
        <w:t xml:space="preserve"> the review team a robust cross-section of sources for their evaluation</w:t>
      </w:r>
      <w:r w:rsidR="00014834">
        <w:t xml:space="preserve">. </w:t>
      </w:r>
    </w:p>
    <w:p w14:paraId="713323F3" w14:textId="471E5EFF" w:rsidR="00A27B08" w:rsidRPr="001C4D32" w:rsidRDefault="00565D6C" w:rsidP="00A46A04">
      <w:r>
        <w:t>For the five metrics that were not recommended for inclusion in the review, the IAG-CCT members</w:t>
      </w:r>
      <w:r w:rsidR="00DD79A8">
        <w:t>,</w:t>
      </w:r>
      <w:r>
        <w:t xml:space="preserve"> </w:t>
      </w:r>
      <w:r w:rsidR="00DD79A8">
        <w:t xml:space="preserve">together with staff, evaluated the data sources available for the five metrics that were flagged as potentially difficult to measure. The group collectively </w:t>
      </w:r>
      <w:r>
        <w:t>determined that th</w:t>
      </w:r>
      <w:r w:rsidR="00DD79A8">
        <w:t>ose metrics</w:t>
      </w:r>
      <w:r>
        <w:t xml:space="preserve"> were either redundant</w:t>
      </w:r>
      <w:r w:rsidR="00A46A04">
        <w:t xml:space="preserve"> or that the data was not sufficiently available to provide meaningful insight. </w:t>
      </w:r>
    </w:p>
    <w:p w14:paraId="51F71544" w14:textId="75C06DA1" w:rsidR="00DB071D" w:rsidRPr="00366440" w:rsidRDefault="00E479A3" w:rsidP="00602EFE">
      <w:pPr>
        <w:pStyle w:val="Heading2"/>
      </w:pPr>
      <w:bookmarkStart w:id="5" w:name="_Toc399424497"/>
      <w:r w:rsidRPr="00366440">
        <w:lastRenderedPageBreak/>
        <w:t>First priority</w:t>
      </w:r>
      <w:r w:rsidR="00667838">
        <w:t xml:space="preserve"> metrics</w:t>
      </w:r>
      <w:bookmarkEnd w:id="5"/>
    </w:p>
    <w:p w14:paraId="0EF7B270" w14:textId="13E4703A" w:rsidR="00DB071D" w:rsidRDefault="00E479A3" w:rsidP="00602EFE">
      <w:pPr>
        <w:pStyle w:val="Heading3"/>
      </w:pPr>
      <w:bookmarkStart w:id="6" w:name="_Toc399424498"/>
      <w:r w:rsidRPr="00366440">
        <w:t xml:space="preserve">Baseline </w:t>
      </w:r>
      <w:r w:rsidR="00DF2E9E">
        <w:t xml:space="preserve">and available </w:t>
      </w:r>
      <w:r w:rsidRPr="00366440">
        <w:t>data</w:t>
      </w:r>
      <w:bookmarkEnd w:id="6"/>
      <w:r w:rsidRPr="00366440">
        <w:t xml:space="preserve"> </w:t>
      </w:r>
    </w:p>
    <w:p w14:paraId="4F5AECF6" w14:textId="446D67C5" w:rsidR="002378CF" w:rsidRDefault="002378CF" w:rsidP="00236BF4">
      <w:r>
        <w:t>In an effort to cate</w:t>
      </w:r>
      <w:r w:rsidR="00DF2E9E">
        <w:t xml:space="preserve">gorize a subset of metrics as </w:t>
      </w:r>
      <w:r>
        <w:t>leading priorit</w:t>
      </w:r>
      <w:r w:rsidR="00DF2E9E">
        <w:t>ies</w:t>
      </w:r>
      <w:r>
        <w:t>, 3</w:t>
      </w:r>
      <w:r w:rsidR="00B25C26">
        <w:t>7</w:t>
      </w:r>
      <w:r>
        <w:t xml:space="preserve"> of the 70 metrics were highlighted as falling into this category. These metrics were included because they calculated data that was readily available either internally or could be easily obtained from third party sources. They also represented data</w:t>
      </w:r>
      <w:r w:rsidR="00DF2E9E">
        <w:t xml:space="preserve"> which were deemed to provide useful insight into the </w:t>
      </w:r>
      <w:proofErr w:type="gramStart"/>
      <w:r w:rsidR="00DF2E9E">
        <w:t>New</w:t>
      </w:r>
      <w:proofErr w:type="gramEnd"/>
      <w:r w:rsidR="00DF2E9E">
        <w:t xml:space="preserve"> </w:t>
      </w:r>
      <w:proofErr w:type="spellStart"/>
      <w:r w:rsidR="00DF2E9E">
        <w:t>gTLD</w:t>
      </w:r>
      <w:proofErr w:type="spellEnd"/>
      <w:r w:rsidR="00DF2E9E">
        <w:t xml:space="preserve"> Program. </w:t>
      </w:r>
    </w:p>
    <w:p w14:paraId="004811FC" w14:textId="6B7C0152" w:rsidR="00DF2E9E" w:rsidRDefault="00DF2E9E" w:rsidP="00236BF4">
      <w:r>
        <w:t xml:space="preserve">Several of these metrics required the collection of baseline data to allow for a later comparison when domain name registrations in new </w:t>
      </w:r>
      <w:proofErr w:type="spellStart"/>
      <w:r>
        <w:t>gTLDs</w:t>
      </w:r>
      <w:proofErr w:type="spellEnd"/>
      <w:r>
        <w:t xml:space="preserve"> begin to saturate the market. </w:t>
      </w:r>
      <w:r w:rsidR="00B25C26">
        <w:t>IAG-CCT members expressed concern that some of this baseline data could become more difficult to obtain or no longer be available for collection with the passage of time. This issue was of particular concern with regard to the consumer survey as well as the economic study</w:t>
      </w:r>
      <w:r w:rsidR="005F7350">
        <w:t>, as detailed below</w:t>
      </w:r>
      <w:r w:rsidR="00B25C26">
        <w:t xml:space="preserve">.  </w:t>
      </w:r>
    </w:p>
    <w:p w14:paraId="0B7F028E" w14:textId="5E54F9BC" w:rsidR="00BE7B0E" w:rsidRPr="00367107" w:rsidRDefault="00367107" w:rsidP="00367107">
      <w:pPr>
        <w:pStyle w:val="Heading3"/>
      </w:pPr>
      <w:bookmarkStart w:id="7" w:name="_Toc399424499"/>
      <w:r w:rsidRPr="00367107">
        <w:t>Table 1: First priority metrics</w:t>
      </w:r>
      <w:bookmarkEnd w:id="7"/>
    </w:p>
    <w:tbl>
      <w:tblPr>
        <w:tblStyle w:val="TableGrid"/>
        <w:tblW w:w="0" w:type="auto"/>
        <w:tblLook w:val="04A0" w:firstRow="1" w:lastRow="0" w:firstColumn="1" w:lastColumn="0" w:noHBand="0" w:noVBand="1"/>
      </w:tblPr>
      <w:tblGrid>
        <w:gridCol w:w="820"/>
        <w:gridCol w:w="3950"/>
        <w:gridCol w:w="3235"/>
        <w:gridCol w:w="1345"/>
      </w:tblGrid>
      <w:tr w:rsidR="003A6927" w14:paraId="271C21DD" w14:textId="39ADC4E4" w:rsidTr="003A6927">
        <w:tc>
          <w:tcPr>
            <w:tcW w:w="820" w:type="dxa"/>
          </w:tcPr>
          <w:p w14:paraId="494534EC" w14:textId="716EB53F" w:rsidR="003A6927" w:rsidRPr="00367107" w:rsidRDefault="003A6927" w:rsidP="00B25C26">
            <w:pPr>
              <w:rPr>
                <w:b/>
              </w:rPr>
            </w:pPr>
            <w:r w:rsidRPr="00367107">
              <w:rPr>
                <w:b/>
              </w:rPr>
              <w:t>Metric</w:t>
            </w:r>
          </w:p>
        </w:tc>
        <w:tc>
          <w:tcPr>
            <w:tcW w:w="3950" w:type="dxa"/>
          </w:tcPr>
          <w:p w14:paraId="7F0C307A" w14:textId="3F2C2799" w:rsidR="003A6927" w:rsidRPr="00367107" w:rsidRDefault="003A6927" w:rsidP="00B25C26">
            <w:pPr>
              <w:rPr>
                <w:b/>
              </w:rPr>
            </w:pPr>
            <w:r w:rsidRPr="00367107">
              <w:rPr>
                <w:b/>
              </w:rPr>
              <w:t>Description</w:t>
            </w:r>
          </w:p>
        </w:tc>
        <w:tc>
          <w:tcPr>
            <w:tcW w:w="3235" w:type="dxa"/>
          </w:tcPr>
          <w:p w14:paraId="11ACA3FF" w14:textId="1BF80036" w:rsidR="003A6927" w:rsidRPr="00367107" w:rsidRDefault="003A6927" w:rsidP="00B25C26">
            <w:pPr>
              <w:rPr>
                <w:b/>
              </w:rPr>
            </w:pPr>
            <w:r w:rsidRPr="00367107">
              <w:rPr>
                <w:b/>
              </w:rPr>
              <w:t>Data source</w:t>
            </w:r>
          </w:p>
        </w:tc>
        <w:tc>
          <w:tcPr>
            <w:tcW w:w="1345" w:type="dxa"/>
          </w:tcPr>
          <w:p w14:paraId="5A674448" w14:textId="28D62BEC" w:rsidR="003A6927" w:rsidRPr="003A6927" w:rsidRDefault="003A6927" w:rsidP="00B25C26">
            <w:pPr>
              <w:rPr>
                <w:b/>
              </w:rPr>
            </w:pPr>
            <w:r>
              <w:rPr>
                <w:b/>
              </w:rPr>
              <w:t>Category</w:t>
            </w:r>
          </w:p>
        </w:tc>
      </w:tr>
      <w:tr w:rsidR="003A6927" w14:paraId="0C094BF0" w14:textId="46B355BF" w:rsidTr="003A6927">
        <w:tc>
          <w:tcPr>
            <w:tcW w:w="820" w:type="dxa"/>
          </w:tcPr>
          <w:p w14:paraId="7D4BE5E9" w14:textId="4E257D6B" w:rsidR="003A6927" w:rsidRDefault="003A6927" w:rsidP="00B25C26">
            <w:r>
              <w:t>1.1</w:t>
            </w:r>
          </w:p>
        </w:tc>
        <w:tc>
          <w:tcPr>
            <w:tcW w:w="3950" w:type="dxa"/>
          </w:tcPr>
          <w:p w14:paraId="63C0188C" w14:textId="01F05DB2" w:rsidR="003A6927" w:rsidRDefault="003A6927" w:rsidP="00B25C26">
            <w:r w:rsidRPr="00B84BDD">
              <w:t>% DNS Service Availability (present SLA is 100%).</w:t>
            </w:r>
          </w:p>
        </w:tc>
        <w:tc>
          <w:tcPr>
            <w:tcW w:w="3235" w:type="dxa"/>
          </w:tcPr>
          <w:p w14:paraId="5B7AAB45" w14:textId="7D4738B9" w:rsidR="003A6927" w:rsidRDefault="003A6927" w:rsidP="00B25C26">
            <w:r>
              <w:t>Internal, technical services team and registry reporting</w:t>
            </w:r>
          </w:p>
        </w:tc>
        <w:tc>
          <w:tcPr>
            <w:tcW w:w="1345" w:type="dxa"/>
          </w:tcPr>
          <w:p w14:paraId="3B5FC198" w14:textId="77777777" w:rsidR="003A6927" w:rsidRDefault="003A6927" w:rsidP="00B25C26">
            <w:r>
              <w:t>Trust</w:t>
            </w:r>
          </w:p>
          <w:p w14:paraId="68ED6730" w14:textId="77777777" w:rsidR="003A6927" w:rsidRDefault="003A6927" w:rsidP="00B25C26"/>
        </w:tc>
      </w:tr>
      <w:tr w:rsidR="003A6927" w14:paraId="04C84CA0" w14:textId="769C7E5E" w:rsidTr="003A6927">
        <w:tc>
          <w:tcPr>
            <w:tcW w:w="820" w:type="dxa"/>
          </w:tcPr>
          <w:p w14:paraId="5BB2EFCE" w14:textId="6392BB49" w:rsidR="003A6927" w:rsidRDefault="003A6927" w:rsidP="003A6927">
            <w:r>
              <w:t>1.2</w:t>
            </w:r>
          </w:p>
        </w:tc>
        <w:tc>
          <w:tcPr>
            <w:tcW w:w="3950" w:type="dxa"/>
          </w:tcPr>
          <w:p w14:paraId="7AA6A5D2" w14:textId="7AF725A3" w:rsidR="003A6927" w:rsidRDefault="003A6927" w:rsidP="003A6927">
            <w:r w:rsidRPr="00954004">
              <w:t xml:space="preserve">% Availability for Registration Data Directory </w:t>
            </w:r>
            <w:r>
              <w:t>Services (RDDS).   (SLA is 98%)</w:t>
            </w:r>
          </w:p>
        </w:tc>
        <w:tc>
          <w:tcPr>
            <w:tcW w:w="3235" w:type="dxa"/>
          </w:tcPr>
          <w:p w14:paraId="66347062" w14:textId="766BEA67" w:rsidR="003A6927" w:rsidRDefault="003A6927" w:rsidP="003A6927">
            <w:r>
              <w:t>Internal, technical services team</w:t>
            </w:r>
          </w:p>
        </w:tc>
        <w:tc>
          <w:tcPr>
            <w:tcW w:w="1345" w:type="dxa"/>
          </w:tcPr>
          <w:p w14:paraId="6CA8C57F" w14:textId="57C7E735" w:rsidR="003A6927" w:rsidRDefault="003A6927" w:rsidP="003A6927">
            <w:r w:rsidRPr="00820E5C">
              <w:t>Trust</w:t>
            </w:r>
          </w:p>
        </w:tc>
      </w:tr>
      <w:tr w:rsidR="003A6927" w14:paraId="365F096A" w14:textId="21AD81F7" w:rsidTr="003A6927">
        <w:tc>
          <w:tcPr>
            <w:tcW w:w="820" w:type="dxa"/>
          </w:tcPr>
          <w:p w14:paraId="1330549E" w14:textId="08550907" w:rsidR="003A6927" w:rsidRDefault="003A6927" w:rsidP="003A6927">
            <w:r>
              <w:t>1.3</w:t>
            </w:r>
          </w:p>
        </w:tc>
        <w:tc>
          <w:tcPr>
            <w:tcW w:w="3950" w:type="dxa"/>
          </w:tcPr>
          <w:p w14:paraId="402AF79B" w14:textId="55DB462F" w:rsidR="003A6927" w:rsidRDefault="003A6927" w:rsidP="003A6927">
            <w:r w:rsidRPr="00954004">
              <w:t>% of Service Availability for Shared Registration Services (SRS, using EPP).  (SLA is 98%).  Open TLDs only</w:t>
            </w:r>
            <w:r>
              <w:t>.</w:t>
            </w:r>
          </w:p>
        </w:tc>
        <w:tc>
          <w:tcPr>
            <w:tcW w:w="3235" w:type="dxa"/>
          </w:tcPr>
          <w:p w14:paraId="4B69D6B7" w14:textId="58206AAA" w:rsidR="003A6927" w:rsidRDefault="003A6927" w:rsidP="003A6927">
            <w:r>
              <w:t>Internal, technical services team</w:t>
            </w:r>
          </w:p>
        </w:tc>
        <w:tc>
          <w:tcPr>
            <w:tcW w:w="1345" w:type="dxa"/>
          </w:tcPr>
          <w:p w14:paraId="185F98B4" w14:textId="2AFDB9B1" w:rsidR="003A6927" w:rsidRDefault="003A6927" w:rsidP="003A6927">
            <w:r w:rsidRPr="00820E5C">
              <w:t>Trust</w:t>
            </w:r>
          </w:p>
        </w:tc>
      </w:tr>
      <w:tr w:rsidR="003A6927" w14:paraId="649FE89B" w14:textId="2671FF2B" w:rsidTr="003A6927">
        <w:tc>
          <w:tcPr>
            <w:tcW w:w="820" w:type="dxa"/>
          </w:tcPr>
          <w:p w14:paraId="76F906AA" w14:textId="41480A30" w:rsidR="003A6927" w:rsidRDefault="003A6927" w:rsidP="003A6927">
            <w:r>
              <w:t>1.6</w:t>
            </w:r>
          </w:p>
        </w:tc>
        <w:tc>
          <w:tcPr>
            <w:tcW w:w="3950" w:type="dxa"/>
          </w:tcPr>
          <w:p w14:paraId="4A819BD2" w14:textId="33F2FA99" w:rsidR="003A6927" w:rsidRDefault="003A6927" w:rsidP="003A6927">
            <w:r w:rsidRPr="00954004">
              <w:t>Relative incidence of breach notices issued to Registry operators for contract or policy compliance matters.</w:t>
            </w:r>
          </w:p>
        </w:tc>
        <w:tc>
          <w:tcPr>
            <w:tcW w:w="3235" w:type="dxa"/>
          </w:tcPr>
          <w:p w14:paraId="6943AF10" w14:textId="7CD7FFF6" w:rsidR="003A6927" w:rsidRDefault="003A6927" w:rsidP="003A6927">
            <w:r>
              <w:t>Internal, compliance team</w:t>
            </w:r>
          </w:p>
        </w:tc>
        <w:tc>
          <w:tcPr>
            <w:tcW w:w="1345" w:type="dxa"/>
          </w:tcPr>
          <w:p w14:paraId="7E56DCEC" w14:textId="62C9822E" w:rsidR="003A6927" w:rsidRDefault="003A6927" w:rsidP="003A6927">
            <w:r w:rsidRPr="00820E5C">
              <w:t>Trust</w:t>
            </w:r>
          </w:p>
        </w:tc>
      </w:tr>
      <w:tr w:rsidR="003A6927" w14:paraId="7B06F93A" w14:textId="656654CD" w:rsidTr="003A6927">
        <w:tc>
          <w:tcPr>
            <w:tcW w:w="820" w:type="dxa"/>
          </w:tcPr>
          <w:p w14:paraId="65AB5C72" w14:textId="03BBB992" w:rsidR="003A6927" w:rsidRDefault="003A6927" w:rsidP="003A6927">
            <w:r>
              <w:t>1.7</w:t>
            </w:r>
          </w:p>
        </w:tc>
        <w:tc>
          <w:tcPr>
            <w:tcW w:w="3950" w:type="dxa"/>
          </w:tcPr>
          <w:p w14:paraId="7A066EF5" w14:textId="5243BB59" w:rsidR="003A6927" w:rsidRDefault="003A6927" w:rsidP="003A6927">
            <w:r w:rsidRPr="00954004">
              <w:t>Relative incidence of breach notices issued to Registrars, for contract or policy compliance matters.</w:t>
            </w:r>
          </w:p>
        </w:tc>
        <w:tc>
          <w:tcPr>
            <w:tcW w:w="3235" w:type="dxa"/>
          </w:tcPr>
          <w:p w14:paraId="63DB9C45" w14:textId="43E030D5" w:rsidR="003A6927" w:rsidRDefault="003A6927" w:rsidP="003A6927">
            <w:r>
              <w:t>Internal, compliance team</w:t>
            </w:r>
          </w:p>
        </w:tc>
        <w:tc>
          <w:tcPr>
            <w:tcW w:w="1345" w:type="dxa"/>
          </w:tcPr>
          <w:p w14:paraId="21D01B1C" w14:textId="67941878" w:rsidR="003A6927" w:rsidRDefault="003A6927" w:rsidP="003A6927">
            <w:r w:rsidRPr="00820E5C">
              <w:t>Trust</w:t>
            </w:r>
          </w:p>
        </w:tc>
      </w:tr>
      <w:tr w:rsidR="003A6927" w14:paraId="6E4E0195" w14:textId="47ACC475" w:rsidTr="003A6927">
        <w:tc>
          <w:tcPr>
            <w:tcW w:w="820" w:type="dxa"/>
          </w:tcPr>
          <w:p w14:paraId="55941111" w14:textId="53CAB941" w:rsidR="003A6927" w:rsidRDefault="003A6927" w:rsidP="003A6927">
            <w:r>
              <w:t>1.8</w:t>
            </w:r>
          </w:p>
        </w:tc>
        <w:tc>
          <w:tcPr>
            <w:tcW w:w="3950" w:type="dxa"/>
          </w:tcPr>
          <w:p w14:paraId="2C5FA1B4" w14:textId="3F76A6B9" w:rsidR="003A6927" w:rsidRDefault="003A6927" w:rsidP="003A6927">
            <w:r w:rsidRPr="00954004">
              <w:t xml:space="preserve">Relative Incidence of Registry &amp; Registrar general complaints submitted to ICANN’s </w:t>
            </w:r>
            <w:proofErr w:type="spellStart"/>
            <w:r w:rsidRPr="00954004">
              <w:t>Internic</w:t>
            </w:r>
            <w:proofErr w:type="spellEnd"/>
            <w:r w:rsidRPr="00954004">
              <w:t xml:space="preserve"> System.</w:t>
            </w:r>
          </w:p>
        </w:tc>
        <w:tc>
          <w:tcPr>
            <w:tcW w:w="3235" w:type="dxa"/>
          </w:tcPr>
          <w:p w14:paraId="6BCB38C6" w14:textId="3DB3F586" w:rsidR="003A6927" w:rsidRDefault="003A6927" w:rsidP="003A6927">
            <w:r>
              <w:t>Internal, compliance team</w:t>
            </w:r>
          </w:p>
        </w:tc>
        <w:tc>
          <w:tcPr>
            <w:tcW w:w="1345" w:type="dxa"/>
          </w:tcPr>
          <w:p w14:paraId="49F99AB0" w14:textId="377B93CD" w:rsidR="003A6927" w:rsidRDefault="003A6927" w:rsidP="003A6927">
            <w:r w:rsidRPr="00820E5C">
              <w:t>Trust</w:t>
            </w:r>
          </w:p>
        </w:tc>
      </w:tr>
      <w:tr w:rsidR="003A6927" w14:paraId="67257C00" w14:textId="07B03825" w:rsidTr="003A6927">
        <w:tc>
          <w:tcPr>
            <w:tcW w:w="820" w:type="dxa"/>
          </w:tcPr>
          <w:p w14:paraId="419FA27F" w14:textId="2331DAB1" w:rsidR="003A6927" w:rsidRDefault="003A6927" w:rsidP="003A6927">
            <w:r>
              <w:t>1.9</w:t>
            </w:r>
          </w:p>
        </w:tc>
        <w:tc>
          <w:tcPr>
            <w:tcW w:w="3950" w:type="dxa"/>
          </w:tcPr>
          <w:p w14:paraId="2429B53C" w14:textId="747D5D21" w:rsidR="003A6927" w:rsidRDefault="003A6927" w:rsidP="003A6927">
            <w:r w:rsidRPr="00954004">
              <w:t xml:space="preserve">Relative incidence of combined UDRP and URS Complaints.  URS is required only in new </w:t>
            </w:r>
            <w:proofErr w:type="spellStart"/>
            <w:r w:rsidRPr="00954004">
              <w:t>gTLDs</w:t>
            </w:r>
            <w:proofErr w:type="spellEnd"/>
            <w:r w:rsidRPr="00954004">
              <w:t xml:space="preserve">, so combined UDRP and URS complaints may be comparable to UDRP complaints in legacy </w:t>
            </w:r>
            <w:proofErr w:type="spellStart"/>
            <w:r w:rsidRPr="00954004">
              <w:t>gTLDs</w:t>
            </w:r>
            <w:proofErr w:type="spellEnd"/>
          </w:p>
        </w:tc>
        <w:tc>
          <w:tcPr>
            <w:tcW w:w="3235" w:type="dxa"/>
          </w:tcPr>
          <w:p w14:paraId="6F1A8321" w14:textId="5D28180E" w:rsidR="003A6927" w:rsidRDefault="003A6927" w:rsidP="003A6927">
            <w:r>
              <w:t>Internal, compliance team</w:t>
            </w:r>
          </w:p>
        </w:tc>
        <w:tc>
          <w:tcPr>
            <w:tcW w:w="1345" w:type="dxa"/>
          </w:tcPr>
          <w:p w14:paraId="0E668DA1" w14:textId="74624A2D" w:rsidR="003A6927" w:rsidRDefault="003A6927" w:rsidP="003A6927">
            <w:r w:rsidRPr="00E822E1">
              <w:t>Trust</w:t>
            </w:r>
          </w:p>
        </w:tc>
      </w:tr>
      <w:tr w:rsidR="003A6927" w14:paraId="62D83497" w14:textId="0F541715" w:rsidTr="003A6927">
        <w:tc>
          <w:tcPr>
            <w:tcW w:w="820" w:type="dxa"/>
          </w:tcPr>
          <w:p w14:paraId="0B12F68C" w14:textId="7C2B1BEA" w:rsidR="003A6927" w:rsidRDefault="003A6927" w:rsidP="003A6927">
            <w:r>
              <w:t>1.10</w:t>
            </w:r>
          </w:p>
        </w:tc>
        <w:tc>
          <w:tcPr>
            <w:tcW w:w="3950" w:type="dxa"/>
          </w:tcPr>
          <w:p w14:paraId="71891F70" w14:textId="4E471190" w:rsidR="003A6927" w:rsidRDefault="003A6927" w:rsidP="003A6927">
            <w:r w:rsidRPr="00954004">
              <w:t>Relative incidence of combined UDRP and URS Decisions against registrants.</w:t>
            </w:r>
          </w:p>
        </w:tc>
        <w:tc>
          <w:tcPr>
            <w:tcW w:w="3235" w:type="dxa"/>
          </w:tcPr>
          <w:p w14:paraId="34880FF0" w14:textId="1B0D51C6" w:rsidR="003A6927" w:rsidRDefault="003A6927" w:rsidP="003A6927">
            <w:r>
              <w:t>Internal, collecting UDRP and URS providers’ decisions</w:t>
            </w:r>
          </w:p>
        </w:tc>
        <w:tc>
          <w:tcPr>
            <w:tcW w:w="1345" w:type="dxa"/>
          </w:tcPr>
          <w:p w14:paraId="28063FF2" w14:textId="79C4A139" w:rsidR="003A6927" w:rsidRDefault="003A6927" w:rsidP="003A6927">
            <w:r w:rsidRPr="00E822E1">
              <w:t>Trust</w:t>
            </w:r>
          </w:p>
        </w:tc>
      </w:tr>
      <w:tr w:rsidR="003A6927" w14:paraId="5CD52EB6" w14:textId="12CFED0D" w:rsidTr="003A6927">
        <w:tc>
          <w:tcPr>
            <w:tcW w:w="820" w:type="dxa"/>
          </w:tcPr>
          <w:p w14:paraId="2D355B67" w14:textId="1CDAD533" w:rsidR="003A6927" w:rsidRDefault="003A6927" w:rsidP="003A6927">
            <w:r>
              <w:t>1.12</w:t>
            </w:r>
          </w:p>
        </w:tc>
        <w:tc>
          <w:tcPr>
            <w:tcW w:w="3950" w:type="dxa"/>
          </w:tcPr>
          <w:p w14:paraId="73003CD5" w14:textId="71FAF7B9" w:rsidR="003A6927" w:rsidRDefault="003A6927" w:rsidP="003A6927">
            <w:r w:rsidRPr="00954004">
              <w:t>Decisions against Registry Operator arising from Registry Restrictions Dispute Resolutions Procedure (RRDRP).</w:t>
            </w:r>
          </w:p>
        </w:tc>
        <w:tc>
          <w:tcPr>
            <w:tcW w:w="3235" w:type="dxa"/>
          </w:tcPr>
          <w:p w14:paraId="6B2A9CFB" w14:textId="43FE5C82" w:rsidR="003A6927" w:rsidRDefault="003A6927" w:rsidP="003A6927">
            <w:r>
              <w:t>Internal, collecting RRDRP decisions</w:t>
            </w:r>
          </w:p>
        </w:tc>
        <w:tc>
          <w:tcPr>
            <w:tcW w:w="1345" w:type="dxa"/>
          </w:tcPr>
          <w:p w14:paraId="4DC5BFCC" w14:textId="0769F1BC" w:rsidR="003A6927" w:rsidRDefault="003A6927" w:rsidP="003A6927">
            <w:r w:rsidRPr="00E822E1">
              <w:t>Trust</w:t>
            </w:r>
          </w:p>
        </w:tc>
      </w:tr>
      <w:tr w:rsidR="003A6927" w14:paraId="7C1EB5CB" w14:textId="365BD82A" w:rsidTr="003A6927">
        <w:tc>
          <w:tcPr>
            <w:tcW w:w="820" w:type="dxa"/>
          </w:tcPr>
          <w:p w14:paraId="2C829E1B" w14:textId="1231BC4E" w:rsidR="003A6927" w:rsidRDefault="003A6927" w:rsidP="00954004">
            <w:r>
              <w:t>1.20</w:t>
            </w:r>
          </w:p>
        </w:tc>
        <w:tc>
          <w:tcPr>
            <w:tcW w:w="3950" w:type="dxa"/>
          </w:tcPr>
          <w:p w14:paraId="29F83A1E" w14:textId="378A98F8" w:rsidR="003A6927" w:rsidRDefault="003A6927" w:rsidP="00954004">
            <w:r w:rsidRPr="00954004">
              <w:t xml:space="preserve">Quantity and relative incidence of complaints regarding inaccurate, invalid, or suspect WHOIS records in new </w:t>
            </w:r>
            <w:proofErr w:type="spellStart"/>
            <w:r w:rsidRPr="00954004">
              <w:t>gTLD</w:t>
            </w:r>
            <w:proofErr w:type="spellEnd"/>
            <w:r w:rsidRPr="00954004">
              <w:t>.</w:t>
            </w:r>
          </w:p>
        </w:tc>
        <w:tc>
          <w:tcPr>
            <w:tcW w:w="3235" w:type="dxa"/>
          </w:tcPr>
          <w:p w14:paraId="32DA4F3D" w14:textId="643F442A" w:rsidR="003A6927" w:rsidRDefault="003A6927" w:rsidP="00954004">
            <w:r>
              <w:t>Internal, compliance team</w:t>
            </w:r>
          </w:p>
        </w:tc>
        <w:tc>
          <w:tcPr>
            <w:tcW w:w="1345" w:type="dxa"/>
          </w:tcPr>
          <w:p w14:paraId="066B6DAD" w14:textId="77777777" w:rsidR="003A6927" w:rsidRDefault="003A6927" w:rsidP="003A6927">
            <w:r>
              <w:t>Trust</w:t>
            </w:r>
          </w:p>
          <w:p w14:paraId="7C80A20A" w14:textId="625B380C" w:rsidR="003A6927" w:rsidRDefault="003A6927" w:rsidP="00954004">
            <w:r>
              <w:t xml:space="preserve"> </w:t>
            </w:r>
          </w:p>
        </w:tc>
      </w:tr>
      <w:tr w:rsidR="006A1696" w14:paraId="13B02A22" w14:textId="77777777" w:rsidTr="003A6927">
        <w:tc>
          <w:tcPr>
            <w:tcW w:w="820" w:type="dxa"/>
          </w:tcPr>
          <w:p w14:paraId="5A238D4A" w14:textId="684D1FBC" w:rsidR="006A1696" w:rsidRDefault="006A1696" w:rsidP="00954004">
            <w:r>
              <w:t>1.22</w:t>
            </w:r>
          </w:p>
        </w:tc>
        <w:tc>
          <w:tcPr>
            <w:tcW w:w="3950" w:type="dxa"/>
          </w:tcPr>
          <w:p w14:paraId="20F037BC" w14:textId="7C770133" w:rsidR="006A1696" w:rsidRPr="00954004" w:rsidRDefault="006A1696" w:rsidP="00954004">
            <w:r w:rsidRPr="006A1696">
              <w:t xml:space="preserve">Qualitative comparison of mission and purpose set forth in Question 18 of the </w:t>
            </w:r>
            <w:r w:rsidRPr="006A1696">
              <w:lastRenderedPageBreak/>
              <w:t xml:space="preserve">new </w:t>
            </w:r>
            <w:proofErr w:type="spellStart"/>
            <w:r w:rsidRPr="006A1696">
              <w:t>gTLD</w:t>
            </w:r>
            <w:proofErr w:type="spellEnd"/>
            <w:r w:rsidRPr="006A1696">
              <w:t xml:space="preserve"> Application with current actual use of the </w:t>
            </w:r>
            <w:proofErr w:type="spellStart"/>
            <w:r w:rsidRPr="006A1696">
              <w:t>gTLD</w:t>
            </w:r>
            <w:proofErr w:type="spellEnd"/>
            <w:r w:rsidRPr="006A1696">
              <w:t>.</w:t>
            </w:r>
          </w:p>
        </w:tc>
        <w:tc>
          <w:tcPr>
            <w:tcW w:w="3235" w:type="dxa"/>
          </w:tcPr>
          <w:p w14:paraId="3A96F7B2" w14:textId="7DB8E011" w:rsidR="006A1696" w:rsidRDefault="006A1696" w:rsidP="00954004">
            <w:r>
              <w:lastRenderedPageBreak/>
              <w:t xml:space="preserve">Internal/external. Qualitative study may be conducted </w:t>
            </w:r>
            <w:r>
              <w:lastRenderedPageBreak/>
              <w:t xml:space="preserve">externally or may require a third party’s analysis. </w:t>
            </w:r>
          </w:p>
        </w:tc>
        <w:tc>
          <w:tcPr>
            <w:tcW w:w="1345" w:type="dxa"/>
          </w:tcPr>
          <w:p w14:paraId="4CA93DAE" w14:textId="3878EAE1" w:rsidR="006A1696" w:rsidRDefault="006A1696" w:rsidP="00954004">
            <w:r>
              <w:lastRenderedPageBreak/>
              <w:t>Trust</w:t>
            </w:r>
          </w:p>
        </w:tc>
      </w:tr>
      <w:tr w:rsidR="003A6927" w14:paraId="4414BD0F" w14:textId="6DD55137" w:rsidTr="003A6927">
        <w:tc>
          <w:tcPr>
            <w:tcW w:w="820" w:type="dxa"/>
          </w:tcPr>
          <w:p w14:paraId="735C7B18" w14:textId="1911A759" w:rsidR="003A6927" w:rsidRDefault="003A6927" w:rsidP="00954004">
            <w:r>
              <w:lastRenderedPageBreak/>
              <w:t>2.4</w:t>
            </w:r>
          </w:p>
        </w:tc>
        <w:tc>
          <w:tcPr>
            <w:tcW w:w="3950" w:type="dxa"/>
          </w:tcPr>
          <w:p w14:paraId="3DEB2C7F" w14:textId="74936A01" w:rsidR="003A6927" w:rsidRDefault="003A6927" w:rsidP="00954004">
            <w:r w:rsidRPr="00954004">
              <w:t>Quantity of TLDs using IDN scripts or languages other than English.</w:t>
            </w:r>
          </w:p>
        </w:tc>
        <w:tc>
          <w:tcPr>
            <w:tcW w:w="3235" w:type="dxa"/>
          </w:tcPr>
          <w:p w14:paraId="0216E9D2" w14:textId="56568FFD" w:rsidR="003A6927" w:rsidRDefault="003A6927" w:rsidP="00954004">
            <w:r>
              <w:t>Internal, registry agreements</w:t>
            </w:r>
          </w:p>
        </w:tc>
        <w:tc>
          <w:tcPr>
            <w:tcW w:w="1345" w:type="dxa"/>
          </w:tcPr>
          <w:p w14:paraId="2B99A74A" w14:textId="0D90392C" w:rsidR="003A6927" w:rsidRDefault="00195607" w:rsidP="00954004">
            <w:r>
              <w:t>Choice</w:t>
            </w:r>
          </w:p>
        </w:tc>
      </w:tr>
      <w:tr w:rsidR="003A6927" w14:paraId="57995EFC" w14:textId="40B3828C" w:rsidTr="003A6927">
        <w:tc>
          <w:tcPr>
            <w:tcW w:w="820" w:type="dxa"/>
          </w:tcPr>
          <w:p w14:paraId="5F055519" w14:textId="554DBED9" w:rsidR="003A6927" w:rsidRDefault="003A6927" w:rsidP="00954004">
            <w:r>
              <w:t>2.5</w:t>
            </w:r>
          </w:p>
        </w:tc>
        <w:tc>
          <w:tcPr>
            <w:tcW w:w="3950" w:type="dxa"/>
          </w:tcPr>
          <w:p w14:paraId="6A9E9C50" w14:textId="299275D1" w:rsidR="003A6927" w:rsidRDefault="003A6927" w:rsidP="00954004">
            <w:r w:rsidRPr="00954004">
              <w:t>Quantity of Registrar websites offering IDN scripts or languages other than English.</w:t>
            </w:r>
          </w:p>
        </w:tc>
        <w:tc>
          <w:tcPr>
            <w:tcW w:w="3235" w:type="dxa"/>
          </w:tcPr>
          <w:p w14:paraId="61DF890B" w14:textId="72BEA33F" w:rsidR="003A6927" w:rsidRDefault="003A6927" w:rsidP="00954004">
            <w:r>
              <w:t>Internal, registry and registrar agreements, websites</w:t>
            </w:r>
          </w:p>
        </w:tc>
        <w:tc>
          <w:tcPr>
            <w:tcW w:w="1345" w:type="dxa"/>
          </w:tcPr>
          <w:p w14:paraId="41A40555" w14:textId="70EDF7EA" w:rsidR="003A6927" w:rsidRDefault="00195607" w:rsidP="00954004">
            <w:r>
              <w:t>Choice</w:t>
            </w:r>
          </w:p>
        </w:tc>
      </w:tr>
      <w:tr w:rsidR="003A6927" w14:paraId="5B227AFE" w14:textId="4C6D6ADD" w:rsidTr="003A6927">
        <w:tc>
          <w:tcPr>
            <w:tcW w:w="820" w:type="dxa"/>
          </w:tcPr>
          <w:p w14:paraId="6E2D3730" w14:textId="229F698B" w:rsidR="003A6927" w:rsidRDefault="003A6927" w:rsidP="00954004">
            <w:r>
              <w:t>2.7</w:t>
            </w:r>
          </w:p>
        </w:tc>
        <w:tc>
          <w:tcPr>
            <w:tcW w:w="3950" w:type="dxa"/>
          </w:tcPr>
          <w:p w14:paraId="57AB0D78" w14:textId="7D92D18B" w:rsidR="003A6927" w:rsidRDefault="003A6927" w:rsidP="00954004">
            <w:r w:rsidRPr="00954004">
              <w:t xml:space="preserve">Quantity of different national legal regimes where new </w:t>
            </w:r>
            <w:proofErr w:type="spellStart"/>
            <w:r w:rsidRPr="00954004">
              <w:t>gTLD</w:t>
            </w:r>
            <w:proofErr w:type="spellEnd"/>
            <w:r w:rsidRPr="00954004">
              <w:t xml:space="preserve"> Registry Operators are based.</w:t>
            </w:r>
          </w:p>
        </w:tc>
        <w:tc>
          <w:tcPr>
            <w:tcW w:w="3235" w:type="dxa"/>
          </w:tcPr>
          <w:p w14:paraId="58309720" w14:textId="047DC8BF" w:rsidR="003A6927" w:rsidRDefault="003A6927" w:rsidP="00954004">
            <w:r>
              <w:t>Internal, registry agreements</w:t>
            </w:r>
          </w:p>
        </w:tc>
        <w:tc>
          <w:tcPr>
            <w:tcW w:w="1345" w:type="dxa"/>
          </w:tcPr>
          <w:p w14:paraId="1CA98A16" w14:textId="744CCF48" w:rsidR="003A6927" w:rsidRDefault="00195607" w:rsidP="00954004">
            <w:r>
              <w:t>Choice</w:t>
            </w:r>
          </w:p>
        </w:tc>
      </w:tr>
      <w:tr w:rsidR="003A6927" w14:paraId="5C7400BA" w14:textId="2F2333C0" w:rsidTr="003A6927">
        <w:tc>
          <w:tcPr>
            <w:tcW w:w="820" w:type="dxa"/>
          </w:tcPr>
          <w:p w14:paraId="77B1A6E9" w14:textId="58A0C3C0" w:rsidR="003A6927" w:rsidRDefault="003A6927" w:rsidP="00954004">
            <w:r>
              <w:t>2.11</w:t>
            </w:r>
          </w:p>
        </w:tc>
        <w:tc>
          <w:tcPr>
            <w:tcW w:w="3950" w:type="dxa"/>
          </w:tcPr>
          <w:p w14:paraId="755D3300" w14:textId="5ACAB90C" w:rsidR="003A6927" w:rsidRDefault="003A6927" w:rsidP="00954004">
            <w:r w:rsidRPr="00954004">
              <w:t xml:space="preserve">Measure the increased geographic diversity of registrants across all new </w:t>
            </w:r>
            <w:proofErr w:type="spellStart"/>
            <w:r w:rsidRPr="00954004">
              <w:t>gTLDs</w:t>
            </w:r>
            <w:proofErr w:type="spellEnd"/>
            <w:r w:rsidRPr="00954004">
              <w:t xml:space="preserve">, as indication of new choices created by </w:t>
            </w:r>
            <w:proofErr w:type="spellStart"/>
            <w:r w:rsidRPr="00954004">
              <w:t>gTLD</w:t>
            </w:r>
            <w:proofErr w:type="spellEnd"/>
            <w:r w:rsidRPr="00954004">
              <w:t xml:space="preserve"> expansion.</w:t>
            </w:r>
          </w:p>
        </w:tc>
        <w:tc>
          <w:tcPr>
            <w:tcW w:w="3235" w:type="dxa"/>
          </w:tcPr>
          <w:p w14:paraId="137A78AB" w14:textId="41802C04" w:rsidR="003A6927" w:rsidRDefault="003A6927" w:rsidP="00954004">
            <w:r>
              <w:t xml:space="preserve">Internal, technical services team, </w:t>
            </w:r>
            <w:proofErr w:type="spellStart"/>
            <w:r>
              <w:t>Whois</w:t>
            </w:r>
            <w:proofErr w:type="spellEnd"/>
            <w:r>
              <w:t xml:space="preserve"> records, zone files</w:t>
            </w:r>
            <w:r w:rsidR="00721279">
              <w:t xml:space="preserve">. Note that </w:t>
            </w:r>
            <w:proofErr w:type="spellStart"/>
            <w:r w:rsidR="00721279">
              <w:t>Whois</w:t>
            </w:r>
            <w:proofErr w:type="spellEnd"/>
            <w:r w:rsidR="00721279">
              <w:t xml:space="preserve"> records may not be a reliable record of geographic locations of registrants. </w:t>
            </w:r>
          </w:p>
        </w:tc>
        <w:tc>
          <w:tcPr>
            <w:tcW w:w="1345" w:type="dxa"/>
          </w:tcPr>
          <w:p w14:paraId="74852AB5" w14:textId="41B8DFFD" w:rsidR="003A6927" w:rsidRDefault="00195607" w:rsidP="00954004">
            <w:r>
              <w:t>Choice</w:t>
            </w:r>
          </w:p>
        </w:tc>
      </w:tr>
      <w:tr w:rsidR="003A6927" w14:paraId="31EB3446" w14:textId="33C4596A" w:rsidTr="003A6927">
        <w:tc>
          <w:tcPr>
            <w:tcW w:w="820" w:type="dxa"/>
          </w:tcPr>
          <w:p w14:paraId="238F73AB" w14:textId="6A14F023" w:rsidR="003A6927" w:rsidRDefault="003A6927" w:rsidP="00954004">
            <w:r>
              <w:t>3.1</w:t>
            </w:r>
          </w:p>
        </w:tc>
        <w:tc>
          <w:tcPr>
            <w:tcW w:w="3950" w:type="dxa"/>
          </w:tcPr>
          <w:p w14:paraId="51552144" w14:textId="165D8D05" w:rsidR="003A6927" w:rsidRDefault="003A6927" w:rsidP="00954004">
            <w:r w:rsidRPr="00954004">
              <w:t>Quantity of total TLDs before and after expansion.</w:t>
            </w:r>
          </w:p>
        </w:tc>
        <w:tc>
          <w:tcPr>
            <w:tcW w:w="3235" w:type="dxa"/>
          </w:tcPr>
          <w:p w14:paraId="49EA05BE" w14:textId="1DF7ABEB" w:rsidR="003A6927" w:rsidRDefault="003A6927" w:rsidP="00954004">
            <w:r>
              <w:t>Internal, registry agreements</w:t>
            </w:r>
          </w:p>
        </w:tc>
        <w:tc>
          <w:tcPr>
            <w:tcW w:w="1345" w:type="dxa"/>
          </w:tcPr>
          <w:p w14:paraId="0EA7147F" w14:textId="6C75B6DD" w:rsidR="003A6927" w:rsidRDefault="00195607" w:rsidP="00954004">
            <w:r>
              <w:t>Competition</w:t>
            </w:r>
          </w:p>
        </w:tc>
      </w:tr>
      <w:tr w:rsidR="00195607" w14:paraId="0C343FB3" w14:textId="3ACA0F93" w:rsidTr="003A6927">
        <w:tc>
          <w:tcPr>
            <w:tcW w:w="820" w:type="dxa"/>
          </w:tcPr>
          <w:p w14:paraId="4A72BEEF" w14:textId="404D621B" w:rsidR="00195607" w:rsidRDefault="00195607" w:rsidP="00195607">
            <w:r>
              <w:t>3.2</w:t>
            </w:r>
          </w:p>
        </w:tc>
        <w:tc>
          <w:tcPr>
            <w:tcW w:w="3950" w:type="dxa"/>
          </w:tcPr>
          <w:p w14:paraId="2F13B11D" w14:textId="5FF1A00D" w:rsidR="00195607" w:rsidRDefault="00195607" w:rsidP="00195607">
            <w:r w:rsidRPr="00954004">
              <w:t xml:space="preserve">Quantity of </w:t>
            </w:r>
            <w:proofErr w:type="spellStart"/>
            <w:r w:rsidRPr="00954004">
              <w:t>gTLDs</w:t>
            </w:r>
            <w:proofErr w:type="spellEnd"/>
            <w:r w:rsidRPr="00954004">
              <w:t xml:space="preserve"> before and after expansion.</w:t>
            </w:r>
          </w:p>
        </w:tc>
        <w:tc>
          <w:tcPr>
            <w:tcW w:w="3235" w:type="dxa"/>
          </w:tcPr>
          <w:p w14:paraId="217E7AA8" w14:textId="2CAA9BA2" w:rsidR="00195607" w:rsidRDefault="00195607" w:rsidP="00195607">
            <w:r>
              <w:t>Internal, registry agreements</w:t>
            </w:r>
          </w:p>
        </w:tc>
        <w:tc>
          <w:tcPr>
            <w:tcW w:w="1345" w:type="dxa"/>
          </w:tcPr>
          <w:p w14:paraId="74C44028" w14:textId="51665E37" w:rsidR="00195607" w:rsidRDefault="00195607" w:rsidP="00195607">
            <w:r w:rsidRPr="00CF1B09">
              <w:t>Competition</w:t>
            </w:r>
          </w:p>
        </w:tc>
      </w:tr>
      <w:tr w:rsidR="00195607" w14:paraId="2395528A" w14:textId="27DE42DB" w:rsidTr="003A6927">
        <w:tc>
          <w:tcPr>
            <w:tcW w:w="820" w:type="dxa"/>
          </w:tcPr>
          <w:p w14:paraId="6717E9C6" w14:textId="73B97528" w:rsidR="00195607" w:rsidRDefault="00195607" w:rsidP="00195607">
            <w:r>
              <w:t>3.3</w:t>
            </w:r>
          </w:p>
        </w:tc>
        <w:tc>
          <w:tcPr>
            <w:tcW w:w="3950" w:type="dxa"/>
          </w:tcPr>
          <w:p w14:paraId="1B702EE4" w14:textId="24063F26" w:rsidR="00195607" w:rsidRDefault="00195607" w:rsidP="00195607">
            <w:r w:rsidRPr="00954004">
              <w:t xml:space="preserve">Quantity of unique </w:t>
            </w:r>
            <w:proofErr w:type="spellStart"/>
            <w:r w:rsidRPr="00954004">
              <w:t>gTLD</w:t>
            </w:r>
            <w:proofErr w:type="spellEnd"/>
            <w:r w:rsidRPr="00954004">
              <w:t xml:space="preserve"> Registry Operators before and after expansion.</w:t>
            </w:r>
          </w:p>
        </w:tc>
        <w:tc>
          <w:tcPr>
            <w:tcW w:w="3235" w:type="dxa"/>
          </w:tcPr>
          <w:p w14:paraId="39C3B220" w14:textId="3FE64A9D" w:rsidR="00195607" w:rsidRDefault="00195607" w:rsidP="00195607">
            <w:r>
              <w:t>Internal, registry agreements</w:t>
            </w:r>
          </w:p>
        </w:tc>
        <w:tc>
          <w:tcPr>
            <w:tcW w:w="1345" w:type="dxa"/>
          </w:tcPr>
          <w:p w14:paraId="14B79D02" w14:textId="5F394875" w:rsidR="00195607" w:rsidRDefault="00195607" w:rsidP="00195607">
            <w:r w:rsidRPr="00CF1B09">
              <w:t>Competition</w:t>
            </w:r>
          </w:p>
        </w:tc>
      </w:tr>
      <w:tr w:rsidR="00195607" w14:paraId="28B81D04" w14:textId="630F1A36" w:rsidTr="003A6927">
        <w:tc>
          <w:tcPr>
            <w:tcW w:w="820" w:type="dxa"/>
          </w:tcPr>
          <w:p w14:paraId="22558DFB" w14:textId="2CD06715" w:rsidR="00195607" w:rsidRDefault="00195607" w:rsidP="00195607">
            <w:r>
              <w:t>3.4</w:t>
            </w:r>
          </w:p>
        </w:tc>
        <w:tc>
          <w:tcPr>
            <w:tcW w:w="3950" w:type="dxa"/>
          </w:tcPr>
          <w:p w14:paraId="4734A156" w14:textId="424891DE" w:rsidR="00195607" w:rsidRDefault="00195607" w:rsidP="00195607">
            <w:r w:rsidRPr="009D38E8">
              <w:t xml:space="preserve">Quantity of unique </w:t>
            </w:r>
            <w:proofErr w:type="spellStart"/>
            <w:r w:rsidRPr="009D38E8">
              <w:t>gTLD</w:t>
            </w:r>
            <w:proofErr w:type="spellEnd"/>
            <w:r w:rsidRPr="009D38E8">
              <w:t xml:space="preserve"> Registry Service Providers before and after expansion.</w:t>
            </w:r>
          </w:p>
        </w:tc>
        <w:tc>
          <w:tcPr>
            <w:tcW w:w="3235" w:type="dxa"/>
          </w:tcPr>
          <w:p w14:paraId="491E4133" w14:textId="43BDB7F5" w:rsidR="00195607" w:rsidRDefault="00195607" w:rsidP="00195607">
            <w:r>
              <w:t>Internal, registry agreements</w:t>
            </w:r>
          </w:p>
        </w:tc>
        <w:tc>
          <w:tcPr>
            <w:tcW w:w="1345" w:type="dxa"/>
          </w:tcPr>
          <w:p w14:paraId="556D6434" w14:textId="339DA099" w:rsidR="00195607" w:rsidRDefault="00195607" w:rsidP="00195607">
            <w:r w:rsidRPr="00CF1B09">
              <w:t>Competition</w:t>
            </w:r>
          </w:p>
        </w:tc>
      </w:tr>
      <w:tr w:rsidR="00195607" w14:paraId="3873AAA6" w14:textId="60AA0FE1" w:rsidTr="003A6927">
        <w:tc>
          <w:tcPr>
            <w:tcW w:w="820" w:type="dxa"/>
          </w:tcPr>
          <w:p w14:paraId="6E37FAB5" w14:textId="520F6BAA" w:rsidR="00195607" w:rsidRDefault="00195607" w:rsidP="00195607">
            <w:r>
              <w:t>3.5</w:t>
            </w:r>
          </w:p>
        </w:tc>
        <w:tc>
          <w:tcPr>
            <w:tcW w:w="3950" w:type="dxa"/>
          </w:tcPr>
          <w:p w14:paraId="7499D2B5" w14:textId="5DAA9E40" w:rsidR="00195607" w:rsidRDefault="00195607" w:rsidP="00195607">
            <w:r w:rsidRPr="009D38E8">
              <w:t xml:space="preserve">Quantity of Registrars before and after expansion, along with indication of country where Registrar is based.  This measure should count only registrars distributing Open </w:t>
            </w:r>
            <w:proofErr w:type="spellStart"/>
            <w:r w:rsidRPr="009D38E8">
              <w:t>gTLDs</w:t>
            </w:r>
            <w:proofErr w:type="spellEnd"/>
            <w:r w:rsidRPr="009D38E8">
              <w:t>.</w:t>
            </w:r>
          </w:p>
        </w:tc>
        <w:tc>
          <w:tcPr>
            <w:tcW w:w="3235" w:type="dxa"/>
          </w:tcPr>
          <w:p w14:paraId="4C356BC1" w14:textId="4EF71A67" w:rsidR="00195607" w:rsidRDefault="00195607" w:rsidP="00195607">
            <w:r>
              <w:t>Internal, registrar accreditation agreements</w:t>
            </w:r>
          </w:p>
        </w:tc>
        <w:tc>
          <w:tcPr>
            <w:tcW w:w="1345" w:type="dxa"/>
          </w:tcPr>
          <w:p w14:paraId="773027A4" w14:textId="4126DD3B" w:rsidR="00195607" w:rsidRDefault="00195607" w:rsidP="00195607">
            <w:r w:rsidRPr="00CF1B09">
              <w:t>Competition</w:t>
            </w:r>
          </w:p>
        </w:tc>
      </w:tr>
      <w:tr w:rsidR="00270441" w14:paraId="170EC4D0" w14:textId="77777777" w:rsidTr="003A6927">
        <w:tc>
          <w:tcPr>
            <w:tcW w:w="820" w:type="dxa"/>
          </w:tcPr>
          <w:p w14:paraId="22D8C6DF" w14:textId="2CA10B79" w:rsidR="00270441" w:rsidRDefault="00270441" w:rsidP="009D38E8">
            <w:r>
              <w:t>3.6</w:t>
            </w:r>
          </w:p>
        </w:tc>
        <w:tc>
          <w:tcPr>
            <w:tcW w:w="3950" w:type="dxa"/>
          </w:tcPr>
          <w:p w14:paraId="7152310D" w14:textId="6B855CC0" w:rsidR="00270441" w:rsidRPr="009D38E8" w:rsidRDefault="00270441" w:rsidP="009D38E8">
            <w:r w:rsidRPr="00270441">
              <w:t xml:space="preserve">Relative share of new </w:t>
            </w:r>
            <w:proofErr w:type="spellStart"/>
            <w:r w:rsidRPr="00270441">
              <w:t>gTLD</w:t>
            </w:r>
            <w:proofErr w:type="spellEnd"/>
            <w:r w:rsidRPr="00270441">
              <w:t xml:space="preserve"> registrations held by “new entrants”.  For purposes of this measure, “new entrants” are </w:t>
            </w:r>
            <w:proofErr w:type="spellStart"/>
            <w:r w:rsidRPr="00270441">
              <w:t>gTLDs</w:t>
            </w:r>
            <w:proofErr w:type="spellEnd"/>
            <w:r w:rsidRPr="00270441">
              <w:t xml:space="preserve"> run by Registry Operators that did not operate a legacy </w:t>
            </w:r>
            <w:proofErr w:type="spellStart"/>
            <w:r w:rsidRPr="00270441">
              <w:t>gTLD</w:t>
            </w:r>
            <w:proofErr w:type="spellEnd"/>
            <w:r w:rsidRPr="00270441">
              <w:t xml:space="preserve">.  A "new entrant" is one whose ownership is not among owners of legacy </w:t>
            </w:r>
            <w:proofErr w:type="spellStart"/>
            <w:r w:rsidRPr="00270441">
              <w:t>gTLD</w:t>
            </w:r>
            <w:proofErr w:type="spellEnd"/>
            <w:r w:rsidRPr="00270441">
              <w:t xml:space="preserve"> registries.</w:t>
            </w:r>
          </w:p>
        </w:tc>
        <w:tc>
          <w:tcPr>
            <w:tcW w:w="3235" w:type="dxa"/>
          </w:tcPr>
          <w:p w14:paraId="7930A9F8" w14:textId="76441E18" w:rsidR="00270441" w:rsidRDefault="00270441" w:rsidP="009D38E8">
            <w:r>
              <w:t>Internal, registry agreements</w:t>
            </w:r>
          </w:p>
        </w:tc>
        <w:tc>
          <w:tcPr>
            <w:tcW w:w="1345" w:type="dxa"/>
          </w:tcPr>
          <w:p w14:paraId="5AF57ECF" w14:textId="2E4371BC" w:rsidR="00270441" w:rsidRDefault="00270441" w:rsidP="009D38E8">
            <w:r>
              <w:t>Competition</w:t>
            </w:r>
          </w:p>
        </w:tc>
      </w:tr>
      <w:tr w:rsidR="003A6927" w14:paraId="01FB5795" w14:textId="0D6DB6EB" w:rsidTr="003A6927">
        <w:tc>
          <w:tcPr>
            <w:tcW w:w="820" w:type="dxa"/>
          </w:tcPr>
          <w:p w14:paraId="2E5C15F2" w14:textId="2C906866" w:rsidR="003A6927" w:rsidRDefault="003A6927" w:rsidP="009D38E8">
            <w:r>
              <w:t>7.1</w:t>
            </w:r>
          </w:p>
        </w:tc>
        <w:tc>
          <w:tcPr>
            <w:tcW w:w="3950" w:type="dxa"/>
          </w:tcPr>
          <w:p w14:paraId="1DC2B7CA" w14:textId="216AEC0B" w:rsidR="003A6927" w:rsidRDefault="003A6927" w:rsidP="009D38E8">
            <w:r w:rsidRPr="009D38E8">
              <w:t xml:space="preserve">How many </w:t>
            </w:r>
            <w:proofErr w:type="spellStart"/>
            <w:r w:rsidRPr="009D38E8">
              <w:t>gTLD</w:t>
            </w:r>
            <w:proofErr w:type="spellEnd"/>
            <w:r w:rsidRPr="009D38E8">
              <w:t xml:space="preserve"> registries have privacy policies which are clearly and easily accessible by end users</w:t>
            </w:r>
          </w:p>
        </w:tc>
        <w:tc>
          <w:tcPr>
            <w:tcW w:w="3235" w:type="dxa"/>
          </w:tcPr>
          <w:p w14:paraId="52116FD0" w14:textId="1DEE2390" w:rsidR="003A6927" w:rsidRDefault="003A6927" w:rsidP="009D38E8">
            <w:r>
              <w:t>Internal, registry websites</w:t>
            </w:r>
          </w:p>
        </w:tc>
        <w:tc>
          <w:tcPr>
            <w:tcW w:w="1345" w:type="dxa"/>
          </w:tcPr>
          <w:p w14:paraId="450EFE0F" w14:textId="0B01FD80" w:rsidR="003A6927" w:rsidRDefault="00195607" w:rsidP="009D38E8">
            <w:r>
              <w:t>Trust</w:t>
            </w:r>
          </w:p>
        </w:tc>
      </w:tr>
      <w:tr w:rsidR="00195607" w14:paraId="7F8C25FB" w14:textId="6B355120" w:rsidTr="003A6927">
        <w:tc>
          <w:tcPr>
            <w:tcW w:w="820" w:type="dxa"/>
          </w:tcPr>
          <w:p w14:paraId="02022308" w14:textId="07CDF893" w:rsidR="00195607" w:rsidRDefault="00195607" w:rsidP="00195607">
            <w:r>
              <w:t>7.2</w:t>
            </w:r>
          </w:p>
        </w:tc>
        <w:tc>
          <w:tcPr>
            <w:tcW w:w="3950" w:type="dxa"/>
          </w:tcPr>
          <w:p w14:paraId="27068CD3" w14:textId="37601516" w:rsidR="00195607" w:rsidRDefault="00195607" w:rsidP="00195607">
            <w:r w:rsidRPr="009D38E8">
              <w:t xml:space="preserve">How many </w:t>
            </w:r>
            <w:proofErr w:type="spellStart"/>
            <w:r w:rsidRPr="009D38E8">
              <w:t>gTLD</w:t>
            </w:r>
            <w:proofErr w:type="spellEnd"/>
            <w:r w:rsidRPr="009D38E8">
              <w:t xml:space="preserve"> registries have allocation policies which are clearly and easily accessible by end users, even if those policies simply restrict or prohibit public availability</w:t>
            </w:r>
          </w:p>
        </w:tc>
        <w:tc>
          <w:tcPr>
            <w:tcW w:w="3235" w:type="dxa"/>
          </w:tcPr>
          <w:p w14:paraId="415546DB" w14:textId="1A1AA1A9" w:rsidR="00195607" w:rsidRDefault="00195607" w:rsidP="00195607">
            <w:r>
              <w:t>Internal, registry websites</w:t>
            </w:r>
          </w:p>
        </w:tc>
        <w:tc>
          <w:tcPr>
            <w:tcW w:w="1345" w:type="dxa"/>
          </w:tcPr>
          <w:p w14:paraId="777623FF" w14:textId="036B06CC" w:rsidR="00195607" w:rsidRDefault="00195607" w:rsidP="00195607">
            <w:r w:rsidRPr="00E01D77">
              <w:t>Trust</w:t>
            </w:r>
          </w:p>
        </w:tc>
      </w:tr>
      <w:tr w:rsidR="00195607" w14:paraId="685ABDAA" w14:textId="0A4FD2B8" w:rsidTr="003A6927">
        <w:tc>
          <w:tcPr>
            <w:tcW w:w="820" w:type="dxa"/>
          </w:tcPr>
          <w:p w14:paraId="45C73EBE" w14:textId="03C5D49B" w:rsidR="00195607" w:rsidRDefault="00195607" w:rsidP="00195607">
            <w:r>
              <w:t>7.3</w:t>
            </w:r>
          </w:p>
        </w:tc>
        <w:tc>
          <w:tcPr>
            <w:tcW w:w="3950" w:type="dxa"/>
          </w:tcPr>
          <w:p w14:paraId="07BEE920" w14:textId="64208E40" w:rsidR="00195607" w:rsidRDefault="00195607" w:rsidP="00195607">
            <w:r w:rsidRPr="009D38E8">
              <w:t>How many registries disclose end-user information regarding their codes of conduct for sub-domain owner/operators</w:t>
            </w:r>
          </w:p>
        </w:tc>
        <w:tc>
          <w:tcPr>
            <w:tcW w:w="3235" w:type="dxa"/>
          </w:tcPr>
          <w:p w14:paraId="42022BE5" w14:textId="0E9EF8C4" w:rsidR="00195607" w:rsidRDefault="00195607" w:rsidP="00195607">
            <w:r>
              <w:t>Internal, registry websites</w:t>
            </w:r>
          </w:p>
        </w:tc>
        <w:tc>
          <w:tcPr>
            <w:tcW w:w="1345" w:type="dxa"/>
          </w:tcPr>
          <w:p w14:paraId="335391AB" w14:textId="3BF06067" w:rsidR="00195607" w:rsidRDefault="00195607" w:rsidP="00195607">
            <w:r w:rsidRPr="00E01D77">
              <w:t>Trust</w:t>
            </w:r>
          </w:p>
        </w:tc>
      </w:tr>
      <w:tr w:rsidR="003A6927" w14:paraId="24B588AC" w14:textId="28082923" w:rsidTr="003A6927">
        <w:tc>
          <w:tcPr>
            <w:tcW w:w="820" w:type="dxa"/>
          </w:tcPr>
          <w:p w14:paraId="480D8895" w14:textId="7086A903" w:rsidR="003A6927" w:rsidRDefault="003A6927" w:rsidP="009D38E8">
            <w:r>
              <w:lastRenderedPageBreak/>
              <w:t>8.1</w:t>
            </w:r>
          </w:p>
        </w:tc>
        <w:tc>
          <w:tcPr>
            <w:tcW w:w="3950" w:type="dxa"/>
          </w:tcPr>
          <w:p w14:paraId="4A3D948B" w14:textId="188E37AE" w:rsidR="003A6927" w:rsidRDefault="003A6927" w:rsidP="009D38E8">
            <w:r w:rsidRPr="009D38E8">
              <w:t>How many complaints are received by ICANN related to confusion or misunderstanding of TLD functions</w:t>
            </w:r>
          </w:p>
        </w:tc>
        <w:tc>
          <w:tcPr>
            <w:tcW w:w="3235" w:type="dxa"/>
          </w:tcPr>
          <w:p w14:paraId="37787F39" w14:textId="22FAD88B" w:rsidR="003A6927" w:rsidRDefault="003A6927" w:rsidP="009D38E8">
            <w:r>
              <w:t>Internal, compliance team</w:t>
            </w:r>
          </w:p>
        </w:tc>
        <w:tc>
          <w:tcPr>
            <w:tcW w:w="1345" w:type="dxa"/>
          </w:tcPr>
          <w:p w14:paraId="5C1ED94A" w14:textId="0FAF3446" w:rsidR="003A6927" w:rsidRDefault="00195607" w:rsidP="009D38E8">
            <w:r>
              <w:t>Trust</w:t>
            </w:r>
          </w:p>
        </w:tc>
      </w:tr>
      <w:tr w:rsidR="003A6927" w14:paraId="5CFDEA88" w14:textId="2682C0DA" w:rsidTr="003A6927">
        <w:tc>
          <w:tcPr>
            <w:tcW w:w="820" w:type="dxa"/>
          </w:tcPr>
          <w:p w14:paraId="6348F597" w14:textId="790EC1F6" w:rsidR="003A6927" w:rsidRDefault="003A6927" w:rsidP="009D38E8">
            <w:r>
              <w:t>8.3</w:t>
            </w:r>
          </w:p>
        </w:tc>
        <w:tc>
          <w:tcPr>
            <w:tcW w:w="3950" w:type="dxa"/>
          </w:tcPr>
          <w:p w14:paraId="01028A29" w14:textId="3E6011E2" w:rsidR="003A6927" w:rsidRDefault="003A6927" w:rsidP="009D38E8">
            <w:r w:rsidRPr="009D38E8">
              <w:t>How many registries have been the subject of complaints related to their Public Interest Commitments (PICs)</w:t>
            </w:r>
          </w:p>
        </w:tc>
        <w:tc>
          <w:tcPr>
            <w:tcW w:w="3235" w:type="dxa"/>
          </w:tcPr>
          <w:p w14:paraId="597AF460" w14:textId="5259CD13" w:rsidR="003A6927" w:rsidRDefault="003A6927" w:rsidP="009D38E8">
            <w:r>
              <w:t>Internal, compliance team</w:t>
            </w:r>
          </w:p>
        </w:tc>
        <w:tc>
          <w:tcPr>
            <w:tcW w:w="1345" w:type="dxa"/>
          </w:tcPr>
          <w:p w14:paraId="012D444A" w14:textId="4F7527A3" w:rsidR="003A6927" w:rsidRDefault="00195607" w:rsidP="009D38E8">
            <w:r>
              <w:t>Trust</w:t>
            </w:r>
          </w:p>
        </w:tc>
      </w:tr>
      <w:tr w:rsidR="003A6927" w14:paraId="284C8977" w14:textId="40A17D3C" w:rsidTr="003A6927">
        <w:tc>
          <w:tcPr>
            <w:tcW w:w="820" w:type="dxa"/>
          </w:tcPr>
          <w:p w14:paraId="141B38AD" w14:textId="4633ED88" w:rsidR="003A6927" w:rsidRDefault="003A6927" w:rsidP="009D38E8">
            <w:r>
              <w:t>8.4</w:t>
            </w:r>
          </w:p>
        </w:tc>
        <w:tc>
          <w:tcPr>
            <w:tcW w:w="3950" w:type="dxa"/>
          </w:tcPr>
          <w:p w14:paraId="735A1372" w14:textId="2B497387" w:rsidR="003A6927" w:rsidRDefault="003A6927" w:rsidP="009D38E8">
            <w:r w:rsidRPr="009D38E8">
              <w:t>How many registries have lost a dispute resolution process related to their PICs</w:t>
            </w:r>
          </w:p>
        </w:tc>
        <w:tc>
          <w:tcPr>
            <w:tcW w:w="3235" w:type="dxa"/>
          </w:tcPr>
          <w:p w14:paraId="61A8EB02" w14:textId="2AB1294D" w:rsidR="003A6927" w:rsidRDefault="003A6927" w:rsidP="009D38E8">
            <w:r>
              <w:t>Internal, compliance team</w:t>
            </w:r>
          </w:p>
        </w:tc>
        <w:tc>
          <w:tcPr>
            <w:tcW w:w="1345" w:type="dxa"/>
          </w:tcPr>
          <w:p w14:paraId="0E4E430A" w14:textId="5C7E799F" w:rsidR="003A6927" w:rsidRDefault="00195607" w:rsidP="009D38E8">
            <w:r>
              <w:t>Trust</w:t>
            </w:r>
          </w:p>
        </w:tc>
      </w:tr>
      <w:tr w:rsidR="008B33B5" w14:paraId="57B07B67" w14:textId="77777777" w:rsidTr="003A6927">
        <w:tc>
          <w:tcPr>
            <w:tcW w:w="820" w:type="dxa"/>
          </w:tcPr>
          <w:p w14:paraId="554BF51B" w14:textId="7D7EB035" w:rsidR="008B33B5" w:rsidRDefault="008B33B5" w:rsidP="008B33B5">
            <w:r>
              <w:t>9.1</w:t>
            </w:r>
          </w:p>
        </w:tc>
        <w:tc>
          <w:tcPr>
            <w:tcW w:w="3950" w:type="dxa"/>
          </w:tcPr>
          <w:p w14:paraId="5E06E034" w14:textId="003AD2D9" w:rsidR="008B33B5" w:rsidRDefault="008B33B5" w:rsidP="008B33B5">
            <w:r w:rsidRPr="001432D2">
              <w:t xml:space="preserve">Are end-user software applications capable of implementing all of the new </w:t>
            </w:r>
            <w:proofErr w:type="spellStart"/>
            <w:r w:rsidRPr="001432D2">
              <w:t>gTLDs</w:t>
            </w:r>
            <w:proofErr w:type="spellEnd"/>
            <w:r w:rsidRPr="001432D2">
              <w:t xml:space="preserve">; Can browsers and DNS clients in end-user systems resolve all new </w:t>
            </w:r>
            <w:proofErr w:type="spellStart"/>
            <w:r w:rsidRPr="001432D2">
              <w:t>gTLDs</w:t>
            </w:r>
            <w:proofErr w:type="spellEnd"/>
          </w:p>
        </w:tc>
        <w:tc>
          <w:tcPr>
            <w:tcW w:w="3235" w:type="dxa"/>
          </w:tcPr>
          <w:p w14:paraId="48D40B19" w14:textId="128A41D7" w:rsidR="008B33B5" w:rsidRDefault="008B33B5" w:rsidP="008B33B5">
            <w:r>
              <w:t xml:space="preserve">Internal, technical services team. Universal acceptance study will examine this and metric 9.2. </w:t>
            </w:r>
          </w:p>
        </w:tc>
        <w:tc>
          <w:tcPr>
            <w:tcW w:w="1345" w:type="dxa"/>
          </w:tcPr>
          <w:p w14:paraId="09BAA09E" w14:textId="6BB79064" w:rsidR="008B33B5" w:rsidRDefault="008B33B5" w:rsidP="008B33B5">
            <w:r>
              <w:t>Trust</w:t>
            </w:r>
          </w:p>
        </w:tc>
      </w:tr>
      <w:tr w:rsidR="008B33B5" w14:paraId="76024402" w14:textId="77777777" w:rsidTr="003A6927">
        <w:tc>
          <w:tcPr>
            <w:tcW w:w="820" w:type="dxa"/>
          </w:tcPr>
          <w:p w14:paraId="4E02A561" w14:textId="7C2B4A0E" w:rsidR="008B33B5" w:rsidRDefault="008B33B5" w:rsidP="008B33B5">
            <w:r>
              <w:t>9.2</w:t>
            </w:r>
          </w:p>
        </w:tc>
        <w:tc>
          <w:tcPr>
            <w:tcW w:w="3950" w:type="dxa"/>
          </w:tcPr>
          <w:p w14:paraId="568F49BC" w14:textId="23C501BC" w:rsidR="008B33B5" w:rsidRDefault="008B33B5" w:rsidP="008B33B5">
            <w:r w:rsidRPr="001432D2">
              <w:t xml:space="preserve">Which browsers or other end-user applications require plugins or user-installed enhancements in order to use new </w:t>
            </w:r>
            <w:proofErr w:type="spellStart"/>
            <w:r w:rsidRPr="001432D2">
              <w:t>gTLDs</w:t>
            </w:r>
            <w:proofErr w:type="spellEnd"/>
          </w:p>
        </w:tc>
        <w:tc>
          <w:tcPr>
            <w:tcW w:w="3235" w:type="dxa"/>
          </w:tcPr>
          <w:p w14:paraId="520CA6C9" w14:textId="5D0C82A9" w:rsidR="008B33B5" w:rsidRDefault="008B33B5" w:rsidP="008B33B5">
            <w:r>
              <w:t xml:space="preserve">See 9.1. </w:t>
            </w:r>
          </w:p>
        </w:tc>
        <w:tc>
          <w:tcPr>
            <w:tcW w:w="1345" w:type="dxa"/>
          </w:tcPr>
          <w:p w14:paraId="4A673FAA" w14:textId="57E04C82" w:rsidR="008B33B5" w:rsidRDefault="008B33B5" w:rsidP="008B33B5">
            <w:r>
              <w:t>Trust</w:t>
            </w:r>
          </w:p>
        </w:tc>
      </w:tr>
      <w:tr w:rsidR="008B33B5" w14:paraId="019DF4C2" w14:textId="77777777" w:rsidTr="003A6927">
        <w:tc>
          <w:tcPr>
            <w:tcW w:w="820" w:type="dxa"/>
          </w:tcPr>
          <w:p w14:paraId="7A558D90" w14:textId="23C37678" w:rsidR="008B33B5" w:rsidRDefault="008B33B5" w:rsidP="008B33B5">
            <w:r>
              <w:t>9.3</w:t>
            </w:r>
          </w:p>
        </w:tc>
        <w:tc>
          <w:tcPr>
            <w:tcW w:w="3950" w:type="dxa"/>
          </w:tcPr>
          <w:p w14:paraId="3F24BA2F" w14:textId="1CA491B8" w:rsidR="008B33B5" w:rsidRPr="009D38E8" w:rsidRDefault="008B33B5" w:rsidP="008B33B5">
            <w:r>
              <w:t>Number of reports of name collisions</w:t>
            </w:r>
          </w:p>
        </w:tc>
        <w:tc>
          <w:tcPr>
            <w:tcW w:w="3235" w:type="dxa"/>
          </w:tcPr>
          <w:p w14:paraId="7F077410" w14:textId="707700B1" w:rsidR="008B33B5" w:rsidRDefault="008B33B5" w:rsidP="008B33B5">
            <w:r>
              <w:t>Internal, technical services team</w:t>
            </w:r>
          </w:p>
        </w:tc>
        <w:tc>
          <w:tcPr>
            <w:tcW w:w="1345" w:type="dxa"/>
          </w:tcPr>
          <w:p w14:paraId="5BFC8598" w14:textId="20627B61" w:rsidR="008B33B5" w:rsidRDefault="008B33B5" w:rsidP="008B33B5">
            <w:r>
              <w:t>Trust</w:t>
            </w:r>
          </w:p>
        </w:tc>
      </w:tr>
    </w:tbl>
    <w:p w14:paraId="27C5863A" w14:textId="77777777" w:rsidR="00BE7267" w:rsidRPr="00236BF4" w:rsidRDefault="00BE7267" w:rsidP="00B25C26"/>
    <w:p w14:paraId="45975109" w14:textId="77777777" w:rsidR="002378CF" w:rsidRDefault="002378CF" w:rsidP="00602EFE">
      <w:pPr>
        <w:pStyle w:val="Heading3"/>
      </w:pPr>
      <w:bookmarkStart w:id="8" w:name="_Toc399424500"/>
      <w:r>
        <w:t>Consumer s</w:t>
      </w:r>
      <w:r w:rsidR="00E479A3" w:rsidRPr="00366440">
        <w:t>urvey</w:t>
      </w:r>
      <w:r>
        <w:t xml:space="preserve"> and economic study</w:t>
      </w:r>
      <w:bookmarkEnd w:id="8"/>
    </w:p>
    <w:p w14:paraId="071ADF83" w14:textId="0A757592" w:rsidR="00B25C26" w:rsidRPr="0007547E" w:rsidRDefault="00B25C26" w:rsidP="002378CF">
      <w:r>
        <w:t xml:space="preserve">Another subset of </w:t>
      </w:r>
      <w:r w:rsidR="00F20A3C">
        <w:t>metrics</w:t>
      </w:r>
      <w:r>
        <w:t xml:space="preserve"> derived from the first priority class </w:t>
      </w:r>
      <w:r w:rsidR="00F20A3C">
        <w:t>were categorized as requiring</w:t>
      </w:r>
      <w:r>
        <w:t xml:space="preserve"> a global consumer survey to gauge public opinion not only on the New </w:t>
      </w:r>
      <w:proofErr w:type="spellStart"/>
      <w:r>
        <w:t>gTLD</w:t>
      </w:r>
      <w:proofErr w:type="spellEnd"/>
      <w:r>
        <w:t xml:space="preserve"> Program, but also on general use and understanding of the DNS. </w:t>
      </w:r>
      <w:r w:rsidR="0007547E" w:rsidRPr="008C58D8">
        <w:t xml:space="preserve">As anticipated in the ICANN Board of Directors Resolution </w:t>
      </w:r>
      <w:r w:rsidR="0007547E" w:rsidRPr="008C58D8">
        <w:rPr>
          <w:rFonts w:cs="Helvetica"/>
          <w:shd w:val="clear" w:color="auto" w:fill="FFFFFF"/>
        </w:rPr>
        <w:t>2014.03.27.22 – 2014.03.27.26</w:t>
      </w:r>
      <w:r w:rsidR="0007547E">
        <w:rPr>
          <w:rFonts w:cs="Helvetica"/>
          <w:shd w:val="clear" w:color="auto" w:fill="FFFFFF"/>
        </w:rPr>
        <w:t>,</w:t>
      </w:r>
      <w:r w:rsidR="0007547E">
        <w:rPr>
          <w:rStyle w:val="FootnoteReference"/>
          <w:rFonts w:cs="Helvetica"/>
          <w:shd w:val="clear" w:color="auto" w:fill="FFFFFF"/>
        </w:rPr>
        <w:footnoteReference w:id="8"/>
      </w:r>
      <w:r w:rsidR="0007547E">
        <w:rPr>
          <w:rFonts w:cs="Helvetica"/>
          <w:shd w:val="clear" w:color="auto" w:fill="FFFFFF"/>
        </w:rPr>
        <w:t xml:space="preserve"> passed at the ICANN 49 meeting in Singapore, the two studies are critical </w:t>
      </w:r>
      <w:r w:rsidR="0007547E" w:rsidRPr="0007547E">
        <w:rPr>
          <w:rFonts w:cs="Helvetica"/>
          <w:shd w:val="clear" w:color="auto" w:fill="FFFFFF"/>
        </w:rPr>
        <w:t xml:space="preserve">“to establish a benchmark of the current state of the generic domain name sector prior to the widespread adoption and use of new </w:t>
      </w:r>
      <w:proofErr w:type="spellStart"/>
      <w:r w:rsidR="0007547E" w:rsidRPr="0007547E">
        <w:rPr>
          <w:rFonts w:cs="Helvetica"/>
          <w:shd w:val="clear" w:color="auto" w:fill="FFFFFF"/>
        </w:rPr>
        <w:t>gTLDs</w:t>
      </w:r>
      <w:proofErr w:type="spellEnd"/>
      <w:r w:rsidR="0007547E">
        <w:rPr>
          <w:rFonts w:cs="Helvetica"/>
          <w:shd w:val="clear" w:color="auto" w:fill="FFFFFF"/>
        </w:rPr>
        <w:t xml:space="preserve">.” </w:t>
      </w:r>
    </w:p>
    <w:p w14:paraId="655D1285" w14:textId="77777777" w:rsidR="006E365E" w:rsidRDefault="00921EA5" w:rsidP="002378CF">
      <w:r>
        <w:t xml:space="preserve">After gaining board approval for the two studies, two smaller groups of IAG-CCT members split into ad hoc working groups to provide feedback to ICANN staff on the RFPs that were to be written. A timeline for the </w:t>
      </w:r>
      <w:r w:rsidR="006E365E">
        <w:t>consumer survey RFP was agreed upon:</w:t>
      </w:r>
    </w:p>
    <w:tbl>
      <w:tblPr>
        <w:tblStyle w:val="TableGrid"/>
        <w:tblW w:w="0" w:type="auto"/>
        <w:tblLook w:val="04A0" w:firstRow="1" w:lastRow="0" w:firstColumn="1" w:lastColumn="0" w:noHBand="0" w:noVBand="1"/>
      </w:tblPr>
      <w:tblGrid>
        <w:gridCol w:w="2965"/>
        <w:gridCol w:w="2430"/>
      </w:tblGrid>
      <w:tr w:rsidR="006E365E" w14:paraId="3216D653" w14:textId="77777777" w:rsidTr="0079770E">
        <w:tc>
          <w:tcPr>
            <w:tcW w:w="2965" w:type="dxa"/>
          </w:tcPr>
          <w:p w14:paraId="179C5D59" w14:textId="0BFE7F9B" w:rsidR="006E365E" w:rsidRDefault="006E365E" w:rsidP="002378CF">
            <w:r>
              <w:t>RFP released</w:t>
            </w:r>
          </w:p>
        </w:tc>
        <w:tc>
          <w:tcPr>
            <w:tcW w:w="2430" w:type="dxa"/>
          </w:tcPr>
          <w:p w14:paraId="64B5EB75" w14:textId="08D077D7" w:rsidR="006E365E" w:rsidRDefault="006E365E" w:rsidP="002378CF">
            <w:r>
              <w:t>16 July 2014</w:t>
            </w:r>
          </w:p>
        </w:tc>
      </w:tr>
      <w:tr w:rsidR="006E365E" w14:paraId="2EAB7B18" w14:textId="77777777" w:rsidTr="0079770E">
        <w:tc>
          <w:tcPr>
            <w:tcW w:w="2965" w:type="dxa"/>
          </w:tcPr>
          <w:p w14:paraId="3128FA6E" w14:textId="0FD02BDA" w:rsidR="006E365E" w:rsidRDefault="006E365E" w:rsidP="002378CF">
            <w:r>
              <w:t>Respondent proposals due</w:t>
            </w:r>
          </w:p>
        </w:tc>
        <w:tc>
          <w:tcPr>
            <w:tcW w:w="2430" w:type="dxa"/>
          </w:tcPr>
          <w:p w14:paraId="0C1C245B" w14:textId="49365DB6" w:rsidR="006E365E" w:rsidRDefault="006E365E" w:rsidP="002378CF">
            <w:r>
              <w:t>6 August 2014</w:t>
            </w:r>
          </w:p>
        </w:tc>
      </w:tr>
      <w:tr w:rsidR="006E365E" w14:paraId="3E8D9516" w14:textId="77777777" w:rsidTr="0079770E">
        <w:tc>
          <w:tcPr>
            <w:tcW w:w="2965" w:type="dxa"/>
          </w:tcPr>
          <w:p w14:paraId="039E1EDD" w14:textId="1C904583" w:rsidR="006E365E" w:rsidRDefault="006E365E" w:rsidP="002378CF">
            <w:r>
              <w:t>Target date for contracting</w:t>
            </w:r>
          </w:p>
        </w:tc>
        <w:tc>
          <w:tcPr>
            <w:tcW w:w="2430" w:type="dxa"/>
          </w:tcPr>
          <w:p w14:paraId="6412C146" w14:textId="1D924207" w:rsidR="006E365E" w:rsidRDefault="006E365E" w:rsidP="002378CF">
            <w:r>
              <w:t>24 September 2014</w:t>
            </w:r>
          </w:p>
        </w:tc>
      </w:tr>
    </w:tbl>
    <w:p w14:paraId="0EFBC855" w14:textId="77777777" w:rsidR="006E365E" w:rsidRDefault="006E365E" w:rsidP="00236BF4"/>
    <w:p w14:paraId="667ABCA5" w14:textId="6E459102" w:rsidR="00A57B06" w:rsidRDefault="0079770E" w:rsidP="00236BF4">
      <w:r>
        <w:t xml:space="preserve">With this timeline in mind, ICANN anticipates the launch of a baseline survey in either late 2014 or early 2015 with a follow-on survey to be conducted one year later. </w:t>
      </w:r>
      <w:r w:rsidR="00A57B06">
        <w:t xml:space="preserve">ICANN staff contacted more than 20 survey firms with an invitation to participate in the survey, in addition to publicly making the RFP available on the ICANN website: </w:t>
      </w:r>
      <w:hyperlink r:id="rId8" w:history="1">
        <w:r w:rsidR="00A57B06" w:rsidRPr="000707D9">
          <w:rPr>
            <w:rStyle w:val="Hyperlink"/>
          </w:rPr>
          <w:t>https://www.icann.org/resources/pages/rfps-2012-02-25-en</w:t>
        </w:r>
      </w:hyperlink>
      <w:r w:rsidR="00A57B06">
        <w:t xml:space="preserve"> </w:t>
      </w:r>
    </w:p>
    <w:p w14:paraId="0AF198D0" w14:textId="50BC15F4" w:rsidR="000F16C2" w:rsidRDefault="000F16C2" w:rsidP="000F16C2">
      <w:pPr>
        <w:pStyle w:val="Heading3"/>
      </w:pPr>
      <w:bookmarkStart w:id="9" w:name="_Toc399424501"/>
      <w:r>
        <w:t>Table 2: Survey metrics</w:t>
      </w:r>
      <w:bookmarkEnd w:id="9"/>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3861"/>
        <w:gridCol w:w="3774"/>
        <w:gridCol w:w="1080"/>
      </w:tblGrid>
      <w:tr w:rsidR="005F3724" w:rsidRPr="005F3724" w14:paraId="310688F6" w14:textId="77777777" w:rsidTr="00264A26">
        <w:trPr>
          <w:trHeight w:val="440"/>
        </w:trPr>
        <w:tc>
          <w:tcPr>
            <w:tcW w:w="820" w:type="dxa"/>
            <w:shd w:val="clear" w:color="auto" w:fill="auto"/>
          </w:tcPr>
          <w:p w14:paraId="7D848CCC" w14:textId="62C11E88" w:rsidR="005F3724" w:rsidRPr="005F3724" w:rsidRDefault="005F3724" w:rsidP="00930593">
            <w:pPr>
              <w:jc w:val="center"/>
              <w:rPr>
                <w:rFonts w:eastAsia="Times New Roman" w:cs="Times New Roman"/>
                <w:b/>
                <w:color w:val="000000"/>
              </w:rPr>
            </w:pPr>
            <w:r w:rsidRPr="005F3724">
              <w:rPr>
                <w:rFonts w:eastAsia="Times New Roman" w:cs="Times New Roman"/>
                <w:b/>
                <w:color w:val="000000"/>
              </w:rPr>
              <w:t>Metric</w:t>
            </w:r>
          </w:p>
        </w:tc>
        <w:tc>
          <w:tcPr>
            <w:tcW w:w="3861" w:type="dxa"/>
            <w:shd w:val="clear" w:color="auto" w:fill="auto"/>
          </w:tcPr>
          <w:p w14:paraId="611A60F9" w14:textId="25BD2717" w:rsidR="005F3724" w:rsidRPr="005F3724" w:rsidRDefault="005F3724" w:rsidP="00930593">
            <w:pPr>
              <w:rPr>
                <w:rFonts w:eastAsia="Times New Roman" w:cs="Times New Roman"/>
                <w:b/>
                <w:color w:val="000000"/>
              </w:rPr>
            </w:pPr>
            <w:r w:rsidRPr="005F3724">
              <w:rPr>
                <w:rFonts w:eastAsia="Times New Roman" w:cs="Times New Roman"/>
                <w:b/>
                <w:color w:val="000000"/>
              </w:rPr>
              <w:t>Description</w:t>
            </w:r>
          </w:p>
        </w:tc>
        <w:tc>
          <w:tcPr>
            <w:tcW w:w="3774" w:type="dxa"/>
          </w:tcPr>
          <w:p w14:paraId="4C071BD4" w14:textId="64917578" w:rsidR="005F3724" w:rsidRPr="005F3724" w:rsidRDefault="005F3724" w:rsidP="00930593">
            <w:pPr>
              <w:rPr>
                <w:rFonts w:eastAsia="Times New Roman" w:cs="Times New Roman"/>
                <w:b/>
                <w:color w:val="000000"/>
              </w:rPr>
            </w:pPr>
            <w:r w:rsidRPr="005F3724">
              <w:rPr>
                <w:rFonts w:eastAsia="Times New Roman" w:cs="Times New Roman"/>
                <w:b/>
                <w:color w:val="000000"/>
              </w:rPr>
              <w:t>Considerations/Definitions</w:t>
            </w:r>
          </w:p>
        </w:tc>
        <w:tc>
          <w:tcPr>
            <w:tcW w:w="1080" w:type="dxa"/>
          </w:tcPr>
          <w:p w14:paraId="47C37905" w14:textId="3B546DD0" w:rsidR="005F3724" w:rsidRPr="005F3724" w:rsidRDefault="005F3724" w:rsidP="00930593">
            <w:pPr>
              <w:rPr>
                <w:rFonts w:eastAsia="Times New Roman" w:cs="Times New Roman"/>
                <w:b/>
                <w:color w:val="000000"/>
              </w:rPr>
            </w:pPr>
            <w:r w:rsidRPr="005F3724">
              <w:rPr>
                <w:rFonts w:eastAsia="Times New Roman" w:cs="Times New Roman"/>
                <w:b/>
                <w:color w:val="000000"/>
              </w:rPr>
              <w:t>Category</w:t>
            </w:r>
          </w:p>
        </w:tc>
      </w:tr>
      <w:tr w:rsidR="005F3724" w:rsidRPr="00AC6630" w14:paraId="48B77E03" w14:textId="77777777" w:rsidTr="00264A26">
        <w:trPr>
          <w:trHeight w:val="1205"/>
        </w:trPr>
        <w:tc>
          <w:tcPr>
            <w:tcW w:w="820" w:type="dxa"/>
            <w:shd w:val="clear" w:color="auto" w:fill="auto"/>
            <w:hideMark/>
          </w:tcPr>
          <w:p w14:paraId="7AC5BA81"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lastRenderedPageBreak/>
              <w:t>1.4</w:t>
            </w:r>
          </w:p>
        </w:tc>
        <w:tc>
          <w:tcPr>
            <w:tcW w:w="3861" w:type="dxa"/>
            <w:shd w:val="clear" w:color="auto" w:fill="auto"/>
            <w:hideMark/>
          </w:tcPr>
          <w:p w14:paraId="0E90EB91" w14:textId="77777777" w:rsidR="005F3724" w:rsidRPr="005F3724" w:rsidRDefault="005F3724" w:rsidP="0009464B">
            <w:pPr>
              <w:rPr>
                <w:rFonts w:eastAsia="Times New Roman" w:cs="Times New Roman"/>
                <w:color w:val="000000"/>
              </w:rPr>
            </w:pPr>
            <w:r w:rsidRPr="005F3724">
              <w:rPr>
                <w:rFonts w:eastAsia="Times New Roman" w:cs="Times New Roman"/>
                <w:color w:val="000000"/>
              </w:rPr>
              <w:t xml:space="preserve">Survey of perceived consumer trust in DNS, relative to experiences before the </w:t>
            </w:r>
            <w:proofErr w:type="spellStart"/>
            <w:r w:rsidRPr="005F3724">
              <w:rPr>
                <w:rFonts w:eastAsia="Times New Roman" w:cs="Times New Roman"/>
                <w:color w:val="000000"/>
              </w:rPr>
              <w:t>gTLD</w:t>
            </w:r>
            <w:proofErr w:type="spellEnd"/>
            <w:r w:rsidRPr="005F3724">
              <w:rPr>
                <w:rFonts w:eastAsia="Times New Roman" w:cs="Times New Roman"/>
                <w:color w:val="000000"/>
              </w:rPr>
              <w:t xml:space="preserve"> expansion.  Survey could at least measure experiences with phishing, malware and spam; confusion about new </w:t>
            </w:r>
            <w:proofErr w:type="spellStart"/>
            <w:r w:rsidRPr="005F3724">
              <w:rPr>
                <w:rFonts w:eastAsia="Times New Roman" w:cs="Times New Roman"/>
                <w:color w:val="000000"/>
              </w:rPr>
              <w:t>gTLDs</w:t>
            </w:r>
            <w:proofErr w:type="spellEnd"/>
            <w:r w:rsidRPr="005F3724">
              <w:rPr>
                <w:rFonts w:eastAsia="Times New Roman" w:cs="Times New Roman"/>
                <w:color w:val="000000"/>
              </w:rPr>
              <w:t xml:space="preserve">; user experience in reaching meaningful second-level domains; registrant experience in being in a different </w:t>
            </w:r>
            <w:proofErr w:type="spellStart"/>
            <w:r w:rsidRPr="005F3724">
              <w:rPr>
                <w:rFonts w:eastAsia="Times New Roman" w:cs="Times New Roman"/>
                <w:color w:val="000000"/>
              </w:rPr>
              <w:t>gTLD</w:t>
            </w:r>
            <w:proofErr w:type="spellEnd"/>
            <w:r w:rsidRPr="005F3724">
              <w:rPr>
                <w:rFonts w:eastAsia="Times New Roman" w:cs="Times New Roman"/>
                <w:color w:val="000000"/>
              </w:rPr>
              <w:t>; Registrant and Internet users’ experience with regard to cybersquatting.  Survey to be conducted every two years (biennial).</w:t>
            </w:r>
          </w:p>
          <w:p w14:paraId="68A9C129" w14:textId="77777777" w:rsidR="005F3724" w:rsidRPr="005F3724" w:rsidRDefault="005F3724" w:rsidP="00930593">
            <w:pPr>
              <w:rPr>
                <w:rFonts w:eastAsia="Times New Roman" w:cs="Times New Roman"/>
                <w:color w:val="000000"/>
              </w:rPr>
            </w:pPr>
          </w:p>
          <w:p w14:paraId="42101C3A" w14:textId="3A05D1BD" w:rsidR="005F3724" w:rsidRPr="005F3724" w:rsidRDefault="005F3724" w:rsidP="00930593">
            <w:pPr>
              <w:rPr>
                <w:rFonts w:eastAsia="Times New Roman" w:cs="Times New Roman"/>
                <w:color w:val="000000"/>
              </w:rPr>
            </w:pPr>
          </w:p>
        </w:tc>
        <w:tc>
          <w:tcPr>
            <w:tcW w:w="3774" w:type="dxa"/>
          </w:tcPr>
          <w:p w14:paraId="0C4C208C" w14:textId="77777777" w:rsidR="005F3724" w:rsidRPr="0009464B" w:rsidRDefault="005F3724" w:rsidP="005F3724">
            <w:pPr>
              <w:pStyle w:val="CommentText"/>
              <w:rPr>
                <w:rFonts w:eastAsia="Times New Roman" w:cs="Times New Roman"/>
                <w:color w:val="000000"/>
                <w:sz w:val="22"/>
                <w:szCs w:val="22"/>
              </w:rPr>
            </w:pPr>
            <w:r w:rsidRPr="0009464B">
              <w:rPr>
                <w:rFonts w:eastAsia="Times New Roman" w:cs="Times New Roman"/>
                <w:color w:val="000000"/>
                <w:sz w:val="22"/>
                <w:szCs w:val="22"/>
              </w:rPr>
              <w:t xml:space="preserve">CONSIDERATIONS: </w:t>
            </w:r>
            <w:r w:rsidRPr="0009464B">
              <w:rPr>
                <w:rFonts w:cs="Times New Roman"/>
                <w:sz w:val="22"/>
                <w:szCs w:val="22"/>
              </w:rPr>
              <w:t xml:space="preserve">Note that questions related to trust should also include measures of awareness about new </w:t>
            </w:r>
            <w:proofErr w:type="spellStart"/>
            <w:r w:rsidRPr="0009464B">
              <w:rPr>
                <w:rFonts w:cs="Times New Roman"/>
                <w:sz w:val="22"/>
                <w:szCs w:val="22"/>
              </w:rPr>
              <w:t>gTLDs</w:t>
            </w:r>
            <w:proofErr w:type="spellEnd"/>
            <w:r w:rsidRPr="0009464B">
              <w:rPr>
                <w:rFonts w:cs="Times New Roman"/>
                <w:sz w:val="22"/>
                <w:szCs w:val="22"/>
              </w:rPr>
              <w:t xml:space="preserve">, and DNS in general. Capture baseline of attitudes now – do not ask survey respondents to recall past attitudes. </w:t>
            </w:r>
            <w:r w:rsidRPr="0009464B">
              <w:rPr>
                <w:rFonts w:eastAsia="Times New Roman" w:cs="Times New Roman"/>
                <w:color w:val="000000"/>
                <w:sz w:val="22"/>
                <w:szCs w:val="22"/>
              </w:rPr>
              <w:t>ICANN provides the following definitions as a starting point for the contracted vendor to refine these terms into clear, common-language definitions that can easily translate into other languages:</w:t>
            </w:r>
          </w:p>
          <w:p w14:paraId="30C2F419" w14:textId="77777777" w:rsidR="005F3724" w:rsidRPr="0009464B" w:rsidRDefault="005F3724" w:rsidP="005F3724">
            <w:pPr>
              <w:rPr>
                <w:rFonts w:eastAsia="Times New Roman" w:cs="Times New Roman"/>
                <w:color w:val="000000"/>
              </w:rPr>
            </w:pPr>
            <w:r w:rsidRPr="0009464B">
              <w:rPr>
                <w:rFonts w:eastAsia="Times New Roman" w:cs="Times New Roman"/>
                <w:b/>
                <w:color w:val="000000"/>
              </w:rPr>
              <w:t>Consumer</w:t>
            </w:r>
            <w:r w:rsidRPr="0009464B">
              <w:rPr>
                <w:rFonts w:eastAsia="Times New Roman" w:cs="Times New Roman"/>
                <w:color w:val="000000"/>
              </w:rPr>
              <w:t xml:space="preserve">: Actual Internet users and registrants, and potential registrants. </w:t>
            </w:r>
          </w:p>
          <w:p w14:paraId="421B2E29" w14:textId="77777777" w:rsidR="005F3724" w:rsidRPr="0009464B" w:rsidRDefault="005F3724" w:rsidP="005F3724">
            <w:pPr>
              <w:rPr>
                <w:rFonts w:cs="Times New Roman"/>
              </w:rPr>
            </w:pPr>
            <w:r w:rsidRPr="0009464B">
              <w:rPr>
                <w:rFonts w:eastAsia="Times New Roman" w:cs="Times New Roman"/>
                <w:b/>
                <w:color w:val="000000"/>
              </w:rPr>
              <w:t>Consumer trust</w:t>
            </w:r>
            <w:r w:rsidRPr="0009464B">
              <w:rPr>
                <w:rFonts w:eastAsia="Times New Roman" w:cs="Times New Roman"/>
                <w:color w:val="000000"/>
              </w:rPr>
              <w:t xml:space="preserve">: </w:t>
            </w:r>
            <w:r w:rsidRPr="0009464B">
              <w:rPr>
                <w:rFonts w:cs="Times New Roman"/>
              </w:rPr>
              <w:t>The confidence Consumers have in the domain name system. This includes (</w:t>
            </w:r>
            <w:proofErr w:type="spellStart"/>
            <w:r w:rsidRPr="0009464B">
              <w:rPr>
                <w:rFonts w:cs="Times New Roman"/>
              </w:rPr>
              <w:t>i</w:t>
            </w:r>
            <w:proofErr w:type="spellEnd"/>
            <w:r w:rsidRPr="0009464B">
              <w:rPr>
                <w:rFonts w:cs="Times New Roman"/>
              </w:rPr>
              <w:t>) trust in the consistency of name resolution (ii) confidence that a TLD registry operator is fulfilling the Registry’s stated purpose and is complying with ICANN policies and applicable national laws and (iii) confidence in ICANN’s compliance function.</w:t>
            </w:r>
          </w:p>
          <w:p w14:paraId="27C6B4E3" w14:textId="77777777" w:rsidR="005F3724" w:rsidRPr="0009464B" w:rsidRDefault="005F3724" w:rsidP="005F3724">
            <w:pPr>
              <w:rPr>
                <w:rFonts w:cs="Times New Roman"/>
              </w:rPr>
            </w:pPr>
            <w:r w:rsidRPr="0009464B">
              <w:rPr>
                <w:rFonts w:eastAsia="Times New Roman" w:cs="Times New Roman"/>
                <w:b/>
                <w:color w:val="000000"/>
              </w:rPr>
              <w:t xml:space="preserve">Consumer choice: </w:t>
            </w:r>
            <w:r w:rsidRPr="0009464B">
              <w:rPr>
                <w:rFonts w:eastAsia="Times New Roman" w:cs="Times New Roman"/>
                <w:color w:val="000000"/>
              </w:rPr>
              <w:t xml:space="preserve">The </w:t>
            </w:r>
            <w:r w:rsidRPr="0009464B">
              <w:rPr>
                <w:rFonts w:cs="Times New Roman"/>
              </w:rPr>
              <w:t>range of options available to Consumers for domain scripts and languages, and for TLDs that offer meaningful choices as to the proposed purpose and integrity of their domain name registrants.</w:t>
            </w:r>
          </w:p>
          <w:p w14:paraId="0D1621B7" w14:textId="77777777" w:rsidR="005F3724" w:rsidRPr="0009464B" w:rsidRDefault="005F3724" w:rsidP="005F3724">
            <w:pPr>
              <w:rPr>
                <w:rFonts w:cs="Times New Roman"/>
              </w:rPr>
            </w:pPr>
            <w:r w:rsidRPr="0009464B">
              <w:rPr>
                <w:rFonts w:cs="Times New Roman"/>
                <w:b/>
              </w:rPr>
              <w:t xml:space="preserve">Phishing: </w:t>
            </w:r>
            <w:r w:rsidRPr="0009464B">
              <w:rPr>
                <w:rFonts w:cs="Times New Roman"/>
              </w:rPr>
              <w:t>Using social and technical engineering to steal consumers’ personal identity data and financial account credentials.</w:t>
            </w:r>
          </w:p>
          <w:p w14:paraId="25181444" w14:textId="77777777" w:rsidR="005F3724" w:rsidRPr="0009464B" w:rsidRDefault="005F3724" w:rsidP="005F3724">
            <w:pPr>
              <w:rPr>
                <w:rFonts w:cs="Times New Roman"/>
              </w:rPr>
            </w:pPr>
            <w:r w:rsidRPr="0009464B">
              <w:rPr>
                <w:rFonts w:cs="Times New Roman"/>
                <w:b/>
              </w:rPr>
              <w:t xml:space="preserve">Malware: </w:t>
            </w:r>
            <w:r w:rsidRPr="0009464B">
              <w:rPr>
                <w:rFonts w:cs="Times New Roman"/>
              </w:rPr>
              <w:t>Short for malicious software, used to disrupt computer operations, gather sensitive information or gain access to private computer systems.</w:t>
            </w:r>
          </w:p>
          <w:p w14:paraId="27CE43AE" w14:textId="77777777" w:rsidR="005F3724" w:rsidRPr="0009464B" w:rsidRDefault="005F3724" w:rsidP="005F3724">
            <w:pPr>
              <w:rPr>
                <w:rFonts w:cs="Times New Roman"/>
              </w:rPr>
            </w:pPr>
            <w:r w:rsidRPr="0009464B">
              <w:rPr>
                <w:rFonts w:cs="Times New Roman"/>
                <w:b/>
              </w:rPr>
              <w:t xml:space="preserve">Spam: </w:t>
            </w:r>
            <w:r w:rsidRPr="0009464B">
              <w:rPr>
                <w:rFonts w:cs="Times New Roman"/>
              </w:rPr>
              <w:t xml:space="preserve">Electronic junk mail or junk newsgroup postings. Some people </w:t>
            </w:r>
            <w:r w:rsidRPr="0009464B">
              <w:rPr>
                <w:rFonts w:cs="Times New Roman"/>
              </w:rPr>
              <w:lastRenderedPageBreak/>
              <w:t>define spam even more generally as any unsolicited email.</w:t>
            </w:r>
          </w:p>
          <w:p w14:paraId="2F072EEC" w14:textId="77777777" w:rsidR="005F3724" w:rsidRPr="0009464B" w:rsidRDefault="005F3724" w:rsidP="005F3724">
            <w:pPr>
              <w:rPr>
                <w:rFonts w:cs="Times New Roman"/>
              </w:rPr>
            </w:pPr>
            <w:r w:rsidRPr="0009464B">
              <w:rPr>
                <w:rFonts w:cs="Times New Roman"/>
                <w:b/>
              </w:rPr>
              <w:t xml:space="preserve">Second-level domains: </w:t>
            </w:r>
            <w:r w:rsidRPr="0009464B">
              <w:rPr>
                <w:rFonts w:cs="Times New Roman"/>
              </w:rPr>
              <w:t>The data directly before the top-level domain (TLD). For example, in www.example.com, “example” represents the second level domain, as the suffix "(dot)-com" represents the TLD. The SLD is generally the portion of the URL that identifies the website's domain name.</w:t>
            </w:r>
          </w:p>
          <w:p w14:paraId="419FDCDD" w14:textId="040C3991" w:rsidR="005F3724" w:rsidRPr="0009464B" w:rsidRDefault="005F3724" w:rsidP="005F3724">
            <w:pPr>
              <w:rPr>
                <w:rFonts w:eastAsia="Times New Roman" w:cs="Times New Roman"/>
                <w:color w:val="000000"/>
              </w:rPr>
            </w:pPr>
            <w:r w:rsidRPr="0009464B">
              <w:rPr>
                <w:rFonts w:eastAsia="Times New Roman" w:cs="Times New Roman"/>
                <w:b/>
                <w:color w:val="000000"/>
              </w:rPr>
              <w:t xml:space="preserve">Cybersquatting: </w:t>
            </w:r>
            <w:r w:rsidRPr="0009464B">
              <w:rPr>
                <w:rFonts w:eastAsia="Times New Roman" w:cs="Times New Roman"/>
                <w:color w:val="000000"/>
              </w:rPr>
              <w:t>Registering, trafficking in, or using a domain name with bad faith intent to profit from the goodwill of a trademark belonging to someone else.</w:t>
            </w:r>
            <w:r w:rsidR="008675AE">
              <w:rPr>
                <w:rFonts w:eastAsia="Times New Roman" w:cs="Times New Roman"/>
                <w:color w:val="000000"/>
              </w:rPr>
              <w:t xml:space="preserve"> Note: While the IAG-CCT proposed this as a starting point for a definition in the RFP for the global consumer survey, there was divergence in the group’s opinion on how narrowly to define cybersquatting. In particular, some group members indicated that measuring bad faith registrations would be difficult and potentially undiscernible to the average Internet user. </w:t>
            </w:r>
          </w:p>
          <w:p w14:paraId="00B0DBFD" w14:textId="2CE8EEEA" w:rsidR="005F3724" w:rsidRPr="0009464B" w:rsidRDefault="005F3724" w:rsidP="005F3724">
            <w:pPr>
              <w:rPr>
                <w:rFonts w:eastAsia="Times New Roman" w:cs="Times New Roman"/>
                <w:color w:val="000000"/>
              </w:rPr>
            </w:pPr>
            <w:proofErr w:type="spellStart"/>
            <w:proofErr w:type="gramStart"/>
            <w:r w:rsidRPr="0009464B">
              <w:rPr>
                <w:rFonts w:cs="Times New Roman"/>
                <w:b/>
              </w:rPr>
              <w:t>gTLDs</w:t>
            </w:r>
            <w:proofErr w:type="spellEnd"/>
            <w:proofErr w:type="gramEnd"/>
            <w:r w:rsidRPr="0009464B">
              <w:rPr>
                <w:rFonts w:cs="Times New Roman"/>
                <w:b/>
              </w:rPr>
              <w:t xml:space="preserve">: </w:t>
            </w:r>
            <w:r w:rsidRPr="0009464B">
              <w:rPr>
                <w:rFonts w:cs="Times New Roman"/>
              </w:rPr>
              <w:t>A TLD (top-level domain) appears in a domain name as the string of letters following the last (right-most) dot, such as “net” in</w:t>
            </w:r>
            <w:r w:rsidRPr="0009464B">
              <w:rPr>
                <w:rFonts w:cs="Times New Roman"/>
                <w:color w:val="000000"/>
              </w:rPr>
              <w:t xml:space="preserve"> </w:t>
            </w:r>
            <w:r w:rsidRPr="0009464B">
              <w:rPr>
                <w:rFonts w:cs="Times New Roman"/>
                <w:color w:val="0000FF"/>
              </w:rPr>
              <w:t>www.example.net</w:t>
            </w:r>
            <w:r w:rsidRPr="0009464B">
              <w:rPr>
                <w:rFonts w:cs="Times New Roman"/>
                <w:color w:val="000000"/>
              </w:rPr>
              <w:t xml:space="preserve">.  </w:t>
            </w:r>
            <w:r w:rsidRPr="0009464B">
              <w:rPr>
                <w:rFonts w:cs="Times New Roman"/>
              </w:rPr>
              <w:t xml:space="preserve">A </w:t>
            </w:r>
            <w:proofErr w:type="spellStart"/>
            <w:r w:rsidRPr="0009464B">
              <w:rPr>
                <w:rFonts w:cs="Times New Roman"/>
              </w:rPr>
              <w:t>gTLD</w:t>
            </w:r>
            <w:proofErr w:type="spellEnd"/>
            <w:r w:rsidRPr="0009464B">
              <w:rPr>
                <w:rFonts w:cs="Times New Roman"/>
              </w:rPr>
              <w:t xml:space="preserve"> (generic TLD) is a TLD that does not correspond to any country code.</w:t>
            </w:r>
          </w:p>
        </w:tc>
        <w:tc>
          <w:tcPr>
            <w:tcW w:w="1080" w:type="dxa"/>
          </w:tcPr>
          <w:p w14:paraId="7F17A23A" w14:textId="72F01DB7" w:rsidR="005F3724" w:rsidRPr="005F3724" w:rsidRDefault="005F3724" w:rsidP="00930593">
            <w:pPr>
              <w:rPr>
                <w:rFonts w:eastAsia="Times New Roman" w:cs="Times New Roman"/>
                <w:color w:val="000000"/>
              </w:rPr>
            </w:pPr>
            <w:r w:rsidRPr="005F3724">
              <w:rPr>
                <w:rFonts w:eastAsia="Times New Roman" w:cs="Times New Roman"/>
                <w:color w:val="000000"/>
              </w:rPr>
              <w:lastRenderedPageBreak/>
              <w:t>Trust</w:t>
            </w:r>
          </w:p>
        </w:tc>
      </w:tr>
      <w:tr w:rsidR="005F3724" w:rsidRPr="00AC6630" w14:paraId="70009672" w14:textId="77777777" w:rsidTr="00264A26">
        <w:trPr>
          <w:trHeight w:val="575"/>
        </w:trPr>
        <w:tc>
          <w:tcPr>
            <w:tcW w:w="820" w:type="dxa"/>
            <w:shd w:val="clear" w:color="auto" w:fill="auto"/>
            <w:hideMark/>
          </w:tcPr>
          <w:p w14:paraId="426A0524"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lastRenderedPageBreak/>
              <w:t>2.1</w:t>
            </w:r>
          </w:p>
        </w:tc>
        <w:tc>
          <w:tcPr>
            <w:tcW w:w="3861" w:type="dxa"/>
            <w:shd w:val="clear" w:color="auto" w:fill="auto"/>
            <w:hideMark/>
          </w:tcPr>
          <w:p w14:paraId="6459E503" w14:textId="1CA614C5" w:rsidR="005F3724" w:rsidRPr="0009464B" w:rsidRDefault="005F3724" w:rsidP="00930593">
            <w:pPr>
              <w:rPr>
                <w:rFonts w:eastAsia="Times New Roman" w:cs="Times New Roman"/>
                <w:color w:val="000000"/>
              </w:rPr>
            </w:pPr>
            <w:r w:rsidRPr="005F3724">
              <w:rPr>
                <w:rFonts w:eastAsia="Times New Roman" w:cs="Times New Roman"/>
                <w:color w:val="000000"/>
              </w:rPr>
              <w:t>Measure potential registrants’ understanding of TLD benefits and restrictions, such that potential registrants can make informed choices about registration of their domain names.</w:t>
            </w:r>
          </w:p>
        </w:tc>
        <w:tc>
          <w:tcPr>
            <w:tcW w:w="3774" w:type="dxa"/>
          </w:tcPr>
          <w:p w14:paraId="7E60C5C7" w14:textId="2A7798B1" w:rsidR="005F3724" w:rsidRPr="0009464B" w:rsidRDefault="0009464B" w:rsidP="00930593">
            <w:pPr>
              <w:rPr>
                <w:rFonts w:eastAsia="Times New Roman" w:cs="Times New Roman"/>
                <w:color w:val="000000"/>
              </w:rPr>
            </w:pPr>
            <w:r w:rsidRPr="0009464B">
              <w:rPr>
                <w:rFonts w:eastAsia="Times New Roman" w:cs="Times New Roman"/>
                <w:color w:val="000000"/>
              </w:rPr>
              <w:t xml:space="preserve">CONSIDERATIONS FOR 2.1 AND 2.2: </w:t>
            </w:r>
            <w:r w:rsidRPr="0009464B">
              <w:rPr>
                <w:rFonts w:cs="Times New Roman"/>
              </w:rPr>
              <w:t xml:space="preserve">Survey should not serve as a venue to explain policies or to explain the nature of </w:t>
            </w:r>
            <w:proofErr w:type="spellStart"/>
            <w:r w:rsidRPr="0009464B">
              <w:rPr>
                <w:rFonts w:cs="Times New Roman"/>
              </w:rPr>
              <w:t>gTLD</w:t>
            </w:r>
            <w:proofErr w:type="spellEnd"/>
            <w:r w:rsidRPr="0009464B">
              <w:rPr>
                <w:rFonts w:cs="Times New Roman"/>
              </w:rPr>
              <w:t xml:space="preserve"> benefits or restrictions. It is reasonable to assume that r</w:t>
            </w:r>
            <w:r w:rsidRPr="0009464B">
              <w:rPr>
                <w:rFonts w:eastAsia="Calibri" w:cs="Times New Roman"/>
                <w:lang w:bidi="en-US"/>
              </w:rPr>
              <w:t xml:space="preserve">egistrants’ and end-users’ understanding and knowledge of </w:t>
            </w:r>
            <w:proofErr w:type="spellStart"/>
            <w:r w:rsidRPr="0009464B">
              <w:rPr>
                <w:rFonts w:eastAsia="Calibri" w:cs="Times New Roman"/>
                <w:lang w:bidi="en-US"/>
              </w:rPr>
              <w:t>gTLD</w:t>
            </w:r>
            <w:proofErr w:type="spellEnd"/>
            <w:r w:rsidRPr="0009464B">
              <w:rPr>
                <w:rFonts w:eastAsia="Calibri" w:cs="Times New Roman"/>
                <w:lang w:bidi="en-US"/>
              </w:rPr>
              <w:t xml:space="preserve"> benefits and restrictions will be conditional on their awareness of new </w:t>
            </w:r>
            <w:proofErr w:type="spellStart"/>
            <w:r w:rsidRPr="0009464B">
              <w:rPr>
                <w:rFonts w:eastAsia="Calibri" w:cs="Times New Roman"/>
                <w:lang w:bidi="en-US"/>
              </w:rPr>
              <w:t>gTLDs</w:t>
            </w:r>
            <w:proofErr w:type="spellEnd"/>
            <w:r w:rsidRPr="0009464B">
              <w:rPr>
                <w:rFonts w:eastAsia="Calibri" w:cs="Times New Roman"/>
                <w:lang w:bidi="en-US"/>
              </w:rPr>
              <w:t xml:space="preserve">. Therefore, </w:t>
            </w:r>
            <w:r w:rsidRPr="0009464B">
              <w:rPr>
                <w:rFonts w:eastAsia="Calibri" w:cs="Times New Roman"/>
                <w:lang w:bidi="en-US"/>
              </w:rPr>
              <w:lastRenderedPageBreak/>
              <w:t>ICANN anticipates survey questions regarding this metric will likely include skip patterns to target survey respondents who are aware of the issues, while allowing survey respondents who are unaware to move to the next section of the survey.</w:t>
            </w:r>
          </w:p>
        </w:tc>
        <w:tc>
          <w:tcPr>
            <w:tcW w:w="1080" w:type="dxa"/>
          </w:tcPr>
          <w:p w14:paraId="67B398FA" w14:textId="1BF4189B" w:rsidR="005F3724" w:rsidRPr="005F3724" w:rsidRDefault="005F3724" w:rsidP="00930593">
            <w:pPr>
              <w:rPr>
                <w:rFonts w:eastAsia="Times New Roman" w:cs="Times New Roman"/>
                <w:color w:val="000000"/>
              </w:rPr>
            </w:pPr>
            <w:r w:rsidRPr="005F3724">
              <w:rPr>
                <w:rFonts w:eastAsia="Times New Roman" w:cs="Times New Roman"/>
                <w:color w:val="000000"/>
              </w:rPr>
              <w:lastRenderedPageBreak/>
              <w:t>Choice</w:t>
            </w:r>
          </w:p>
        </w:tc>
      </w:tr>
      <w:tr w:rsidR="005F3724" w:rsidRPr="00AC6630" w14:paraId="1DB859EF" w14:textId="77777777" w:rsidTr="00264A26">
        <w:trPr>
          <w:trHeight w:val="530"/>
        </w:trPr>
        <w:tc>
          <w:tcPr>
            <w:tcW w:w="820" w:type="dxa"/>
            <w:shd w:val="clear" w:color="auto" w:fill="auto"/>
            <w:hideMark/>
          </w:tcPr>
          <w:p w14:paraId="61987545"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lastRenderedPageBreak/>
              <w:t>2.2</w:t>
            </w:r>
          </w:p>
        </w:tc>
        <w:tc>
          <w:tcPr>
            <w:tcW w:w="3861" w:type="dxa"/>
            <w:shd w:val="clear" w:color="auto" w:fill="auto"/>
            <w:hideMark/>
          </w:tcPr>
          <w:p w14:paraId="29877F59" w14:textId="2F6C14EF" w:rsidR="005F3724" w:rsidRPr="0009464B" w:rsidRDefault="005F3724" w:rsidP="00930593">
            <w:pPr>
              <w:rPr>
                <w:rFonts w:eastAsia="Times New Roman" w:cs="Times New Roman"/>
                <w:color w:val="000000"/>
              </w:rPr>
            </w:pPr>
            <w:r w:rsidRPr="005F3724">
              <w:rPr>
                <w:rFonts w:eastAsia="Times New Roman" w:cs="Times New Roman"/>
                <w:color w:val="000000"/>
              </w:rPr>
              <w:t xml:space="preserve">Measure Internet users’ understanding of TLD eligibility restrictions, such that Internet users can make informed choices about reliance on domain names in that TLD.    </w:t>
            </w:r>
          </w:p>
        </w:tc>
        <w:tc>
          <w:tcPr>
            <w:tcW w:w="3774" w:type="dxa"/>
          </w:tcPr>
          <w:p w14:paraId="793EF843" w14:textId="0AB72751" w:rsidR="005F3724" w:rsidRPr="0009464B" w:rsidRDefault="0009464B" w:rsidP="00930593">
            <w:pPr>
              <w:rPr>
                <w:rFonts w:eastAsia="Times New Roman" w:cs="Times New Roman"/>
                <w:color w:val="000000"/>
              </w:rPr>
            </w:pPr>
            <w:r w:rsidRPr="0009464B">
              <w:rPr>
                <w:rFonts w:eastAsia="Times New Roman" w:cs="Times New Roman"/>
                <w:color w:val="000000"/>
              </w:rPr>
              <w:t>CONSIDERATIONS: See considerations in 2.1.</w:t>
            </w:r>
          </w:p>
        </w:tc>
        <w:tc>
          <w:tcPr>
            <w:tcW w:w="1080" w:type="dxa"/>
          </w:tcPr>
          <w:p w14:paraId="4E2D4CA7" w14:textId="619055F8" w:rsidR="005F3724" w:rsidRPr="005F3724" w:rsidRDefault="005F3724" w:rsidP="00930593">
            <w:pPr>
              <w:rPr>
                <w:rFonts w:eastAsia="Times New Roman" w:cs="Times New Roman"/>
                <w:color w:val="000000"/>
              </w:rPr>
            </w:pPr>
            <w:r w:rsidRPr="005F3724">
              <w:rPr>
                <w:rFonts w:eastAsia="Times New Roman" w:cs="Times New Roman"/>
                <w:color w:val="000000"/>
              </w:rPr>
              <w:t>Choice</w:t>
            </w:r>
          </w:p>
          <w:p w14:paraId="3AE27BE8" w14:textId="77777777" w:rsidR="005F3724" w:rsidRPr="005F3724" w:rsidRDefault="005F3724" w:rsidP="00930593">
            <w:pPr>
              <w:rPr>
                <w:rFonts w:eastAsia="Times New Roman" w:cs="Times New Roman"/>
                <w:color w:val="000000"/>
              </w:rPr>
            </w:pPr>
          </w:p>
        </w:tc>
      </w:tr>
      <w:tr w:rsidR="005F3724" w:rsidRPr="00AC6630" w14:paraId="13A29A1C" w14:textId="77777777" w:rsidTr="00264A26">
        <w:trPr>
          <w:trHeight w:val="251"/>
        </w:trPr>
        <w:tc>
          <w:tcPr>
            <w:tcW w:w="820" w:type="dxa"/>
            <w:shd w:val="clear" w:color="auto" w:fill="auto"/>
            <w:hideMark/>
          </w:tcPr>
          <w:p w14:paraId="445EF9D2"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t>2.3</w:t>
            </w:r>
          </w:p>
        </w:tc>
        <w:tc>
          <w:tcPr>
            <w:tcW w:w="3861" w:type="dxa"/>
            <w:shd w:val="clear" w:color="auto" w:fill="auto"/>
            <w:hideMark/>
          </w:tcPr>
          <w:p w14:paraId="0AA2B885" w14:textId="77777777" w:rsidR="005F3724" w:rsidRPr="005F3724" w:rsidRDefault="005F3724" w:rsidP="00930593">
            <w:pPr>
              <w:rPr>
                <w:rFonts w:eastAsia="Times New Roman" w:cs="Times New Roman"/>
                <w:color w:val="000000"/>
              </w:rPr>
            </w:pPr>
            <w:r w:rsidRPr="005F3724">
              <w:rPr>
                <w:rFonts w:eastAsia="Times New Roman" w:cs="Times New Roman"/>
                <w:color w:val="000000"/>
              </w:rPr>
              <w:t xml:space="preserve">Biennial surveys of perceived consumer choice in DNS, relative to experience before the </w:t>
            </w:r>
            <w:proofErr w:type="spellStart"/>
            <w:r w:rsidRPr="005F3724">
              <w:rPr>
                <w:rFonts w:eastAsia="Times New Roman" w:cs="Times New Roman"/>
                <w:color w:val="000000"/>
              </w:rPr>
              <w:t>gTLD</w:t>
            </w:r>
            <w:proofErr w:type="spellEnd"/>
            <w:r w:rsidRPr="005F3724">
              <w:rPr>
                <w:rFonts w:eastAsia="Times New Roman" w:cs="Times New Roman"/>
                <w:color w:val="000000"/>
              </w:rPr>
              <w:t xml:space="preserve"> expansion. Survey should assess public awareness of new </w:t>
            </w:r>
            <w:proofErr w:type="spellStart"/>
            <w:r w:rsidRPr="005F3724">
              <w:rPr>
                <w:rFonts w:eastAsia="Times New Roman" w:cs="Times New Roman"/>
                <w:color w:val="000000"/>
              </w:rPr>
              <w:t>gTLDs</w:t>
            </w:r>
            <w:proofErr w:type="spellEnd"/>
            <w:r w:rsidRPr="005F3724">
              <w:rPr>
                <w:rFonts w:eastAsia="Times New Roman" w:cs="Times New Roman"/>
                <w:color w:val="000000"/>
              </w:rPr>
              <w:t xml:space="preserve">. Survey should also measure costs of defensive or duplicate registrations. Survey should assess motivations, intent and satisfaction with new </w:t>
            </w:r>
            <w:proofErr w:type="spellStart"/>
            <w:r w:rsidRPr="005F3724">
              <w:rPr>
                <w:rFonts w:eastAsia="Times New Roman" w:cs="Times New Roman"/>
                <w:color w:val="000000"/>
              </w:rPr>
              <w:t>gTLDs</w:t>
            </w:r>
            <w:proofErr w:type="spellEnd"/>
            <w:r w:rsidRPr="005F3724">
              <w:rPr>
                <w:rFonts w:eastAsia="Times New Roman" w:cs="Times New Roman"/>
                <w:color w:val="000000"/>
              </w:rPr>
              <w:t>.</w:t>
            </w:r>
          </w:p>
        </w:tc>
        <w:tc>
          <w:tcPr>
            <w:tcW w:w="3774" w:type="dxa"/>
          </w:tcPr>
          <w:p w14:paraId="13827752" w14:textId="77777777" w:rsidR="005F3724" w:rsidRPr="0009464B" w:rsidRDefault="005F3724" w:rsidP="00930593">
            <w:pPr>
              <w:rPr>
                <w:rFonts w:eastAsia="Times New Roman" w:cs="Times New Roman"/>
                <w:color w:val="000000"/>
              </w:rPr>
            </w:pPr>
          </w:p>
        </w:tc>
        <w:tc>
          <w:tcPr>
            <w:tcW w:w="1080" w:type="dxa"/>
          </w:tcPr>
          <w:p w14:paraId="1F8D87E2" w14:textId="7FC71520" w:rsidR="005F3724" w:rsidRPr="005F3724" w:rsidRDefault="005F3724" w:rsidP="00930593">
            <w:pPr>
              <w:rPr>
                <w:rFonts w:eastAsia="Times New Roman" w:cs="Times New Roman"/>
                <w:color w:val="000000"/>
              </w:rPr>
            </w:pPr>
            <w:r w:rsidRPr="005F3724">
              <w:rPr>
                <w:rFonts w:eastAsia="Times New Roman" w:cs="Times New Roman"/>
                <w:color w:val="000000"/>
              </w:rPr>
              <w:t>Choice</w:t>
            </w:r>
          </w:p>
        </w:tc>
      </w:tr>
      <w:tr w:rsidR="005F3724" w:rsidRPr="00AC6630" w14:paraId="52CF9D88" w14:textId="77777777" w:rsidTr="00264A26">
        <w:trPr>
          <w:trHeight w:val="242"/>
        </w:trPr>
        <w:tc>
          <w:tcPr>
            <w:tcW w:w="820" w:type="dxa"/>
            <w:shd w:val="clear" w:color="auto" w:fill="auto"/>
          </w:tcPr>
          <w:p w14:paraId="5FFECFB4" w14:textId="77777777" w:rsidR="005F3724" w:rsidRPr="005F3724" w:rsidRDefault="005F3724" w:rsidP="00930593">
            <w:pPr>
              <w:jc w:val="center"/>
              <w:rPr>
                <w:rFonts w:eastAsia="Times New Roman" w:cs="Times New Roman"/>
                <w:color w:val="000000"/>
              </w:rPr>
            </w:pPr>
            <w:r w:rsidRPr="005F3724">
              <w:rPr>
                <w:rFonts w:cs="Times New Roman"/>
              </w:rPr>
              <w:t>2.10</w:t>
            </w:r>
          </w:p>
        </w:tc>
        <w:tc>
          <w:tcPr>
            <w:tcW w:w="3861" w:type="dxa"/>
            <w:shd w:val="clear" w:color="auto" w:fill="auto"/>
          </w:tcPr>
          <w:p w14:paraId="759646F4" w14:textId="34664577" w:rsidR="005F3724" w:rsidRPr="0009464B" w:rsidRDefault="005F3724" w:rsidP="0009464B">
            <w:pPr>
              <w:rPr>
                <w:rFonts w:cs="Times New Roman"/>
              </w:rPr>
            </w:pPr>
            <w:r w:rsidRPr="005F3724">
              <w:rPr>
                <w:rFonts w:cs="Times New Roman"/>
              </w:rPr>
              <w:t xml:space="preserve">Automated analysis or online survey to determine the number of “duplicate” registrations in new </w:t>
            </w:r>
            <w:proofErr w:type="spellStart"/>
            <w:r w:rsidRPr="005F3724">
              <w:rPr>
                <w:rFonts w:cs="Times New Roman"/>
              </w:rPr>
              <w:t>gTLDs</w:t>
            </w:r>
            <w:proofErr w:type="spellEnd"/>
            <w:r w:rsidRPr="005F3724">
              <w:rPr>
                <w:rFonts w:cs="Times New Roman"/>
              </w:rPr>
              <w:t xml:space="preserve">. </w:t>
            </w:r>
          </w:p>
        </w:tc>
        <w:tc>
          <w:tcPr>
            <w:tcW w:w="3774" w:type="dxa"/>
          </w:tcPr>
          <w:p w14:paraId="4FE2509D" w14:textId="77777777" w:rsidR="0009464B" w:rsidRPr="0009464B" w:rsidRDefault="0009464B" w:rsidP="0009464B">
            <w:pPr>
              <w:contextualSpacing/>
              <w:rPr>
                <w:rFonts w:eastAsia="Calibri" w:cs="Times New Roman"/>
                <w:lang w:bidi="en-US"/>
              </w:rPr>
            </w:pPr>
            <w:r w:rsidRPr="0009464B">
              <w:rPr>
                <w:rFonts w:cs="Times New Roman"/>
              </w:rPr>
              <w:t>CONSIDERATIONS FOR 2.10, 2.13, and 4.3: R</w:t>
            </w:r>
            <w:r w:rsidRPr="0009464B">
              <w:rPr>
                <w:rFonts w:eastAsia="Calibri" w:cs="Times New Roman"/>
                <w:lang w:bidi="en-US"/>
              </w:rPr>
              <w:t xml:space="preserve">esponses will likely be dependent on awareness of new </w:t>
            </w:r>
            <w:proofErr w:type="spellStart"/>
            <w:r w:rsidRPr="0009464B">
              <w:rPr>
                <w:rFonts w:eastAsia="Calibri" w:cs="Times New Roman"/>
                <w:lang w:bidi="en-US"/>
              </w:rPr>
              <w:t>gTLDs</w:t>
            </w:r>
            <w:proofErr w:type="spellEnd"/>
            <w:r w:rsidRPr="0009464B">
              <w:rPr>
                <w:rFonts w:eastAsia="Calibri" w:cs="Times New Roman"/>
                <w:lang w:bidi="en-US"/>
              </w:rPr>
              <w:t xml:space="preserve"> and perhaps on the financial resources of registrants. For registrants who are aware of new </w:t>
            </w:r>
            <w:proofErr w:type="spellStart"/>
            <w:r w:rsidRPr="0009464B">
              <w:rPr>
                <w:rFonts w:eastAsia="Calibri" w:cs="Times New Roman"/>
                <w:lang w:bidi="en-US"/>
              </w:rPr>
              <w:t>gTLDs</w:t>
            </w:r>
            <w:proofErr w:type="spellEnd"/>
            <w:r w:rsidRPr="0009464B">
              <w:rPr>
                <w:rFonts w:eastAsia="Calibri" w:cs="Times New Roman"/>
                <w:lang w:bidi="en-US"/>
              </w:rPr>
              <w:t>, the survey instrument should be constructed to measure:</w:t>
            </w:r>
          </w:p>
          <w:p w14:paraId="310DDF5A" w14:textId="77777777" w:rsidR="0009464B" w:rsidRPr="0009464B" w:rsidRDefault="0009464B" w:rsidP="0009464B">
            <w:pPr>
              <w:pStyle w:val="ListParagraph"/>
              <w:numPr>
                <w:ilvl w:val="0"/>
                <w:numId w:val="11"/>
              </w:numPr>
              <w:spacing w:after="200" w:line="240" w:lineRule="auto"/>
              <w:rPr>
                <w:rFonts w:eastAsia="Calibri" w:cs="Times New Roman"/>
                <w:lang w:bidi="en-US"/>
              </w:rPr>
            </w:pPr>
            <w:r w:rsidRPr="0009464B">
              <w:rPr>
                <w:rFonts w:eastAsia="Calibri" w:cs="Times New Roman"/>
                <w:lang w:bidi="en-US"/>
              </w:rPr>
              <w:t>Prevalence of registrants holding multiple domains</w:t>
            </w:r>
          </w:p>
          <w:p w14:paraId="190FEB84" w14:textId="77777777" w:rsidR="0009464B" w:rsidRPr="0009464B" w:rsidRDefault="0009464B" w:rsidP="0009464B">
            <w:pPr>
              <w:pStyle w:val="ListParagraph"/>
              <w:numPr>
                <w:ilvl w:val="0"/>
                <w:numId w:val="11"/>
              </w:numPr>
              <w:spacing w:after="200" w:line="240" w:lineRule="auto"/>
              <w:rPr>
                <w:rFonts w:eastAsia="Calibri" w:cs="Times New Roman"/>
                <w:lang w:bidi="en-US"/>
              </w:rPr>
            </w:pPr>
            <w:r w:rsidRPr="0009464B">
              <w:rPr>
                <w:rFonts w:eastAsia="Calibri" w:cs="Times New Roman"/>
                <w:lang w:bidi="en-US"/>
              </w:rPr>
              <w:t xml:space="preserve">Motivation for registering (e.g., defensive) and not registering (e.g., lack of resources) multiple domains, regardless of knowledge of new </w:t>
            </w:r>
            <w:proofErr w:type="spellStart"/>
            <w:r w:rsidRPr="0009464B">
              <w:rPr>
                <w:rFonts w:eastAsia="Calibri" w:cs="Times New Roman"/>
                <w:lang w:bidi="en-US"/>
              </w:rPr>
              <w:t>gTLDs</w:t>
            </w:r>
            <w:proofErr w:type="spellEnd"/>
            <w:r w:rsidRPr="0009464B">
              <w:rPr>
                <w:rFonts w:eastAsia="Calibri" w:cs="Times New Roman"/>
                <w:lang w:bidi="en-US"/>
              </w:rPr>
              <w:t xml:space="preserve">. </w:t>
            </w:r>
          </w:p>
          <w:p w14:paraId="16454BE5" w14:textId="12CADEA1" w:rsidR="005F3724" w:rsidRPr="0009464B" w:rsidRDefault="0009464B" w:rsidP="0009464B">
            <w:pPr>
              <w:pStyle w:val="ListParagraph"/>
              <w:numPr>
                <w:ilvl w:val="0"/>
                <w:numId w:val="11"/>
              </w:numPr>
              <w:spacing w:after="200" w:line="240" w:lineRule="auto"/>
              <w:rPr>
                <w:rFonts w:eastAsia="Calibri" w:cs="Times New Roman"/>
                <w:lang w:bidi="en-US"/>
              </w:rPr>
            </w:pPr>
            <w:r w:rsidRPr="0009464B">
              <w:rPr>
                <w:rFonts w:eastAsia="Calibri" w:cs="Times New Roman"/>
                <w:lang w:bidi="en-US"/>
              </w:rPr>
              <w:t xml:space="preserve">For registrants who are aware of expansion, measure attitudes towards expansion and satisfaction with expansion of </w:t>
            </w:r>
            <w:proofErr w:type="spellStart"/>
            <w:r w:rsidRPr="0009464B">
              <w:rPr>
                <w:rFonts w:eastAsia="Calibri" w:cs="Times New Roman"/>
                <w:lang w:bidi="en-US"/>
              </w:rPr>
              <w:t>gTLDs</w:t>
            </w:r>
            <w:proofErr w:type="spellEnd"/>
            <w:r w:rsidRPr="0009464B">
              <w:rPr>
                <w:rFonts w:eastAsia="Calibri" w:cs="Times New Roman"/>
                <w:lang w:bidi="en-US"/>
              </w:rPr>
              <w:t xml:space="preserve">. For example, the instrument might inquire about what the expansion means to </w:t>
            </w:r>
            <w:r w:rsidRPr="0009464B">
              <w:rPr>
                <w:rFonts w:eastAsia="Calibri" w:cs="Times New Roman"/>
                <w:lang w:bidi="en-US"/>
              </w:rPr>
              <w:lastRenderedPageBreak/>
              <w:t>the respondent (what are the implications, such as providing increased choice or necessitating defensive measures), and inquiries about the potential benefits in comparison to the potential costs.</w:t>
            </w:r>
          </w:p>
        </w:tc>
        <w:tc>
          <w:tcPr>
            <w:tcW w:w="1080" w:type="dxa"/>
          </w:tcPr>
          <w:p w14:paraId="212CE811" w14:textId="0F2840A9" w:rsidR="005F3724" w:rsidRPr="005F3724" w:rsidRDefault="005F3724" w:rsidP="00930593">
            <w:pPr>
              <w:rPr>
                <w:rFonts w:cs="Times New Roman"/>
              </w:rPr>
            </w:pPr>
            <w:r w:rsidRPr="005F3724">
              <w:rPr>
                <w:rFonts w:cs="Times New Roman"/>
              </w:rPr>
              <w:lastRenderedPageBreak/>
              <w:t>Choice</w:t>
            </w:r>
          </w:p>
        </w:tc>
      </w:tr>
      <w:tr w:rsidR="005F3724" w:rsidRPr="00AC6630" w14:paraId="1033E0D5" w14:textId="77777777" w:rsidTr="00264A26">
        <w:trPr>
          <w:trHeight w:val="242"/>
        </w:trPr>
        <w:tc>
          <w:tcPr>
            <w:tcW w:w="820" w:type="dxa"/>
            <w:shd w:val="clear" w:color="auto" w:fill="auto"/>
          </w:tcPr>
          <w:p w14:paraId="01DB3D95" w14:textId="21BA37BE" w:rsidR="005F3724" w:rsidRPr="005F3724" w:rsidRDefault="005F3724" w:rsidP="00930593">
            <w:pPr>
              <w:jc w:val="center"/>
              <w:rPr>
                <w:rFonts w:eastAsia="Times New Roman" w:cs="Times New Roman"/>
                <w:color w:val="000000"/>
              </w:rPr>
            </w:pPr>
            <w:r w:rsidRPr="005F3724">
              <w:rPr>
                <w:rFonts w:eastAsia="Times New Roman" w:cs="Times New Roman"/>
                <w:color w:val="000000"/>
              </w:rPr>
              <w:lastRenderedPageBreak/>
              <w:t>2.12</w:t>
            </w:r>
          </w:p>
        </w:tc>
        <w:tc>
          <w:tcPr>
            <w:tcW w:w="3861" w:type="dxa"/>
            <w:shd w:val="clear" w:color="auto" w:fill="auto"/>
          </w:tcPr>
          <w:p w14:paraId="3B2BFDCA" w14:textId="76B39799" w:rsidR="005F3724" w:rsidRPr="0009464B" w:rsidRDefault="005F3724" w:rsidP="00930593">
            <w:pPr>
              <w:rPr>
                <w:rFonts w:eastAsia="Times New Roman" w:cs="Times New Roman"/>
                <w:color w:val="000000"/>
              </w:rPr>
            </w:pPr>
            <w:r w:rsidRPr="005F3724">
              <w:rPr>
                <w:rFonts w:eastAsia="Times New Roman" w:cs="Times New Roman"/>
                <w:color w:val="000000"/>
              </w:rPr>
              <w:t>Survey or Study to gauge the frequency with which users access Internet resources via tools that do not reveal the TLD (e.g. QR Codes, search results, apps, etc., that do not display URLs).</w:t>
            </w:r>
          </w:p>
        </w:tc>
        <w:tc>
          <w:tcPr>
            <w:tcW w:w="3774" w:type="dxa"/>
          </w:tcPr>
          <w:p w14:paraId="0F5A8BA4" w14:textId="5DC2012A" w:rsidR="005F3724" w:rsidRPr="0009464B" w:rsidRDefault="0009464B" w:rsidP="00930593">
            <w:pPr>
              <w:rPr>
                <w:rFonts w:eastAsia="Times New Roman" w:cs="Times New Roman"/>
                <w:color w:val="000000"/>
              </w:rPr>
            </w:pPr>
            <w:r w:rsidRPr="0009464B">
              <w:rPr>
                <w:rFonts w:eastAsia="Times New Roman" w:cs="Times New Roman"/>
                <w:color w:val="000000"/>
              </w:rPr>
              <w:t>CONSIDERATIONS: If this metric is also used to inform trust in the DNS, will need to disentangle the issue of familiarity from why users choose these</w:t>
            </w:r>
            <w:r w:rsidRPr="0009464B">
              <w:rPr>
                <w:rFonts w:eastAsia="Times New Roman" w:cs="Times New Roman"/>
              </w:rPr>
              <w:t xml:space="preserve"> tools. </w:t>
            </w:r>
            <w:r w:rsidRPr="0009464B">
              <w:rPr>
                <w:rFonts w:eastAsia="Calibri"/>
                <w:lang w:bidi="en-US"/>
              </w:rPr>
              <w:t xml:space="preserve">To operationalize these metric, contractors will work with ICANN to devise a list of relevant examples of tools that do not reveal </w:t>
            </w:r>
            <w:proofErr w:type="spellStart"/>
            <w:r w:rsidRPr="0009464B">
              <w:rPr>
                <w:rFonts w:eastAsia="Calibri"/>
                <w:lang w:bidi="en-US"/>
              </w:rPr>
              <w:t>gTLDs</w:t>
            </w:r>
            <w:proofErr w:type="spellEnd"/>
            <w:r w:rsidRPr="0009464B">
              <w:rPr>
                <w:rFonts w:eastAsia="Calibri"/>
                <w:lang w:bidi="en-US"/>
              </w:rPr>
              <w:t>, and to describe the examples in plain language.</w:t>
            </w:r>
          </w:p>
        </w:tc>
        <w:tc>
          <w:tcPr>
            <w:tcW w:w="1080" w:type="dxa"/>
          </w:tcPr>
          <w:p w14:paraId="21B3F7BD" w14:textId="7B7D4204" w:rsidR="005F3724" w:rsidRPr="005F3724" w:rsidRDefault="005F3724" w:rsidP="00930593">
            <w:pPr>
              <w:rPr>
                <w:rFonts w:eastAsia="Times New Roman" w:cs="Times New Roman"/>
                <w:color w:val="000000"/>
              </w:rPr>
            </w:pPr>
            <w:r w:rsidRPr="005F3724">
              <w:rPr>
                <w:rFonts w:eastAsia="Times New Roman" w:cs="Times New Roman"/>
                <w:color w:val="000000"/>
              </w:rPr>
              <w:t>Choice</w:t>
            </w:r>
          </w:p>
        </w:tc>
      </w:tr>
      <w:tr w:rsidR="005F3724" w:rsidRPr="00AC6630" w14:paraId="6845D5FF" w14:textId="77777777" w:rsidTr="00264A26">
        <w:trPr>
          <w:trHeight w:val="242"/>
        </w:trPr>
        <w:tc>
          <w:tcPr>
            <w:tcW w:w="820" w:type="dxa"/>
            <w:shd w:val="clear" w:color="auto" w:fill="auto"/>
          </w:tcPr>
          <w:p w14:paraId="314516AF" w14:textId="77777777" w:rsidR="005F3724" w:rsidRPr="005F3724" w:rsidRDefault="005F3724" w:rsidP="00930593">
            <w:pPr>
              <w:jc w:val="center"/>
              <w:rPr>
                <w:rFonts w:eastAsia="Times New Roman" w:cs="Times New Roman"/>
                <w:color w:val="000000"/>
              </w:rPr>
            </w:pPr>
            <w:r w:rsidRPr="005F3724">
              <w:rPr>
                <w:rFonts w:cs="Times New Roman"/>
              </w:rPr>
              <w:t>2.13</w:t>
            </w:r>
          </w:p>
        </w:tc>
        <w:tc>
          <w:tcPr>
            <w:tcW w:w="3861" w:type="dxa"/>
            <w:shd w:val="clear" w:color="auto" w:fill="auto"/>
          </w:tcPr>
          <w:p w14:paraId="1EEDEE5C" w14:textId="09051494" w:rsidR="005F3724" w:rsidRPr="0009464B" w:rsidRDefault="005F3724" w:rsidP="00930593">
            <w:pPr>
              <w:rPr>
                <w:rFonts w:cs="Times New Roman"/>
              </w:rPr>
            </w:pPr>
            <w:r w:rsidRPr="005F3724">
              <w:rPr>
                <w:rFonts w:cs="Times New Roman"/>
              </w:rPr>
              <w:t xml:space="preserve">Biennial survey of perceived consumer choice relative to experiences before the </w:t>
            </w:r>
            <w:proofErr w:type="spellStart"/>
            <w:r w:rsidRPr="005F3724">
              <w:rPr>
                <w:rFonts w:cs="Times New Roman"/>
              </w:rPr>
              <w:t>gTLD</w:t>
            </w:r>
            <w:proofErr w:type="spellEnd"/>
            <w:r w:rsidRPr="005F3724">
              <w:rPr>
                <w:rFonts w:cs="Times New Roman"/>
              </w:rPr>
              <w:t xml:space="preserve"> expansion. Survey should assess public awareness of new </w:t>
            </w:r>
            <w:proofErr w:type="spellStart"/>
            <w:r w:rsidRPr="005F3724">
              <w:rPr>
                <w:rFonts w:cs="Times New Roman"/>
              </w:rPr>
              <w:t>gTLDs</w:t>
            </w:r>
            <w:proofErr w:type="spellEnd"/>
            <w:r w:rsidRPr="005F3724">
              <w:rPr>
                <w:rFonts w:cs="Times New Roman"/>
              </w:rPr>
              <w:t xml:space="preserve">.  Survey should also measure costs of defensive or duplicate registrations. Survey should assess motivations, intent, and satisfaction with new </w:t>
            </w:r>
            <w:proofErr w:type="spellStart"/>
            <w:r w:rsidRPr="005F3724">
              <w:rPr>
                <w:rFonts w:cs="Times New Roman"/>
              </w:rPr>
              <w:t>gTLDs</w:t>
            </w:r>
            <w:proofErr w:type="spellEnd"/>
            <w:r w:rsidRPr="005F3724">
              <w:rPr>
                <w:rFonts w:cs="Times New Roman"/>
              </w:rPr>
              <w:t xml:space="preserve">. </w:t>
            </w:r>
          </w:p>
        </w:tc>
        <w:tc>
          <w:tcPr>
            <w:tcW w:w="3774" w:type="dxa"/>
          </w:tcPr>
          <w:p w14:paraId="1DDF417B" w14:textId="467170E6" w:rsidR="005F3724" w:rsidRPr="0009464B" w:rsidRDefault="0009464B" w:rsidP="00930593">
            <w:pPr>
              <w:rPr>
                <w:rFonts w:cs="Times New Roman"/>
              </w:rPr>
            </w:pPr>
            <w:r w:rsidRPr="0009464B">
              <w:rPr>
                <w:rFonts w:cs="Times New Roman"/>
              </w:rPr>
              <w:t>CONSIDERATIONS: See 2.10.</w:t>
            </w:r>
          </w:p>
        </w:tc>
        <w:tc>
          <w:tcPr>
            <w:tcW w:w="1080" w:type="dxa"/>
          </w:tcPr>
          <w:p w14:paraId="28DE03D5" w14:textId="1FABD38B" w:rsidR="005F3724" w:rsidRPr="005F3724" w:rsidRDefault="005F3724" w:rsidP="00930593">
            <w:pPr>
              <w:rPr>
                <w:rFonts w:eastAsia="Times New Roman" w:cs="Times New Roman"/>
                <w:color w:val="000000"/>
              </w:rPr>
            </w:pPr>
            <w:r w:rsidRPr="005F3724">
              <w:rPr>
                <w:rFonts w:cs="Times New Roman"/>
              </w:rPr>
              <w:t>Choice</w:t>
            </w:r>
          </w:p>
        </w:tc>
      </w:tr>
      <w:tr w:rsidR="005F3724" w:rsidRPr="00AC6630" w14:paraId="19D1CCDE" w14:textId="77777777" w:rsidTr="00264A26">
        <w:trPr>
          <w:trHeight w:val="512"/>
        </w:trPr>
        <w:tc>
          <w:tcPr>
            <w:tcW w:w="820" w:type="dxa"/>
            <w:shd w:val="clear" w:color="auto" w:fill="auto"/>
            <w:hideMark/>
          </w:tcPr>
          <w:p w14:paraId="5A2F8CC0"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t>4.1</w:t>
            </w:r>
          </w:p>
        </w:tc>
        <w:tc>
          <w:tcPr>
            <w:tcW w:w="3861" w:type="dxa"/>
            <w:shd w:val="clear" w:color="auto" w:fill="auto"/>
            <w:hideMark/>
          </w:tcPr>
          <w:p w14:paraId="6D3777EA" w14:textId="77777777" w:rsidR="005F3724" w:rsidRPr="005F3724" w:rsidRDefault="005F3724" w:rsidP="00930593">
            <w:pPr>
              <w:rPr>
                <w:rFonts w:eastAsia="Times New Roman" w:cs="Times New Roman"/>
                <w:color w:val="000000"/>
              </w:rPr>
            </w:pPr>
            <w:r w:rsidRPr="005F3724">
              <w:rPr>
                <w:rFonts w:eastAsia="Times New Roman" w:cs="Times New Roman"/>
                <w:color w:val="000000"/>
              </w:rPr>
              <w:t xml:space="preserve">Frequency of success in reaching the intended information supplier through direct entry of domain names. </w:t>
            </w:r>
          </w:p>
        </w:tc>
        <w:tc>
          <w:tcPr>
            <w:tcW w:w="3774" w:type="dxa"/>
          </w:tcPr>
          <w:p w14:paraId="5E756E5F" w14:textId="77777777" w:rsidR="005F3724" w:rsidRPr="0009464B" w:rsidRDefault="005F3724" w:rsidP="00930593">
            <w:pPr>
              <w:rPr>
                <w:rFonts w:eastAsia="Times New Roman" w:cs="Times New Roman"/>
                <w:color w:val="000000"/>
              </w:rPr>
            </w:pPr>
          </w:p>
        </w:tc>
        <w:tc>
          <w:tcPr>
            <w:tcW w:w="1080" w:type="dxa"/>
          </w:tcPr>
          <w:p w14:paraId="040047DE" w14:textId="18DFD830" w:rsidR="005F3724" w:rsidRPr="005F3724" w:rsidRDefault="005F3724" w:rsidP="00930593">
            <w:pPr>
              <w:rPr>
                <w:rFonts w:eastAsia="Times New Roman" w:cs="Times New Roman"/>
                <w:color w:val="000000"/>
              </w:rPr>
            </w:pPr>
            <w:r w:rsidRPr="005F3724">
              <w:rPr>
                <w:rFonts w:eastAsia="Times New Roman" w:cs="Times New Roman"/>
                <w:color w:val="000000"/>
              </w:rPr>
              <w:t>Trust</w:t>
            </w:r>
          </w:p>
        </w:tc>
      </w:tr>
      <w:tr w:rsidR="005F3724" w:rsidRPr="00AC6630" w14:paraId="6BC3D9CA" w14:textId="77777777" w:rsidTr="00264A26">
        <w:trPr>
          <w:trHeight w:val="494"/>
        </w:trPr>
        <w:tc>
          <w:tcPr>
            <w:tcW w:w="820" w:type="dxa"/>
            <w:shd w:val="clear" w:color="auto" w:fill="auto"/>
            <w:hideMark/>
          </w:tcPr>
          <w:p w14:paraId="20AD237D"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t>4.2</w:t>
            </w:r>
          </w:p>
        </w:tc>
        <w:tc>
          <w:tcPr>
            <w:tcW w:w="3861" w:type="dxa"/>
            <w:shd w:val="clear" w:color="auto" w:fill="auto"/>
            <w:hideMark/>
          </w:tcPr>
          <w:p w14:paraId="2D3726C9" w14:textId="77777777" w:rsidR="005F3724" w:rsidRPr="005F3724" w:rsidRDefault="005F3724" w:rsidP="00930593">
            <w:pPr>
              <w:rPr>
                <w:rFonts w:eastAsia="Times New Roman" w:cs="Times New Roman"/>
                <w:color w:val="000000"/>
              </w:rPr>
            </w:pPr>
            <w:r w:rsidRPr="005F3724">
              <w:rPr>
                <w:rFonts w:eastAsia="Times New Roman" w:cs="Times New Roman"/>
                <w:color w:val="000000"/>
              </w:rPr>
              <w:t xml:space="preserve">Frequency of landing at unintended destinations. </w:t>
            </w:r>
          </w:p>
        </w:tc>
        <w:tc>
          <w:tcPr>
            <w:tcW w:w="3774" w:type="dxa"/>
          </w:tcPr>
          <w:p w14:paraId="683FA31F" w14:textId="77777777" w:rsidR="005F3724" w:rsidRPr="0009464B" w:rsidRDefault="005F3724" w:rsidP="00930593">
            <w:pPr>
              <w:rPr>
                <w:rFonts w:eastAsia="Times New Roman" w:cs="Times New Roman"/>
                <w:color w:val="000000"/>
              </w:rPr>
            </w:pPr>
          </w:p>
        </w:tc>
        <w:tc>
          <w:tcPr>
            <w:tcW w:w="1080" w:type="dxa"/>
          </w:tcPr>
          <w:p w14:paraId="37D7C596" w14:textId="5A18108C" w:rsidR="005F3724" w:rsidRPr="005F3724" w:rsidRDefault="005F3724" w:rsidP="00930593">
            <w:pPr>
              <w:rPr>
                <w:rFonts w:eastAsia="Times New Roman" w:cs="Times New Roman"/>
                <w:color w:val="000000"/>
              </w:rPr>
            </w:pPr>
            <w:r w:rsidRPr="005F3724">
              <w:rPr>
                <w:rFonts w:eastAsia="Times New Roman" w:cs="Times New Roman"/>
                <w:color w:val="000000"/>
              </w:rPr>
              <w:t>Trust</w:t>
            </w:r>
          </w:p>
        </w:tc>
      </w:tr>
      <w:tr w:rsidR="005F3724" w:rsidRPr="00AC6630" w14:paraId="3509A56A" w14:textId="77777777" w:rsidTr="00264A26">
        <w:trPr>
          <w:trHeight w:val="404"/>
        </w:trPr>
        <w:tc>
          <w:tcPr>
            <w:tcW w:w="820" w:type="dxa"/>
            <w:shd w:val="clear" w:color="auto" w:fill="auto"/>
            <w:hideMark/>
          </w:tcPr>
          <w:p w14:paraId="53871377"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t>4.3</w:t>
            </w:r>
          </w:p>
        </w:tc>
        <w:tc>
          <w:tcPr>
            <w:tcW w:w="3861" w:type="dxa"/>
            <w:shd w:val="clear" w:color="auto" w:fill="auto"/>
            <w:hideMark/>
          </w:tcPr>
          <w:p w14:paraId="3CE62D45" w14:textId="61ED538E" w:rsidR="005F3724" w:rsidRPr="005F3724" w:rsidRDefault="005F3724" w:rsidP="00930593">
            <w:pPr>
              <w:rPr>
                <w:rFonts w:eastAsia="Times New Roman" w:cs="Times New Roman"/>
                <w:color w:val="000000"/>
              </w:rPr>
            </w:pPr>
            <w:r w:rsidRPr="005F3724">
              <w:rPr>
                <w:rFonts w:eastAsia="Times New Roman" w:cs="Times New Roman"/>
                <w:color w:val="000000"/>
              </w:rPr>
              <w:t>Frequency of redundant or defensive domains (i.e., multiple domains pointing to the same destination)</w:t>
            </w:r>
          </w:p>
        </w:tc>
        <w:tc>
          <w:tcPr>
            <w:tcW w:w="3774" w:type="dxa"/>
          </w:tcPr>
          <w:p w14:paraId="012B54B8" w14:textId="78F1739D" w:rsidR="005F3724" w:rsidRPr="0009464B" w:rsidRDefault="0009464B" w:rsidP="00930593">
            <w:pPr>
              <w:rPr>
                <w:rFonts w:eastAsia="Times New Roman" w:cs="Times New Roman"/>
                <w:color w:val="000000"/>
              </w:rPr>
            </w:pPr>
            <w:r w:rsidRPr="0009464B">
              <w:rPr>
                <w:rFonts w:cs="Times New Roman"/>
              </w:rPr>
              <w:t>CONSIDERATIONS: See 2.10.</w:t>
            </w:r>
          </w:p>
        </w:tc>
        <w:tc>
          <w:tcPr>
            <w:tcW w:w="1080" w:type="dxa"/>
          </w:tcPr>
          <w:p w14:paraId="65637EF0" w14:textId="6C61DB6A" w:rsidR="005F3724" w:rsidRPr="005F3724" w:rsidRDefault="005F3724" w:rsidP="00930593">
            <w:pPr>
              <w:rPr>
                <w:rFonts w:eastAsia="Times New Roman" w:cs="Times New Roman"/>
                <w:color w:val="000000"/>
              </w:rPr>
            </w:pPr>
            <w:r w:rsidRPr="005F3724">
              <w:rPr>
                <w:rFonts w:eastAsia="Times New Roman" w:cs="Times New Roman"/>
                <w:color w:val="000000"/>
              </w:rPr>
              <w:t>Trust</w:t>
            </w:r>
          </w:p>
        </w:tc>
      </w:tr>
      <w:tr w:rsidR="005F3724" w:rsidRPr="00AC6630" w14:paraId="7EAB9595" w14:textId="77777777" w:rsidTr="00264A26">
        <w:trPr>
          <w:trHeight w:val="305"/>
        </w:trPr>
        <w:tc>
          <w:tcPr>
            <w:tcW w:w="820" w:type="dxa"/>
            <w:shd w:val="clear" w:color="auto" w:fill="auto"/>
            <w:hideMark/>
          </w:tcPr>
          <w:p w14:paraId="4E1BA062" w14:textId="77777777" w:rsidR="005F3724" w:rsidRPr="005F3724" w:rsidRDefault="005F3724" w:rsidP="00930593">
            <w:pPr>
              <w:jc w:val="center"/>
              <w:rPr>
                <w:rFonts w:eastAsia="Times New Roman" w:cs="Times New Roman"/>
                <w:color w:val="000000"/>
              </w:rPr>
            </w:pPr>
            <w:r w:rsidRPr="005F3724">
              <w:rPr>
                <w:rFonts w:eastAsia="Times New Roman" w:cs="Times New Roman"/>
                <w:color w:val="000000"/>
              </w:rPr>
              <w:t>5.1</w:t>
            </w:r>
          </w:p>
        </w:tc>
        <w:tc>
          <w:tcPr>
            <w:tcW w:w="3861" w:type="dxa"/>
            <w:shd w:val="clear" w:color="auto" w:fill="auto"/>
            <w:hideMark/>
          </w:tcPr>
          <w:p w14:paraId="4DEDF342" w14:textId="17966C93" w:rsidR="005F3724" w:rsidRPr="0009464B" w:rsidRDefault="005F3724" w:rsidP="00930593">
            <w:pPr>
              <w:rPr>
                <w:rFonts w:eastAsia="Times New Roman" w:cs="Times New Roman"/>
                <w:color w:val="000000"/>
              </w:rPr>
            </w:pPr>
            <w:r w:rsidRPr="005F3724">
              <w:rPr>
                <w:rFonts w:eastAsia="Times New Roman" w:cs="Times New Roman"/>
                <w:color w:val="000000"/>
              </w:rPr>
              <w:t>Relative preference or explicit use of domain names versus search engines for end-user general Internet use.</w:t>
            </w:r>
          </w:p>
        </w:tc>
        <w:tc>
          <w:tcPr>
            <w:tcW w:w="3774" w:type="dxa"/>
          </w:tcPr>
          <w:p w14:paraId="043C1F17" w14:textId="08E0151B" w:rsidR="005F3724" w:rsidRPr="0009464B" w:rsidRDefault="0009464B" w:rsidP="00930593">
            <w:pPr>
              <w:rPr>
                <w:rFonts w:eastAsia="Times New Roman" w:cs="Times New Roman"/>
                <w:color w:val="000000"/>
              </w:rPr>
            </w:pPr>
            <w:r w:rsidRPr="0009464B">
              <w:rPr>
                <w:rFonts w:eastAsia="Times New Roman" w:cs="Times New Roman"/>
                <w:color w:val="000000"/>
              </w:rPr>
              <w:t>CONSIDERATIONS: T</w:t>
            </w:r>
            <w:r w:rsidRPr="0009464B">
              <w:rPr>
                <w:rFonts w:eastAsia="Calibri" w:cs="Times New Roman"/>
                <w:lang w:bidi="en-US"/>
              </w:rPr>
              <w:t>he survey should also consider including as part of this topic, other tools that do not reveal TLDs such as those mentioned in Metric 2.12.</w:t>
            </w:r>
          </w:p>
        </w:tc>
        <w:tc>
          <w:tcPr>
            <w:tcW w:w="1080" w:type="dxa"/>
          </w:tcPr>
          <w:p w14:paraId="3C9A1886" w14:textId="765DB6D6" w:rsidR="005F3724" w:rsidRPr="005F3724" w:rsidRDefault="005F3724" w:rsidP="00930593">
            <w:pPr>
              <w:rPr>
                <w:rFonts w:eastAsia="Times New Roman" w:cs="Times New Roman"/>
                <w:color w:val="000000"/>
              </w:rPr>
            </w:pPr>
            <w:r w:rsidRPr="005F3724">
              <w:rPr>
                <w:rFonts w:eastAsia="Times New Roman" w:cs="Times New Roman"/>
                <w:color w:val="000000"/>
              </w:rPr>
              <w:t>Trust</w:t>
            </w:r>
          </w:p>
        </w:tc>
      </w:tr>
    </w:tbl>
    <w:p w14:paraId="26EA4EC2" w14:textId="1B5A4259" w:rsidR="005F7350" w:rsidRPr="008C58D8" w:rsidRDefault="005F7350" w:rsidP="005F7350">
      <w:r w:rsidRPr="008C58D8">
        <w:t xml:space="preserve">Metrics 3.9-3.11 were determined to require a third party’s economic analysis of wholesale and retail pricing in the new </w:t>
      </w:r>
      <w:proofErr w:type="spellStart"/>
      <w:r w:rsidRPr="008C58D8">
        <w:t>gTLD</w:t>
      </w:r>
      <w:proofErr w:type="spellEnd"/>
      <w:r w:rsidRPr="008C58D8">
        <w:t xml:space="preserve"> space, as well as other indicators of non-price-related competition indicators. </w:t>
      </w:r>
      <w:r w:rsidRPr="008C58D8">
        <w:lastRenderedPageBreak/>
        <w:t xml:space="preserve">Because pricing in the legacy </w:t>
      </w:r>
      <w:proofErr w:type="spellStart"/>
      <w:r w:rsidRPr="008C58D8">
        <w:t>gTLD</w:t>
      </w:r>
      <w:proofErr w:type="spellEnd"/>
      <w:r w:rsidRPr="008C58D8">
        <w:t xml:space="preserve"> space may shift with the introduction of new </w:t>
      </w:r>
      <w:proofErr w:type="spellStart"/>
      <w:r w:rsidRPr="008C58D8">
        <w:t>gTLD</w:t>
      </w:r>
      <w:proofErr w:type="spellEnd"/>
      <w:r w:rsidRPr="008C58D8">
        <w:t xml:space="preserve"> domain names, IAG-CCT members felt it was important to launch this study as soon as possible to ensure a sufficient baseline of data was available for comparison when new </w:t>
      </w:r>
      <w:proofErr w:type="spellStart"/>
      <w:r w:rsidRPr="008C58D8">
        <w:t>gTLD</w:t>
      </w:r>
      <w:proofErr w:type="spellEnd"/>
      <w:r w:rsidRPr="008C58D8">
        <w:t xml:space="preserve"> domain names become more prevalent online. </w:t>
      </w:r>
      <w:r w:rsidR="0007547E">
        <w:rPr>
          <w:rFonts w:cs="Helvetica"/>
          <w:shd w:val="clear" w:color="auto" w:fill="FFFFFF"/>
        </w:rPr>
        <w:t>T</w:t>
      </w:r>
      <w:r>
        <w:rPr>
          <w:rFonts w:cs="Helvetica"/>
          <w:shd w:val="clear" w:color="auto" w:fill="FFFFFF"/>
        </w:rPr>
        <w:t>he stud</w:t>
      </w:r>
      <w:r w:rsidR="0007547E">
        <w:rPr>
          <w:rFonts w:cs="Helvetica"/>
          <w:shd w:val="clear" w:color="auto" w:fill="FFFFFF"/>
        </w:rPr>
        <w:t>y</w:t>
      </w:r>
      <w:r>
        <w:rPr>
          <w:rFonts w:cs="Helvetica"/>
          <w:shd w:val="clear" w:color="auto" w:fill="FFFFFF"/>
        </w:rPr>
        <w:t xml:space="preserve"> will place high importance on confidentiality of pricing data, particularly as it </w:t>
      </w:r>
      <w:r w:rsidR="00A57B06">
        <w:rPr>
          <w:rFonts w:cs="Helvetica"/>
          <w:shd w:val="clear" w:color="auto" w:fill="FFFFFF"/>
        </w:rPr>
        <w:t>relates to specific registries, to guard against the appearance of collusion</w:t>
      </w:r>
      <w:r w:rsidR="00161365">
        <w:rPr>
          <w:rFonts w:cs="Helvetica"/>
          <w:shd w:val="clear" w:color="auto" w:fill="FFFFFF"/>
        </w:rPr>
        <w:t>,</w:t>
      </w:r>
      <w:r w:rsidR="00A57B06">
        <w:rPr>
          <w:rFonts w:cs="Helvetica"/>
          <w:shd w:val="clear" w:color="auto" w:fill="FFFFFF"/>
        </w:rPr>
        <w:t xml:space="preserve"> and to protect registries’ and registrars’ competitive positions. </w:t>
      </w:r>
    </w:p>
    <w:p w14:paraId="05DC2625" w14:textId="3A7EE84B" w:rsidR="005F7350" w:rsidRDefault="00A57B06" w:rsidP="005F7350">
      <w:r>
        <w:t xml:space="preserve">In addition to the issues raised in metrics 3.9-3.11, </w:t>
      </w:r>
      <w:r w:rsidR="00373B1C">
        <w:t xml:space="preserve">the IAG-CCT members recommended several additional issues to be considered in the study. The following considerations </w:t>
      </w:r>
      <w:r w:rsidR="00161365">
        <w:t>were</w:t>
      </w:r>
      <w:r w:rsidR="00373B1C">
        <w:t xml:space="preserve"> included in the RFP for the economic study</w:t>
      </w:r>
      <w:r w:rsidR="00161365">
        <w:t xml:space="preserve"> published in September 2014</w:t>
      </w:r>
      <w:r w:rsidR="00373B1C">
        <w:t xml:space="preserve">: </w:t>
      </w:r>
    </w:p>
    <w:p w14:paraId="3913D815" w14:textId="01C895DF" w:rsidR="00373B1C" w:rsidRDefault="00373B1C" w:rsidP="00373B1C">
      <w:pPr>
        <w:pStyle w:val="ListParagraph"/>
        <w:numPr>
          <w:ilvl w:val="0"/>
          <w:numId w:val="2"/>
        </w:numPr>
      </w:pPr>
      <w:r>
        <w:t xml:space="preserve">How </w:t>
      </w:r>
      <w:proofErr w:type="gramStart"/>
      <w:r w:rsidR="00FD7596">
        <w:t>are</w:t>
      </w:r>
      <w:r>
        <w:t xml:space="preserve"> consumers</w:t>
      </w:r>
      <w:proofErr w:type="gramEnd"/>
      <w:r>
        <w:t xml:space="preserve"> informed about or able to purchase so-called “premium” domain names? And how do registrars identify domain names for premium pricing? </w:t>
      </w:r>
    </w:p>
    <w:p w14:paraId="5F5FA705" w14:textId="3F8FA175" w:rsidR="00373B1C" w:rsidRDefault="00373B1C" w:rsidP="00373B1C">
      <w:pPr>
        <w:pStyle w:val="ListParagraph"/>
        <w:numPr>
          <w:ilvl w:val="0"/>
          <w:numId w:val="2"/>
        </w:numPr>
      </w:pPr>
      <w:r>
        <w:t xml:space="preserve">How many domain names have been withdrawn from general availability due to speculation or bulk registrations? </w:t>
      </w:r>
    </w:p>
    <w:p w14:paraId="67B68B48" w14:textId="175ED47E" w:rsidR="00373B1C" w:rsidRDefault="00373B1C" w:rsidP="00373B1C">
      <w:pPr>
        <w:pStyle w:val="ListParagraph"/>
        <w:numPr>
          <w:ilvl w:val="0"/>
          <w:numId w:val="2"/>
        </w:numPr>
      </w:pPr>
      <w:r>
        <w:t>Which registries are supported by which registrars?</w:t>
      </w:r>
    </w:p>
    <w:p w14:paraId="602C1CEF" w14:textId="6935270A" w:rsidR="00373B1C" w:rsidRDefault="00373B1C" w:rsidP="00373B1C">
      <w:pPr>
        <w:pStyle w:val="ListParagraph"/>
        <w:numPr>
          <w:ilvl w:val="0"/>
          <w:numId w:val="2"/>
        </w:numPr>
      </w:pPr>
      <w:r>
        <w:t xml:space="preserve">How do registrars present TLDs on their websites, i.e. in terms of shelf space? </w:t>
      </w:r>
    </w:p>
    <w:p w14:paraId="30A29B86" w14:textId="172FA895" w:rsidR="00373B1C" w:rsidRDefault="00373B1C" w:rsidP="00373B1C">
      <w:pPr>
        <w:pStyle w:val="ListParagraph"/>
        <w:numPr>
          <w:ilvl w:val="0"/>
          <w:numId w:val="2"/>
        </w:numPr>
      </w:pPr>
      <w:r>
        <w:t xml:space="preserve">Is shelf space fixed, randomly rotated, or adaptable according to different criteria, such as price? </w:t>
      </w:r>
    </w:p>
    <w:p w14:paraId="3BF30E81" w14:textId="0EEBD752" w:rsidR="00161365" w:rsidRDefault="00373B1C" w:rsidP="00161365">
      <w:pPr>
        <w:pStyle w:val="ListParagraph"/>
        <w:numPr>
          <w:ilvl w:val="0"/>
          <w:numId w:val="2"/>
        </w:numPr>
      </w:pPr>
      <w:r>
        <w:t xml:space="preserve">Do registrars give priority on their websites or within their pricing and service offerings to </w:t>
      </w:r>
      <w:proofErr w:type="spellStart"/>
      <w:r>
        <w:t>gTLDs</w:t>
      </w:r>
      <w:proofErr w:type="spellEnd"/>
      <w:r>
        <w:t xml:space="preserve"> which they operate or with which they are otherwise associated?</w:t>
      </w:r>
    </w:p>
    <w:p w14:paraId="08B013B3" w14:textId="10249D35" w:rsidR="00161365" w:rsidRDefault="00161365" w:rsidP="00161365">
      <w:r>
        <w:t xml:space="preserve">ICANN anticipates contracting a vendor to conduct this study by November 2014. </w:t>
      </w:r>
    </w:p>
    <w:p w14:paraId="0A1F0381" w14:textId="0C0D7463" w:rsidR="000F16C2" w:rsidRDefault="000F16C2" w:rsidP="000F16C2">
      <w:pPr>
        <w:pStyle w:val="Heading3"/>
      </w:pPr>
      <w:bookmarkStart w:id="10" w:name="_Toc399424502"/>
      <w:r>
        <w:t>Table 3: Economic study metrics</w:t>
      </w:r>
      <w:bookmarkEnd w:id="10"/>
    </w:p>
    <w:tbl>
      <w:tblPr>
        <w:tblStyle w:val="TableGrid"/>
        <w:tblW w:w="0" w:type="auto"/>
        <w:tblLook w:val="04A0" w:firstRow="1" w:lastRow="0" w:firstColumn="1" w:lastColumn="0" w:noHBand="0" w:noVBand="1"/>
      </w:tblPr>
      <w:tblGrid>
        <w:gridCol w:w="820"/>
        <w:gridCol w:w="6285"/>
        <w:gridCol w:w="1530"/>
      </w:tblGrid>
      <w:tr w:rsidR="000A3622" w14:paraId="7EDE0990" w14:textId="77777777" w:rsidTr="000A3622">
        <w:tc>
          <w:tcPr>
            <w:tcW w:w="820" w:type="dxa"/>
          </w:tcPr>
          <w:p w14:paraId="47EB73DB" w14:textId="2721C536" w:rsidR="000A3622" w:rsidRPr="000A3622" w:rsidRDefault="000A3622" w:rsidP="00CA53EF">
            <w:pPr>
              <w:rPr>
                <w:b/>
              </w:rPr>
            </w:pPr>
            <w:r w:rsidRPr="000A3622">
              <w:rPr>
                <w:b/>
              </w:rPr>
              <w:t>Metric</w:t>
            </w:r>
          </w:p>
        </w:tc>
        <w:tc>
          <w:tcPr>
            <w:tcW w:w="6285" w:type="dxa"/>
          </w:tcPr>
          <w:p w14:paraId="2EC86164" w14:textId="559771AC" w:rsidR="000A3622" w:rsidRPr="000A3622" w:rsidRDefault="000A3622" w:rsidP="00CA53EF">
            <w:pPr>
              <w:rPr>
                <w:b/>
              </w:rPr>
            </w:pPr>
            <w:r w:rsidRPr="000A3622">
              <w:rPr>
                <w:b/>
              </w:rPr>
              <w:t>Description</w:t>
            </w:r>
          </w:p>
        </w:tc>
        <w:tc>
          <w:tcPr>
            <w:tcW w:w="1530" w:type="dxa"/>
          </w:tcPr>
          <w:p w14:paraId="1D55C7C8" w14:textId="74451E2D" w:rsidR="000A3622" w:rsidRPr="000A3622" w:rsidRDefault="000A3622" w:rsidP="00CA53EF">
            <w:pPr>
              <w:rPr>
                <w:b/>
              </w:rPr>
            </w:pPr>
            <w:r w:rsidRPr="000A3622">
              <w:rPr>
                <w:b/>
              </w:rPr>
              <w:t>Category</w:t>
            </w:r>
          </w:p>
        </w:tc>
      </w:tr>
      <w:tr w:rsidR="000A3622" w14:paraId="4B0708F0" w14:textId="77777777" w:rsidTr="000A3622">
        <w:tc>
          <w:tcPr>
            <w:tcW w:w="820" w:type="dxa"/>
          </w:tcPr>
          <w:p w14:paraId="637CE51D" w14:textId="7E67AF46" w:rsidR="000A3622" w:rsidRDefault="000A3622" w:rsidP="00CA53EF">
            <w:r>
              <w:t>3.9</w:t>
            </w:r>
          </w:p>
        </w:tc>
        <w:tc>
          <w:tcPr>
            <w:tcW w:w="6285" w:type="dxa"/>
          </w:tcPr>
          <w:p w14:paraId="496E858B" w14:textId="02FB5942" w:rsidR="000A3622" w:rsidRDefault="000A3622" w:rsidP="00CA53EF">
            <w:r w:rsidRPr="000A3622">
              <w:t xml:space="preserve">Wholesale price of domains in new </w:t>
            </w:r>
            <w:proofErr w:type="spellStart"/>
            <w:r w:rsidRPr="000A3622">
              <w:t>gTLD</w:t>
            </w:r>
            <w:proofErr w:type="spellEnd"/>
            <w:r w:rsidRPr="000A3622">
              <w:t xml:space="preserve"> domains offered to the general public.   TLD attributes should be noted with the data (i.e. open TLDs, closed keyword TLDs, country of operations, single registrant, etc.).</w:t>
            </w:r>
          </w:p>
        </w:tc>
        <w:tc>
          <w:tcPr>
            <w:tcW w:w="1530" w:type="dxa"/>
          </w:tcPr>
          <w:p w14:paraId="6EEB1164" w14:textId="6B87FF08" w:rsidR="000A3622" w:rsidRDefault="000A3622" w:rsidP="00CA53EF">
            <w:r>
              <w:t>Competition</w:t>
            </w:r>
          </w:p>
        </w:tc>
      </w:tr>
      <w:tr w:rsidR="000A3622" w14:paraId="5229979C" w14:textId="77777777" w:rsidTr="000A3622">
        <w:tc>
          <w:tcPr>
            <w:tcW w:w="820" w:type="dxa"/>
          </w:tcPr>
          <w:p w14:paraId="67EEB055" w14:textId="6ABC137A" w:rsidR="000A3622" w:rsidRDefault="000A3622" w:rsidP="000A3622">
            <w:r>
              <w:t>3.10</w:t>
            </w:r>
          </w:p>
        </w:tc>
        <w:tc>
          <w:tcPr>
            <w:tcW w:w="6285" w:type="dxa"/>
          </w:tcPr>
          <w:p w14:paraId="4AEFA237" w14:textId="0A345B23" w:rsidR="000A3622" w:rsidRDefault="000A3622" w:rsidP="000A3622">
            <w:r w:rsidRPr="000A3622">
              <w:t xml:space="preserve">Retail price of domains in new </w:t>
            </w:r>
            <w:proofErr w:type="spellStart"/>
            <w:r w:rsidRPr="000A3622">
              <w:t>gTLD</w:t>
            </w:r>
            <w:proofErr w:type="spellEnd"/>
            <w:r w:rsidRPr="000A3622">
              <w:t xml:space="preserve"> domains offered to the general public.   TLD attributes should be noted with the data (i.e. open TLDs, closed keyword TLDs, country of operations, single registrant, etc.).</w:t>
            </w:r>
          </w:p>
        </w:tc>
        <w:tc>
          <w:tcPr>
            <w:tcW w:w="1530" w:type="dxa"/>
          </w:tcPr>
          <w:p w14:paraId="3494F938" w14:textId="354644EB" w:rsidR="000A3622" w:rsidRDefault="000A3622" w:rsidP="000A3622">
            <w:r w:rsidRPr="00B342D3">
              <w:t>Competition</w:t>
            </w:r>
          </w:p>
        </w:tc>
      </w:tr>
      <w:tr w:rsidR="000A3622" w14:paraId="337F2DF2" w14:textId="77777777" w:rsidTr="000A3622">
        <w:tc>
          <w:tcPr>
            <w:tcW w:w="820" w:type="dxa"/>
          </w:tcPr>
          <w:p w14:paraId="20AA1357" w14:textId="4C4423AF" w:rsidR="000A3622" w:rsidRDefault="000A3622" w:rsidP="000A3622">
            <w:r>
              <w:t>3.11</w:t>
            </w:r>
          </w:p>
        </w:tc>
        <w:tc>
          <w:tcPr>
            <w:tcW w:w="6285" w:type="dxa"/>
          </w:tcPr>
          <w:p w14:paraId="37B4B803" w14:textId="3AD3D465" w:rsidR="000A3622" w:rsidRDefault="000A3622" w:rsidP="000A3622">
            <w:r w:rsidRPr="000A3622">
              <w:t>Qualitative assessment of non-price indicia of competition through innovations that benefit registrants and users, particularly for new markets served.</w:t>
            </w:r>
          </w:p>
        </w:tc>
        <w:tc>
          <w:tcPr>
            <w:tcW w:w="1530" w:type="dxa"/>
          </w:tcPr>
          <w:p w14:paraId="59A1E947" w14:textId="63CEB626" w:rsidR="000A3622" w:rsidRDefault="000A3622" w:rsidP="000A3622">
            <w:r w:rsidRPr="00B342D3">
              <w:t>Competition</w:t>
            </w:r>
          </w:p>
        </w:tc>
      </w:tr>
    </w:tbl>
    <w:p w14:paraId="3206BAC3" w14:textId="77777777" w:rsidR="00CA53EF" w:rsidRDefault="00CA53EF" w:rsidP="00CA53EF"/>
    <w:p w14:paraId="1F39AE21" w14:textId="77777777" w:rsidR="00DB071D" w:rsidRPr="00366440" w:rsidRDefault="00E479A3" w:rsidP="00602EFE">
      <w:pPr>
        <w:pStyle w:val="Heading2"/>
      </w:pPr>
      <w:bookmarkStart w:id="11" w:name="_Toc399424503"/>
      <w:r w:rsidRPr="00366440">
        <w:t>Remaining metrics</w:t>
      </w:r>
      <w:bookmarkEnd w:id="11"/>
    </w:p>
    <w:p w14:paraId="02D9E416" w14:textId="0E5E4866" w:rsidR="00DB071D" w:rsidRDefault="008D5C28" w:rsidP="00DD79A8">
      <w:r>
        <w:t>The remaining metrics were e</w:t>
      </w:r>
      <w:r w:rsidR="00E479A3" w:rsidRPr="00366440">
        <w:t>valuated based on feasibility, utility and cost-effectiveness</w:t>
      </w:r>
      <w:r>
        <w:t xml:space="preserve"> – the three axes for analysis prescribed in the IAG-CCT’s mandate from the ICANN Board. ICANN staff and IAG-CCT members worked together to research possible data sources, evaluate their applicability to the review and provide feedback to the review team. Most of these remaining metrics were adopted in the recommendation for inclusion in the review. The remaining metrics were broken into two categories: Those that would require multiple data sources that may not be sufficient to provide a complete picture, and those that were recommended for exclusion. </w:t>
      </w:r>
    </w:p>
    <w:p w14:paraId="7B36A6FE" w14:textId="1A3EF572" w:rsidR="000F16C2" w:rsidRDefault="000F16C2" w:rsidP="000F16C2">
      <w:pPr>
        <w:pStyle w:val="Heading3"/>
      </w:pPr>
      <w:bookmarkStart w:id="12" w:name="_Toc399424504"/>
      <w:r>
        <w:lastRenderedPageBreak/>
        <w:t>Table 4: Remaining metrics for evaluation</w:t>
      </w:r>
      <w:bookmarkEnd w:id="12"/>
    </w:p>
    <w:tbl>
      <w:tblPr>
        <w:tblStyle w:val="TableGrid"/>
        <w:tblW w:w="0" w:type="auto"/>
        <w:tblLook w:val="04A0" w:firstRow="1" w:lastRow="0" w:firstColumn="1" w:lastColumn="0" w:noHBand="0" w:noVBand="1"/>
      </w:tblPr>
      <w:tblGrid>
        <w:gridCol w:w="820"/>
        <w:gridCol w:w="3858"/>
        <w:gridCol w:w="3328"/>
        <w:gridCol w:w="1344"/>
      </w:tblGrid>
      <w:tr w:rsidR="000A3622" w14:paraId="75D771F8" w14:textId="77777777" w:rsidTr="000A3622">
        <w:tc>
          <w:tcPr>
            <w:tcW w:w="820" w:type="dxa"/>
          </w:tcPr>
          <w:p w14:paraId="073B40D5" w14:textId="44AD5784" w:rsidR="000A3622" w:rsidRPr="000A3622" w:rsidRDefault="000A3622" w:rsidP="00DD79A8">
            <w:pPr>
              <w:rPr>
                <w:b/>
              </w:rPr>
            </w:pPr>
            <w:r w:rsidRPr="000A3622">
              <w:rPr>
                <w:b/>
              </w:rPr>
              <w:t>Metric</w:t>
            </w:r>
          </w:p>
        </w:tc>
        <w:tc>
          <w:tcPr>
            <w:tcW w:w="3858" w:type="dxa"/>
          </w:tcPr>
          <w:p w14:paraId="0732EC32" w14:textId="0329537C" w:rsidR="000A3622" w:rsidRPr="000A3622" w:rsidRDefault="000A3622" w:rsidP="00DD79A8">
            <w:pPr>
              <w:rPr>
                <w:b/>
              </w:rPr>
            </w:pPr>
            <w:r w:rsidRPr="000A3622">
              <w:rPr>
                <w:b/>
              </w:rPr>
              <w:t>Description</w:t>
            </w:r>
          </w:p>
        </w:tc>
        <w:tc>
          <w:tcPr>
            <w:tcW w:w="3328" w:type="dxa"/>
          </w:tcPr>
          <w:p w14:paraId="479BF236" w14:textId="63746328" w:rsidR="000A3622" w:rsidRPr="000A3622" w:rsidRDefault="000A3622" w:rsidP="00DD79A8">
            <w:pPr>
              <w:rPr>
                <w:b/>
              </w:rPr>
            </w:pPr>
            <w:r w:rsidRPr="000A3622">
              <w:rPr>
                <w:b/>
              </w:rPr>
              <w:t>Data source/considerations</w:t>
            </w:r>
          </w:p>
        </w:tc>
        <w:tc>
          <w:tcPr>
            <w:tcW w:w="1344" w:type="dxa"/>
          </w:tcPr>
          <w:p w14:paraId="44A7D65C" w14:textId="030CEEB2" w:rsidR="000A3622" w:rsidRPr="000A3622" w:rsidRDefault="000A3622" w:rsidP="00DD79A8">
            <w:pPr>
              <w:rPr>
                <w:b/>
              </w:rPr>
            </w:pPr>
            <w:r w:rsidRPr="000A3622">
              <w:rPr>
                <w:b/>
              </w:rPr>
              <w:t>Category</w:t>
            </w:r>
          </w:p>
        </w:tc>
      </w:tr>
      <w:tr w:rsidR="000A3622" w14:paraId="5418CC5F" w14:textId="77777777" w:rsidTr="000A3622">
        <w:tc>
          <w:tcPr>
            <w:tcW w:w="820" w:type="dxa"/>
          </w:tcPr>
          <w:p w14:paraId="653C1C2C" w14:textId="3F88C983" w:rsidR="000A3622" w:rsidRDefault="000A3622" w:rsidP="00DD79A8">
            <w:r>
              <w:t>1.5</w:t>
            </w:r>
          </w:p>
        </w:tc>
        <w:tc>
          <w:tcPr>
            <w:tcW w:w="3858" w:type="dxa"/>
          </w:tcPr>
          <w:p w14:paraId="4E119F2C" w14:textId="410E5624" w:rsidR="000A3622" w:rsidRDefault="00264A26" w:rsidP="00DD79A8">
            <w:r w:rsidRPr="00264A26">
              <w:t>% Uptime for Registrar services such as WHOIS, contact info, and complaints, assuming that SLAs are established for these measures in the new RAA.</w:t>
            </w:r>
          </w:p>
        </w:tc>
        <w:tc>
          <w:tcPr>
            <w:tcW w:w="3328" w:type="dxa"/>
          </w:tcPr>
          <w:p w14:paraId="15143700" w14:textId="09BC5C58" w:rsidR="000A3622" w:rsidRDefault="00264A26" w:rsidP="00264A26">
            <w:r>
              <w:t>Internal, technical services and RAAs, dependent upon established SLAs</w:t>
            </w:r>
          </w:p>
        </w:tc>
        <w:tc>
          <w:tcPr>
            <w:tcW w:w="1344" w:type="dxa"/>
          </w:tcPr>
          <w:p w14:paraId="438EB093" w14:textId="1A2F58BD" w:rsidR="000A3622" w:rsidRDefault="00264A26" w:rsidP="00DD79A8">
            <w:r>
              <w:t>Trust</w:t>
            </w:r>
          </w:p>
        </w:tc>
      </w:tr>
      <w:tr w:rsidR="000A3622" w14:paraId="062C4D7E" w14:textId="77777777" w:rsidTr="000A3622">
        <w:tc>
          <w:tcPr>
            <w:tcW w:w="820" w:type="dxa"/>
          </w:tcPr>
          <w:p w14:paraId="5665319A" w14:textId="7DA789F1" w:rsidR="000A3622" w:rsidRDefault="000A3622" w:rsidP="00DD79A8">
            <w:r>
              <w:t>1.11</w:t>
            </w:r>
          </w:p>
        </w:tc>
        <w:tc>
          <w:tcPr>
            <w:tcW w:w="3858" w:type="dxa"/>
          </w:tcPr>
          <w:p w14:paraId="032CB9AA" w14:textId="220DFA38" w:rsidR="000A3622" w:rsidRDefault="00264A26" w:rsidP="00264A26">
            <w:r>
              <w:t xml:space="preserve">Quantity of intellectual property claims and cost of domain name policing relating to new </w:t>
            </w:r>
            <w:proofErr w:type="spellStart"/>
            <w:r>
              <w:t>gTLDs</w:t>
            </w:r>
            <w:proofErr w:type="spellEnd"/>
            <w:r>
              <w:t xml:space="preserve">. Relative incidence of IP claims made in good faith should be measured in 3 areas: IP claims against registrants regarding second level domains in new </w:t>
            </w:r>
            <w:proofErr w:type="spellStart"/>
            <w:r>
              <w:t>gLTDs</w:t>
            </w:r>
            <w:proofErr w:type="spellEnd"/>
            <w:r>
              <w:t xml:space="preserve">; IP claims against registrars regarding Second level domains in new </w:t>
            </w:r>
            <w:proofErr w:type="spellStart"/>
            <w:r>
              <w:t>gTLDs</w:t>
            </w:r>
            <w:proofErr w:type="spellEnd"/>
            <w:r>
              <w:t xml:space="preserve">; IP claims against new </w:t>
            </w:r>
            <w:proofErr w:type="spellStart"/>
            <w:r>
              <w:t>gTLD</w:t>
            </w:r>
            <w:proofErr w:type="spellEnd"/>
            <w:r>
              <w:t xml:space="preserve"> registries regarding second level domains and TLDs. Quantity of second level domains acquired because of infringement or other violations of IP rights of acquiring parties; and Cost of domain name policing and enforcement efforts by IP owners.</w:t>
            </w:r>
          </w:p>
        </w:tc>
        <w:tc>
          <w:tcPr>
            <w:tcW w:w="3328" w:type="dxa"/>
          </w:tcPr>
          <w:p w14:paraId="65DB64A1" w14:textId="436E04D5" w:rsidR="000A3622" w:rsidRDefault="00264A26" w:rsidP="00CA226D">
            <w:r>
              <w:t>External, IAG-CCT members exploring feasibility with International Trademark Association (INTA</w:t>
            </w:r>
            <w:r w:rsidR="00CA226D">
              <w:t>,</w:t>
            </w:r>
            <w:r>
              <w:t xml:space="preserve">) </w:t>
            </w:r>
            <w:r w:rsidR="00CA226D">
              <w:t>which has expressed an interesting in polling</w:t>
            </w:r>
            <w:r>
              <w:t xml:space="preserve"> their members</w:t>
            </w:r>
            <w:r w:rsidR="00CA226D">
              <w:t xml:space="preserve"> on this topic</w:t>
            </w:r>
            <w:r>
              <w:t xml:space="preserve">. Subject to some definition of terms, such as which costs would be included, whether these are internal or external (in-house vs. outside counsel.) </w:t>
            </w:r>
          </w:p>
        </w:tc>
        <w:tc>
          <w:tcPr>
            <w:tcW w:w="1344" w:type="dxa"/>
          </w:tcPr>
          <w:p w14:paraId="2CB06556" w14:textId="48D76942" w:rsidR="000A3622" w:rsidRDefault="00264A26" w:rsidP="00DD79A8">
            <w:r>
              <w:t>Trust</w:t>
            </w:r>
          </w:p>
        </w:tc>
      </w:tr>
      <w:tr w:rsidR="000A3622" w14:paraId="33646DED" w14:textId="77777777" w:rsidTr="000A3622">
        <w:tc>
          <w:tcPr>
            <w:tcW w:w="820" w:type="dxa"/>
          </w:tcPr>
          <w:p w14:paraId="6CA5858E" w14:textId="1F63DD36" w:rsidR="000A3622" w:rsidRDefault="000A3622" w:rsidP="00DD79A8">
            <w:r>
              <w:t>1.13</w:t>
            </w:r>
          </w:p>
        </w:tc>
        <w:tc>
          <w:tcPr>
            <w:tcW w:w="3858" w:type="dxa"/>
          </w:tcPr>
          <w:p w14:paraId="25018DED" w14:textId="390A75BA" w:rsidR="000A3622" w:rsidRDefault="00EE7BC3" w:rsidP="00DD79A8">
            <w:r w:rsidRPr="00EE7BC3">
              <w:t>Quantity of Compliance Concerns regarding Applicable National Laws, including reported data security breaches.</w:t>
            </w:r>
          </w:p>
        </w:tc>
        <w:tc>
          <w:tcPr>
            <w:tcW w:w="3328" w:type="dxa"/>
          </w:tcPr>
          <w:p w14:paraId="47AE81F5" w14:textId="615340B4" w:rsidR="000A3622" w:rsidRDefault="00EE7BC3" w:rsidP="00DD79A8">
            <w:r>
              <w:t xml:space="preserve">Internal, compliance team. Data security breaches are tracked, but not concerns related to applicable national laws. Rephrased to read: Quantity of compliance concerns regarding data security breaches. </w:t>
            </w:r>
          </w:p>
        </w:tc>
        <w:tc>
          <w:tcPr>
            <w:tcW w:w="1344" w:type="dxa"/>
          </w:tcPr>
          <w:p w14:paraId="0CBC6B13" w14:textId="51E614F4" w:rsidR="000A3622" w:rsidRDefault="00EE7BC3" w:rsidP="00DD79A8">
            <w:r>
              <w:t>Trust</w:t>
            </w:r>
          </w:p>
        </w:tc>
      </w:tr>
      <w:tr w:rsidR="00EE7BC3" w14:paraId="01F22A78" w14:textId="77777777" w:rsidTr="000A3622">
        <w:tc>
          <w:tcPr>
            <w:tcW w:w="820" w:type="dxa"/>
          </w:tcPr>
          <w:p w14:paraId="0AEDB101" w14:textId="4253DECA" w:rsidR="00EE7BC3" w:rsidRDefault="00EE7BC3" w:rsidP="00DD79A8">
            <w:r>
              <w:t>1.14</w:t>
            </w:r>
          </w:p>
        </w:tc>
        <w:tc>
          <w:tcPr>
            <w:tcW w:w="3858" w:type="dxa"/>
          </w:tcPr>
          <w:p w14:paraId="5BAC2890" w14:textId="68353D20" w:rsidR="00EE7BC3" w:rsidRDefault="00EE7BC3" w:rsidP="00EE7BC3">
            <w:r w:rsidRPr="00EE7BC3">
              <w:t xml:space="preserve">Quantity and relative incidence of </w:t>
            </w:r>
            <w:r>
              <w:t>d</w:t>
            </w:r>
            <w:r w:rsidRPr="00EE7BC3">
              <w:t xml:space="preserve">omain </w:t>
            </w:r>
            <w:r>
              <w:t>t</w:t>
            </w:r>
            <w:r w:rsidRPr="00EE7BC3">
              <w:t>akedowns.</w:t>
            </w:r>
          </w:p>
        </w:tc>
        <w:tc>
          <w:tcPr>
            <w:tcW w:w="3328" w:type="dxa"/>
          </w:tcPr>
          <w:p w14:paraId="769CF4CD" w14:textId="5D76D0DD" w:rsidR="00EE7BC3" w:rsidRDefault="00EE7BC3" w:rsidP="00DD79A8">
            <w:r>
              <w:t>External, will require reporting from registries</w:t>
            </w:r>
          </w:p>
        </w:tc>
        <w:tc>
          <w:tcPr>
            <w:tcW w:w="1344" w:type="dxa"/>
          </w:tcPr>
          <w:p w14:paraId="7E684A2A" w14:textId="3237843B" w:rsidR="00EE7BC3" w:rsidRDefault="00EE7BC3" w:rsidP="00DD79A8">
            <w:r>
              <w:t>Trust</w:t>
            </w:r>
          </w:p>
        </w:tc>
      </w:tr>
      <w:tr w:rsidR="00EE7BC3" w14:paraId="02B7BDDA" w14:textId="77777777" w:rsidTr="000A3622">
        <w:tc>
          <w:tcPr>
            <w:tcW w:w="820" w:type="dxa"/>
          </w:tcPr>
          <w:p w14:paraId="140380C5" w14:textId="16D88C06" w:rsidR="00EE7BC3" w:rsidRDefault="00EE7BC3" w:rsidP="00DD79A8">
            <w:r>
              <w:t>1.15</w:t>
            </w:r>
          </w:p>
        </w:tc>
        <w:tc>
          <w:tcPr>
            <w:tcW w:w="3858" w:type="dxa"/>
          </w:tcPr>
          <w:p w14:paraId="656FCF98" w14:textId="32C391A3" w:rsidR="00EE7BC3" w:rsidRDefault="00EE7BC3" w:rsidP="00DD79A8">
            <w:r w:rsidRPr="00EE7BC3">
              <w:t xml:space="preserve">Quantity and relative incidence of spam from domains in new </w:t>
            </w:r>
            <w:proofErr w:type="spellStart"/>
            <w:r w:rsidRPr="00EE7BC3">
              <w:t>gTLDs</w:t>
            </w:r>
            <w:proofErr w:type="spellEnd"/>
            <w:r w:rsidRPr="00EE7BC3">
              <w:t>, which could be measured via specialized email addresses and methodologies.</w:t>
            </w:r>
          </w:p>
        </w:tc>
        <w:tc>
          <w:tcPr>
            <w:tcW w:w="3328" w:type="dxa"/>
          </w:tcPr>
          <w:p w14:paraId="0D7BE5BF" w14:textId="5D69CC93" w:rsidR="00EE7BC3" w:rsidRDefault="000D2051" w:rsidP="00DD79A8">
            <w:r>
              <w:t xml:space="preserve">External, multiple sources will likely be required to capture a comprehensive picture of abusive activity in the DNS. Possible sources include the Anti-Phishing Working Group, </w:t>
            </w:r>
            <w:proofErr w:type="spellStart"/>
            <w:r>
              <w:t>Surbl</w:t>
            </w:r>
            <w:proofErr w:type="spellEnd"/>
            <w:r>
              <w:t xml:space="preserve">, </w:t>
            </w:r>
            <w:proofErr w:type="spellStart"/>
            <w:r>
              <w:t>Spamhaus</w:t>
            </w:r>
            <w:proofErr w:type="spellEnd"/>
            <w:r>
              <w:t xml:space="preserve"> and others.</w:t>
            </w:r>
          </w:p>
        </w:tc>
        <w:tc>
          <w:tcPr>
            <w:tcW w:w="1344" w:type="dxa"/>
          </w:tcPr>
          <w:p w14:paraId="65297699" w14:textId="3ED9FF44" w:rsidR="00EE7BC3" w:rsidRDefault="000D2051" w:rsidP="00DD79A8">
            <w:r>
              <w:t>Trust</w:t>
            </w:r>
          </w:p>
        </w:tc>
      </w:tr>
      <w:tr w:rsidR="000D2051" w14:paraId="2E90485F" w14:textId="77777777" w:rsidTr="000A3622">
        <w:tc>
          <w:tcPr>
            <w:tcW w:w="820" w:type="dxa"/>
          </w:tcPr>
          <w:p w14:paraId="73891FDD" w14:textId="13B6E37F" w:rsidR="000D2051" w:rsidRDefault="000D2051" w:rsidP="000D2051">
            <w:r>
              <w:t>1.16</w:t>
            </w:r>
          </w:p>
        </w:tc>
        <w:tc>
          <w:tcPr>
            <w:tcW w:w="3858" w:type="dxa"/>
          </w:tcPr>
          <w:p w14:paraId="6E985353" w14:textId="74C94394" w:rsidR="000D2051" w:rsidRDefault="000D2051" w:rsidP="000D2051">
            <w:r w:rsidRPr="00EE7BC3">
              <w:t xml:space="preserve">Quantity and relative incidence of fraudulent transactions caused by phishing sites in new </w:t>
            </w:r>
            <w:proofErr w:type="spellStart"/>
            <w:r w:rsidRPr="00EE7BC3">
              <w:t>gTLDs</w:t>
            </w:r>
            <w:proofErr w:type="spellEnd"/>
            <w:r w:rsidRPr="00EE7BC3">
              <w:t>.</w:t>
            </w:r>
          </w:p>
        </w:tc>
        <w:tc>
          <w:tcPr>
            <w:tcW w:w="3328" w:type="dxa"/>
          </w:tcPr>
          <w:p w14:paraId="64C182AC" w14:textId="4E19E150" w:rsidR="000D2051" w:rsidRDefault="000D2051" w:rsidP="000D2051">
            <w:r>
              <w:t xml:space="preserve">See 1.15. </w:t>
            </w:r>
          </w:p>
        </w:tc>
        <w:tc>
          <w:tcPr>
            <w:tcW w:w="1344" w:type="dxa"/>
          </w:tcPr>
          <w:p w14:paraId="6EBEF37F" w14:textId="76419B40" w:rsidR="000D2051" w:rsidRDefault="000D2051" w:rsidP="000D2051">
            <w:r w:rsidRPr="00116144">
              <w:t>Trust</w:t>
            </w:r>
          </w:p>
        </w:tc>
      </w:tr>
      <w:tr w:rsidR="000D2051" w14:paraId="350B5BB2" w14:textId="77777777" w:rsidTr="000A3622">
        <w:tc>
          <w:tcPr>
            <w:tcW w:w="820" w:type="dxa"/>
          </w:tcPr>
          <w:p w14:paraId="373791C6" w14:textId="6A424B56" w:rsidR="000D2051" w:rsidRDefault="000D2051" w:rsidP="000D2051">
            <w:r>
              <w:t>1.17</w:t>
            </w:r>
          </w:p>
        </w:tc>
        <w:tc>
          <w:tcPr>
            <w:tcW w:w="3858" w:type="dxa"/>
          </w:tcPr>
          <w:p w14:paraId="69E018FE" w14:textId="65BD1C6B" w:rsidR="000D2051" w:rsidRDefault="000D2051" w:rsidP="000D2051">
            <w:r w:rsidRPr="00EE7BC3">
              <w:t xml:space="preserve">Quantity and relative incidence of detected phishing sites using new </w:t>
            </w:r>
            <w:proofErr w:type="spellStart"/>
            <w:r w:rsidRPr="00EE7BC3">
              <w:t>gTLDs</w:t>
            </w:r>
            <w:proofErr w:type="spellEnd"/>
          </w:p>
        </w:tc>
        <w:tc>
          <w:tcPr>
            <w:tcW w:w="3328" w:type="dxa"/>
          </w:tcPr>
          <w:p w14:paraId="552BADBA" w14:textId="35C8D668" w:rsidR="000D2051" w:rsidRDefault="000D2051" w:rsidP="000D2051">
            <w:r w:rsidRPr="00062641">
              <w:t xml:space="preserve">See 1.15. </w:t>
            </w:r>
          </w:p>
        </w:tc>
        <w:tc>
          <w:tcPr>
            <w:tcW w:w="1344" w:type="dxa"/>
          </w:tcPr>
          <w:p w14:paraId="07B4902A" w14:textId="4DEDD0DF" w:rsidR="000D2051" w:rsidRDefault="000D2051" w:rsidP="000D2051">
            <w:r w:rsidRPr="00116144">
              <w:t>Trust</w:t>
            </w:r>
          </w:p>
        </w:tc>
      </w:tr>
      <w:tr w:rsidR="000D2051" w14:paraId="6AB73C5D" w14:textId="77777777" w:rsidTr="000A3622">
        <w:tc>
          <w:tcPr>
            <w:tcW w:w="820" w:type="dxa"/>
          </w:tcPr>
          <w:p w14:paraId="2ED9F584" w14:textId="6791AC41" w:rsidR="000D2051" w:rsidRDefault="000D2051" w:rsidP="000D2051">
            <w:r>
              <w:t>1.18</w:t>
            </w:r>
          </w:p>
        </w:tc>
        <w:tc>
          <w:tcPr>
            <w:tcW w:w="3858" w:type="dxa"/>
          </w:tcPr>
          <w:p w14:paraId="7AAC8950" w14:textId="35F3AF97" w:rsidR="000D2051" w:rsidRDefault="000D2051" w:rsidP="000D2051">
            <w:r w:rsidRPr="00EE7BC3">
              <w:t xml:space="preserve">Quantity and relative incidence of detected botnets and malware distributed using new </w:t>
            </w:r>
            <w:proofErr w:type="spellStart"/>
            <w:r w:rsidRPr="00EE7BC3">
              <w:t>gTLDs</w:t>
            </w:r>
            <w:proofErr w:type="spellEnd"/>
            <w:r w:rsidRPr="00EE7BC3">
              <w:t>.</w:t>
            </w:r>
          </w:p>
        </w:tc>
        <w:tc>
          <w:tcPr>
            <w:tcW w:w="3328" w:type="dxa"/>
          </w:tcPr>
          <w:p w14:paraId="481CC363" w14:textId="74D61CE9" w:rsidR="000D2051" w:rsidRDefault="000D2051" w:rsidP="000D2051">
            <w:r w:rsidRPr="00062641">
              <w:t xml:space="preserve">See 1.15. </w:t>
            </w:r>
          </w:p>
        </w:tc>
        <w:tc>
          <w:tcPr>
            <w:tcW w:w="1344" w:type="dxa"/>
          </w:tcPr>
          <w:p w14:paraId="12809A97" w14:textId="3772E722" w:rsidR="000D2051" w:rsidRDefault="000D2051" w:rsidP="000D2051">
            <w:r w:rsidRPr="00116144">
              <w:t>Trust</w:t>
            </w:r>
          </w:p>
        </w:tc>
      </w:tr>
      <w:tr w:rsidR="000A3622" w14:paraId="0653BB25" w14:textId="77777777" w:rsidTr="000A3622">
        <w:tc>
          <w:tcPr>
            <w:tcW w:w="820" w:type="dxa"/>
          </w:tcPr>
          <w:p w14:paraId="1293ADC1" w14:textId="5A8A2429" w:rsidR="000A3622" w:rsidRDefault="000A3622" w:rsidP="00DD79A8">
            <w:r>
              <w:lastRenderedPageBreak/>
              <w:t>1.21</w:t>
            </w:r>
          </w:p>
        </w:tc>
        <w:tc>
          <w:tcPr>
            <w:tcW w:w="3858" w:type="dxa"/>
          </w:tcPr>
          <w:p w14:paraId="467D8327" w14:textId="24DE6FB9" w:rsidR="000A3622" w:rsidRDefault="000E3DAE" w:rsidP="00DD79A8">
            <w:r w:rsidRPr="000E3DAE">
              <w:t xml:space="preserve">Relative incidence of errors in new </w:t>
            </w:r>
            <w:proofErr w:type="spellStart"/>
            <w:r w:rsidRPr="000E3DAE">
              <w:t>gTLD</w:t>
            </w:r>
            <w:proofErr w:type="spellEnd"/>
            <w:r w:rsidRPr="000E3DAE">
              <w:t xml:space="preserve"> zones. </w:t>
            </w:r>
          </w:p>
        </w:tc>
        <w:tc>
          <w:tcPr>
            <w:tcW w:w="3328" w:type="dxa"/>
          </w:tcPr>
          <w:p w14:paraId="581D584B" w14:textId="3A7E54ED" w:rsidR="000A3622" w:rsidRDefault="000E3DAE" w:rsidP="00DD79A8">
            <w:r>
              <w:t xml:space="preserve">Internal, technical services team. Will require some clearer definition of “errors.” </w:t>
            </w:r>
          </w:p>
        </w:tc>
        <w:tc>
          <w:tcPr>
            <w:tcW w:w="1344" w:type="dxa"/>
          </w:tcPr>
          <w:p w14:paraId="78D10903" w14:textId="1B8CE8FC" w:rsidR="000A3622" w:rsidRDefault="000E3DAE" w:rsidP="00DD79A8">
            <w:r>
              <w:t>Trust</w:t>
            </w:r>
          </w:p>
        </w:tc>
      </w:tr>
      <w:tr w:rsidR="000A3622" w14:paraId="6703B555" w14:textId="77777777" w:rsidTr="000A3622">
        <w:tc>
          <w:tcPr>
            <w:tcW w:w="820" w:type="dxa"/>
          </w:tcPr>
          <w:p w14:paraId="4E752A3C" w14:textId="50D1B635" w:rsidR="000A3622" w:rsidRDefault="000A3622" w:rsidP="00DD79A8">
            <w:r>
              <w:t>2.8</w:t>
            </w:r>
          </w:p>
        </w:tc>
        <w:tc>
          <w:tcPr>
            <w:tcW w:w="3858" w:type="dxa"/>
          </w:tcPr>
          <w:p w14:paraId="7FE22BFD" w14:textId="7578C754" w:rsidR="000A3622" w:rsidRDefault="006A1696" w:rsidP="00DD79A8">
            <w:r w:rsidRPr="006A1696">
              <w:t xml:space="preserve">Measure share of Sunrise registrations &amp; domain blocks to total registrations in each new </w:t>
            </w:r>
            <w:proofErr w:type="spellStart"/>
            <w:r w:rsidRPr="006A1696">
              <w:t>gTLD</w:t>
            </w:r>
            <w:proofErr w:type="spellEnd"/>
            <w:r w:rsidRPr="006A1696">
              <w:t>.</w:t>
            </w:r>
          </w:p>
        </w:tc>
        <w:tc>
          <w:tcPr>
            <w:tcW w:w="3328" w:type="dxa"/>
          </w:tcPr>
          <w:p w14:paraId="22BE9434" w14:textId="3583CDB7" w:rsidR="000A3622" w:rsidRDefault="006A1696" w:rsidP="00DD79A8">
            <w:r>
              <w:t xml:space="preserve">Internal, may require some data from registries. </w:t>
            </w:r>
          </w:p>
        </w:tc>
        <w:tc>
          <w:tcPr>
            <w:tcW w:w="1344" w:type="dxa"/>
          </w:tcPr>
          <w:p w14:paraId="04485C25" w14:textId="1C77A40C" w:rsidR="000A3622" w:rsidRDefault="006A1696" w:rsidP="00DD79A8">
            <w:r>
              <w:t>Choice</w:t>
            </w:r>
          </w:p>
        </w:tc>
      </w:tr>
      <w:tr w:rsidR="000A3622" w14:paraId="7C155780" w14:textId="77777777" w:rsidTr="000A3622">
        <w:tc>
          <w:tcPr>
            <w:tcW w:w="820" w:type="dxa"/>
          </w:tcPr>
          <w:p w14:paraId="13861890" w14:textId="1847F562" w:rsidR="000A3622" w:rsidRDefault="000A3622" w:rsidP="00DD79A8">
            <w:r>
              <w:t>2.9</w:t>
            </w:r>
          </w:p>
        </w:tc>
        <w:tc>
          <w:tcPr>
            <w:tcW w:w="3858" w:type="dxa"/>
          </w:tcPr>
          <w:p w14:paraId="1A68FEAB" w14:textId="29C26D80" w:rsidR="000A3622" w:rsidRDefault="00D80091" w:rsidP="00DD79A8">
            <w:r w:rsidRPr="00D80091">
              <w:t xml:space="preserve">Relative share of new </w:t>
            </w:r>
            <w:proofErr w:type="spellStart"/>
            <w:r w:rsidRPr="00D80091">
              <w:t>gTLD</w:t>
            </w:r>
            <w:proofErr w:type="spellEnd"/>
            <w:r w:rsidRPr="00D80091">
              <w:t xml:space="preserve"> registrations already having the same domain in legacy TLDs prior to expansion. For this measure, count all registrations that redirect to domains in legacy TLDs. Open </w:t>
            </w:r>
            <w:proofErr w:type="spellStart"/>
            <w:r w:rsidRPr="00D80091">
              <w:t>gTLDs</w:t>
            </w:r>
            <w:proofErr w:type="spellEnd"/>
            <w:r w:rsidRPr="00D80091">
              <w:t xml:space="preserve"> only.</w:t>
            </w:r>
          </w:p>
        </w:tc>
        <w:tc>
          <w:tcPr>
            <w:tcW w:w="3328" w:type="dxa"/>
          </w:tcPr>
          <w:p w14:paraId="48FE9BFF" w14:textId="7AA4B5EC" w:rsidR="000A3622" w:rsidRDefault="00D80091" w:rsidP="00DD79A8">
            <w:r>
              <w:t xml:space="preserve">Internal, technical services team. The team can query redirects in the system to SLDs that match between legacy TLDs and new </w:t>
            </w:r>
            <w:proofErr w:type="spellStart"/>
            <w:r>
              <w:t>gTLDs</w:t>
            </w:r>
            <w:proofErr w:type="spellEnd"/>
            <w:r>
              <w:t xml:space="preserve">. </w:t>
            </w:r>
          </w:p>
        </w:tc>
        <w:tc>
          <w:tcPr>
            <w:tcW w:w="1344" w:type="dxa"/>
          </w:tcPr>
          <w:p w14:paraId="6AB3501D" w14:textId="1BE40F6E" w:rsidR="000A3622" w:rsidRDefault="00D80091" w:rsidP="00DD79A8">
            <w:r>
              <w:t>Choice</w:t>
            </w:r>
          </w:p>
        </w:tc>
      </w:tr>
      <w:tr w:rsidR="000A3622" w14:paraId="17AE9B80" w14:textId="77777777" w:rsidTr="000A3622">
        <w:tc>
          <w:tcPr>
            <w:tcW w:w="820" w:type="dxa"/>
          </w:tcPr>
          <w:p w14:paraId="59CACA13" w14:textId="2D722B83" w:rsidR="000A3622" w:rsidRDefault="000A3622" w:rsidP="000A3622">
            <w:r>
              <w:t>2.10</w:t>
            </w:r>
          </w:p>
        </w:tc>
        <w:tc>
          <w:tcPr>
            <w:tcW w:w="3858" w:type="dxa"/>
          </w:tcPr>
          <w:p w14:paraId="53B72F6A" w14:textId="1DA71083" w:rsidR="000A3622" w:rsidRDefault="00D80091" w:rsidP="00D80091">
            <w:r w:rsidRPr="00D80091">
              <w:t xml:space="preserve">Automated analysis or online survey to determine the number of “duplicate” registrations in new </w:t>
            </w:r>
            <w:proofErr w:type="spellStart"/>
            <w:r w:rsidRPr="00D80091">
              <w:t>gTLDs</w:t>
            </w:r>
            <w:proofErr w:type="spellEnd"/>
            <w:r w:rsidRPr="00D80091">
              <w:t xml:space="preserve">. For purposes of this measure, "duplicate" registrations are those where registrant reports having (and still maintaining) the same domain name in a legacy </w:t>
            </w:r>
            <w:proofErr w:type="spellStart"/>
            <w:r w:rsidRPr="00D80091">
              <w:t>gTLD</w:t>
            </w:r>
            <w:proofErr w:type="spellEnd"/>
            <w:r w:rsidRPr="00D80091">
              <w:t xml:space="preserve">. Open </w:t>
            </w:r>
            <w:proofErr w:type="spellStart"/>
            <w:r w:rsidRPr="00D80091">
              <w:t>gTLDs</w:t>
            </w:r>
            <w:proofErr w:type="spellEnd"/>
            <w:r w:rsidRPr="00D80091">
              <w:t xml:space="preserve"> only.</w:t>
            </w:r>
          </w:p>
        </w:tc>
        <w:tc>
          <w:tcPr>
            <w:tcW w:w="3328" w:type="dxa"/>
          </w:tcPr>
          <w:p w14:paraId="35A2E0A8" w14:textId="2EE87C51" w:rsidR="000A3622" w:rsidRDefault="00D80091" w:rsidP="000A3622">
            <w:r>
              <w:t xml:space="preserve">Internal, consumer survey results. 2.10 is related to 2.9 but may require survey results from a statistically significant sample of relevant registrants. </w:t>
            </w:r>
          </w:p>
        </w:tc>
        <w:tc>
          <w:tcPr>
            <w:tcW w:w="1344" w:type="dxa"/>
          </w:tcPr>
          <w:p w14:paraId="44915D21" w14:textId="1730A9A2" w:rsidR="000A3622" w:rsidRDefault="00D80091" w:rsidP="000A3622">
            <w:r>
              <w:t>Choice</w:t>
            </w:r>
          </w:p>
        </w:tc>
      </w:tr>
      <w:tr w:rsidR="000A3622" w14:paraId="26ECAFF2" w14:textId="77777777" w:rsidTr="000A3622">
        <w:tc>
          <w:tcPr>
            <w:tcW w:w="820" w:type="dxa"/>
          </w:tcPr>
          <w:p w14:paraId="20902F2E" w14:textId="0FFBFAD0" w:rsidR="000A3622" w:rsidRDefault="000A3622" w:rsidP="000A3622">
            <w:r>
              <w:t>2.14</w:t>
            </w:r>
          </w:p>
        </w:tc>
        <w:tc>
          <w:tcPr>
            <w:tcW w:w="3858" w:type="dxa"/>
          </w:tcPr>
          <w:p w14:paraId="566EBB98" w14:textId="06FD36E6" w:rsidR="000A3622" w:rsidRDefault="00D80091" w:rsidP="000A3622">
            <w:r w:rsidRPr="00D80091">
              <w:t xml:space="preserve">DNS traffic in new </w:t>
            </w:r>
            <w:proofErr w:type="spellStart"/>
            <w:r w:rsidRPr="00D80091">
              <w:t>gTLDs</w:t>
            </w:r>
            <w:proofErr w:type="spellEnd"/>
            <w:r w:rsidRPr="00D80091">
              <w:t xml:space="preserve"> should be compared to contemporary user traffic in legacy </w:t>
            </w:r>
            <w:proofErr w:type="spellStart"/>
            <w:r w:rsidRPr="00D80091">
              <w:t>gTLDs</w:t>
            </w:r>
            <w:proofErr w:type="spellEnd"/>
            <w:r w:rsidRPr="00D80091">
              <w:t>. DNS traffic is an indicator of trust, choice, and competition. If comprehensive traffic data is not available, sampling should be used.</w:t>
            </w:r>
          </w:p>
        </w:tc>
        <w:tc>
          <w:tcPr>
            <w:tcW w:w="3328" w:type="dxa"/>
          </w:tcPr>
          <w:p w14:paraId="711FA5C9" w14:textId="5FAE2461" w:rsidR="000A3622" w:rsidRDefault="00270441" w:rsidP="000A3622">
            <w:r>
              <w:t xml:space="preserve">External, registry reports, DNS traffic market research. Some of the data may be reported by registry operators, while some purchased data may be required for a more complete picture. </w:t>
            </w:r>
          </w:p>
        </w:tc>
        <w:tc>
          <w:tcPr>
            <w:tcW w:w="1344" w:type="dxa"/>
          </w:tcPr>
          <w:p w14:paraId="6627FB9D" w14:textId="3B2FD804" w:rsidR="000A3622" w:rsidRDefault="00D80091" w:rsidP="000A3622">
            <w:r>
              <w:t>Choice</w:t>
            </w:r>
          </w:p>
        </w:tc>
      </w:tr>
      <w:tr w:rsidR="000A3622" w14:paraId="69F7029F" w14:textId="77777777" w:rsidTr="000A3622">
        <w:tc>
          <w:tcPr>
            <w:tcW w:w="820" w:type="dxa"/>
          </w:tcPr>
          <w:p w14:paraId="33E46E3B" w14:textId="595AEA52" w:rsidR="000A3622" w:rsidRDefault="000A3622" w:rsidP="000A3622">
            <w:r>
              <w:t>3.7</w:t>
            </w:r>
          </w:p>
        </w:tc>
        <w:tc>
          <w:tcPr>
            <w:tcW w:w="3858" w:type="dxa"/>
          </w:tcPr>
          <w:p w14:paraId="5D65AE2A" w14:textId="75BDE071" w:rsidR="000A3622" w:rsidRDefault="00270441" w:rsidP="000A3622">
            <w:r w:rsidRPr="00270441">
              <w:t xml:space="preserve">To assess competitive impact of new </w:t>
            </w:r>
            <w:proofErr w:type="spellStart"/>
            <w:r w:rsidRPr="00270441">
              <w:t>gTLDs</w:t>
            </w:r>
            <w:proofErr w:type="spellEnd"/>
            <w:r w:rsidRPr="00270441">
              <w:t xml:space="preserve">, measure the quantity of second level registrations per </w:t>
            </w:r>
            <w:proofErr w:type="spellStart"/>
            <w:r w:rsidRPr="00270441">
              <w:t>gTLD</w:t>
            </w:r>
            <w:proofErr w:type="spellEnd"/>
            <w:r w:rsidRPr="00270441">
              <w:t xml:space="preserve"> and </w:t>
            </w:r>
            <w:proofErr w:type="spellStart"/>
            <w:r w:rsidRPr="00270441">
              <w:t>ccTLD</w:t>
            </w:r>
            <w:proofErr w:type="spellEnd"/>
            <w:r w:rsidRPr="00270441">
              <w:t xml:space="preserve"> on a weekly or other interval. TLD attributes should be noted with the data (i.e. open TLDs, closed keyword TLDs, registration, country of operations, single registrant, etc.).  </w:t>
            </w:r>
          </w:p>
        </w:tc>
        <w:tc>
          <w:tcPr>
            <w:tcW w:w="3328" w:type="dxa"/>
          </w:tcPr>
          <w:p w14:paraId="20D76E35" w14:textId="612D7359" w:rsidR="000A3622" w:rsidRDefault="004A6CD5" w:rsidP="000A3622">
            <w:r>
              <w:t xml:space="preserve">Internal, external, zone files. While </w:t>
            </w:r>
            <w:proofErr w:type="spellStart"/>
            <w:r>
              <w:t>gTLD</w:t>
            </w:r>
            <w:proofErr w:type="spellEnd"/>
            <w:r>
              <w:t xml:space="preserve"> zone file data is readily available, </w:t>
            </w:r>
            <w:proofErr w:type="spellStart"/>
            <w:r>
              <w:t>ccTLD</w:t>
            </w:r>
            <w:proofErr w:type="spellEnd"/>
            <w:r>
              <w:t xml:space="preserve"> data is not or may have use restrictions. This may limit the review team’s ability to comprehensively analyze the data. </w:t>
            </w:r>
          </w:p>
        </w:tc>
        <w:tc>
          <w:tcPr>
            <w:tcW w:w="1344" w:type="dxa"/>
          </w:tcPr>
          <w:p w14:paraId="03AB9EC8" w14:textId="3FFC23A8" w:rsidR="000A3622" w:rsidRDefault="00270441" w:rsidP="000A3622">
            <w:r>
              <w:t>Competition</w:t>
            </w:r>
          </w:p>
        </w:tc>
      </w:tr>
      <w:tr w:rsidR="000A3622" w14:paraId="52D77CB8" w14:textId="77777777" w:rsidTr="000A3622">
        <w:tc>
          <w:tcPr>
            <w:tcW w:w="820" w:type="dxa"/>
          </w:tcPr>
          <w:p w14:paraId="442C6ECB" w14:textId="0EEF3CE2" w:rsidR="000A3622" w:rsidRDefault="000A3622" w:rsidP="000A3622">
            <w:r>
              <w:t>3.8</w:t>
            </w:r>
          </w:p>
        </w:tc>
        <w:tc>
          <w:tcPr>
            <w:tcW w:w="3858" w:type="dxa"/>
          </w:tcPr>
          <w:p w14:paraId="77A34433" w14:textId="2B6588F1" w:rsidR="000A3622" w:rsidRDefault="00270441" w:rsidP="004A6CD5">
            <w:r w:rsidRPr="00270441">
              <w:t xml:space="preserve">Quantity of “unique” second level registrations in the new </w:t>
            </w:r>
            <w:proofErr w:type="spellStart"/>
            <w:r w:rsidRPr="00270441">
              <w:t>gTLD</w:t>
            </w:r>
            <w:proofErr w:type="spellEnd"/>
            <w:r w:rsidRPr="00270441">
              <w:t xml:space="preserve"> space where that same string does not appear as a registration in any other TLD on a weekly or other interval basis (data analyzed in conjunction with website traffic identified in </w:t>
            </w:r>
            <w:r w:rsidR="004A6CD5">
              <w:t>metric 2.14</w:t>
            </w:r>
            <w:r w:rsidRPr="00270441">
              <w:t xml:space="preserve">).  Open </w:t>
            </w:r>
            <w:proofErr w:type="spellStart"/>
            <w:r w:rsidRPr="00270441">
              <w:t>gTLDs</w:t>
            </w:r>
            <w:proofErr w:type="spellEnd"/>
            <w:r w:rsidRPr="00270441">
              <w:t xml:space="preserve"> only.</w:t>
            </w:r>
          </w:p>
        </w:tc>
        <w:tc>
          <w:tcPr>
            <w:tcW w:w="3328" w:type="dxa"/>
          </w:tcPr>
          <w:p w14:paraId="4D7C4C4B" w14:textId="714354E6" w:rsidR="000A3622" w:rsidRDefault="004A6CD5" w:rsidP="000A3622">
            <w:r>
              <w:t xml:space="preserve">See 2.14 and 3.7. </w:t>
            </w:r>
          </w:p>
        </w:tc>
        <w:tc>
          <w:tcPr>
            <w:tcW w:w="1344" w:type="dxa"/>
          </w:tcPr>
          <w:p w14:paraId="3487A526" w14:textId="46F0C1C4" w:rsidR="000A3622" w:rsidRDefault="00270441" w:rsidP="000A3622">
            <w:r>
              <w:t>Competition</w:t>
            </w:r>
          </w:p>
        </w:tc>
      </w:tr>
      <w:tr w:rsidR="000A3622" w14:paraId="33EFC8AB" w14:textId="77777777" w:rsidTr="000A3622">
        <w:tc>
          <w:tcPr>
            <w:tcW w:w="820" w:type="dxa"/>
          </w:tcPr>
          <w:p w14:paraId="2FD8777C" w14:textId="0AFF64ED" w:rsidR="000A3622" w:rsidRPr="00930593" w:rsidRDefault="000A3622" w:rsidP="000A3622">
            <w:r w:rsidRPr="00930593">
              <w:t>4.4</w:t>
            </w:r>
          </w:p>
        </w:tc>
        <w:tc>
          <w:tcPr>
            <w:tcW w:w="3858" w:type="dxa"/>
          </w:tcPr>
          <w:p w14:paraId="1E6CA551" w14:textId="75C5321F" w:rsidR="000A3622" w:rsidRPr="00930593" w:rsidRDefault="00B96ECC" w:rsidP="000A3622">
            <w:r w:rsidRPr="00930593">
              <w:t>Frequency of dead-end domains (registered but do not resolve)</w:t>
            </w:r>
          </w:p>
        </w:tc>
        <w:tc>
          <w:tcPr>
            <w:tcW w:w="3328" w:type="dxa"/>
          </w:tcPr>
          <w:p w14:paraId="490EE306" w14:textId="164EF3FB" w:rsidR="000A3622" w:rsidRDefault="00930593" w:rsidP="000A3622">
            <w:r>
              <w:t xml:space="preserve">Internal, technical services team. May require comparing zone files to </w:t>
            </w:r>
            <w:proofErr w:type="spellStart"/>
            <w:r>
              <w:t>Whois</w:t>
            </w:r>
            <w:proofErr w:type="spellEnd"/>
            <w:r>
              <w:t xml:space="preserve"> records. </w:t>
            </w:r>
          </w:p>
        </w:tc>
        <w:tc>
          <w:tcPr>
            <w:tcW w:w="1344" w:type="dxa"/>
          </w:tcPr>
          <w:p w14:paraId="5B284BC6" w14:textId="6DF2A73E" w:rsidR="000A3622" w:rsidRDefault="00930593" w:rsidP="000A3622">
            <w:r>
              <w:t>Trust</w:t>
            </w:r>
          </w:p>
        </w:tc>
      </w:tr>
      <w:tr w:rsidR="000A3622" w14:paraId="7E816284" w14:textId="77777777" w:rsidTr="000A3622">
        <w:tc>
          <w:tcPr>
            <w:tcW w:w="820" w:type="dxa"/>
          </w:tcPr>
          <w:p w14:paraId="10F20484" w14:textId="02CF7BC5" w:rsidR="000A3622" w:rsidRPr="00930593" w:rsidRDefault="000A3622" w:rsidP="000A3622">
            <w:r w:rsidRPr="00930593">
              <w:lastRenderedPageBreak/>
              <w:t>4.5</w:t>
            </w:r>
          </w:p>
        </w:tc>
        <w:tc>
          <w:tcPr>
            <w:tcW w:w="3858" w:type="dxa"/>
          </w:tcPr>
          <w:p w14:paraId="2FA3FEDE" w14:textId="5EE48F88" w:rsidR="000A3622" w:rsidRPr="00930593" w:rsidRDefault="00B96ECC" w:rsidP="000A3622">
            <w:r w:rsidRPr="00930593">
              <w:t>Numbers of complaints received by ICANN regarding improper use of domains</w:t>
            </w:r>
          </w:p>
        </w:tc>
        <w:tc>
          <w:tcPr>
            <w:tcW w:w="3328" w:type="dxa"/>
          </w:tcPr>
          <w:p w14:paraId="417545FE" w14:textId="24D1C422" w:rsidR="00930593" w:rsidRDefault="00930593" w:rsidP="000A3622">
            <w:r>
              <w:t>Internal, compliance team. Will require defining “improper use” with categories of compliance categories already tracked in system.</w:t>
            </w:r>
          </w:p>
        </w:tc>
        <w:tc>
          <w:tcPr>
            <w:tcW w:w="1344" w:type="dxa"/>
          </w:tcPr>
          <w:p w14:paraId="4B0AF5B8" w14:textId="1106E52B" w:rsidR="000A3622" w:rsidRDefault="00930593" w:rsidP="000A3622">
            <w:r>
              <w:t>Trust</w:t>
            </w:r>
          </w:p>
        </w:tc>
      </w:tr>
      <w:tr w:rsidR="00930593" w14:paraId="3AFFBAEB" w14:textId="77777777" w:rsidTr="000A3622">
        <w:tc>
          <w:tcPr>
            <w:tcW w:w="820" w:type="dxa"/>
          </w:tcPr>
          <w:p w14:paraId="1358612A" w14:textId="045736EE" w:rsidR="00930593" w:rsidRDefault="00930593" w:rsidP="00930593">
            <w:r>
              <w:t>5.2</w:t>
            </w:r>
          </w:p>
        </w:tc>
        <w:tc>
          <w:tcPr>
            <w:tcW w:w="3858" w:type="dxa"/>
          </w:tcPr>
          <w:p w14:paraId="4094378A" w14:textId="54F3095B" w:rsidR="00930593" w:rsidRDefault="00930593" w:rsidP="00930593">
            <w:r w:rsidRPr="00930593">
              <w:t>Growth in use of hosted pages for organizations (such as Facebook or Google+)</w:t>
            </w:r>
          </w:p>
        </w:tc>
        <w:tc>
          <w:tcPr>
            <w:tcW w:w="3328" w:type="dxa"/>
          </w:tcPr>
          <w:p w14:paraId="11237437" w14:textId="6778B911" w:rsidR="00930593" w:rsidRDefault="00930593" w:rsidP="00930593">
            <w:r>
              <w:t xml:space="preserve">External, market research. </w:t>
            </w:r>
            <w:r w:rsidR="001432D2">
              <w:t xml:space="preserve">May want to consider in parallel with survey metrics related to use of tools that hide URLs. </w:t>
            </w:r>
          </w:p>
        </w:tc>
        <w:tc>
          <w:tcPr>
            <w:tcW w:w="1344" w:type="dxa"/>
          </w:tcPr>
          <w:p w14:paraId="182E159C" w14:textId="1512D981" w:rsidR="00930593" w:rsidRDefault="00930593" w:rsidP="00930593">
            <w:r w:rsidRPr="00963EEB">
              <w:t>Trust</w:t>
            </w:r>
          </w:p>
        </w:tc>
      </w:tr>
      <w:tr w:rsidR="00930593" w14:paraId="1DD29F6E" w14:textId="77777777" w:rsidTr="000A3622">
        <w:tc>
          <w:tcPr>
            <w:tcW w:w="820" w:type="dxa"/>
          </w:tcPr>
          <w:p w14:paraId="2E419BC4" w14:textId="4245BB44" w:rsidR="00930593" w:rsidRDefault="00930593" w:rsidP="00930593">
            <w:r>
              <w:t>5.3</w:t>
            </w:r>
          </w:p>
        </w:tc>
        <w:tc>
          <w:tcPr>
            <w:tcW w:w="3858" w:type="dxa"/>
          </w:tcPr>
          <w:p w14:paraId="26017D8E" w14:textId="230FC00D" w:rsidR="00930593" w:rsidRDefault="00930593" w:rsidP="00930593">
            <w:r w:rsidRPr="00930593">
              <w:t>Growth in use of QR codes</w:t>
            </w:r>
          </w:p>
        </w:tc>
        <w:tc>
          <w:tcPr>
            <w:tcW w:w="3328" w:type="dxa"/>
          </w:tcPr>
          <w:p w14:paraId="223A71C7" w14:textId="703668EC" w:rsidR="00930593" w:rsidRDefault="001432D2" w:rsidP="00930593">
            <w:r>
              <w:t>See 5.2.</w:t>
            </w:r>
          </w:p>
        </w:tc>
        <w:tc>
          <w:tcPr>
            <w:tcW w:w="1344" w:type="dxa"/>
          </w:tcPr>
          <w:p w14:paraId="372B93D2" w14:textId="0F2EF28C" w:rsidR="00930593" w:rsidRDefault="00930593" w:rsidP="00930593">
            <w:r w:rsidRPr="00963EEB">
              <w:t>Trust</w:t>
            </w:r>
          </w:p>
        </w:tc>
      </w:tr>
      <w:tr w:rsidR="00930593" w14:paraId="53272E81" w14:textId="77777777" w:rsidTr="000A3622">
        <w:tc>
          <w:tcPr>
            <w:tcW w:w="820" w:type="dxa"/>
          </w:tcPr>
          <w:p w14:paraId="6DCFEFA5" w14:textId="082DFE7E" w:rsidR="00930593" w:rsidRDefault="00930593" w:rsidP="00930593">
            <w:r>
              <w:t>5.4</w:t>
            </w:r>
          </w:p>
        </w:tc>
        <w:tc>
          <w:tcPr>
            <w:tcW w:w="3858" w:type="dxa"/>
          </w:tcPr>
          <w:p w14:paraId="5D29777D" w14:textId="28A2AADA" w:rsidR="00930593" w:rsidRDefault="00930593" w:rsidP="00930593">
            <w:r w:rsidRPr="00930593">
              <w:t>Growth in use of URL shortening services</w:t>
            </w:r>
          </w:p>
        </w:tc>
        <w:tc>
          <w:tcPr>
            <w:tcW w:w="3328" w:type="dxa"/>
          </w:tcPr>
          <w:p w14:paraId="1AD9DBA4" w14:textId="72641AB2" w:rsidR="00930593" w:rsidRDefault="001432D2" w:rsidP="00930593">
            <w:r>
              <w:t>See 5.2.</w:t>
            </w:r>
          </w:p>
        </w:tc>
        <w:tc>
          <w:tcPr>
            <w:tcW w:w="1344" w:type="dxa"/>
          </w:tcPr>
          <w:p w14:paraId="32CBE544" w14:textId="171B9FAE" w:rsidR="00930593" w:rsidRDefault="00930593" w:rsidP="00930593">
            <w:r w:rsidRPr="00963EEB">
              <w:t>Trust</w:t>
            </w:r>
          </w:p>
        </w:tc>
      </w:tr>
      <w:tr w:rsidR="000A3622" w14:paraId="6515CC31" w14:textId="77777777" w:rsidTr="000A3622">
        <w:tc>
          <w:tcPr>
            <w:tcW w:w="820" w:type="dxa"/>
          </w:tcPr>
          <w:p w14:paraId="3660AF0B" w14:textId="6788D2A1" w:rsidR="000A3622" w:rsidRDefault="000A3622" w:rsidP="000A3622">
            <w:r>
              <w:t>5.5</w:t>
            </w:r>
          </w:p>
        </w:tc>
        <w:tc>
          <w:tcPr>
            <w:tcW w:w="3858" w:type="dxa"/>
          </w:tcPr>
          <w:p w14:paraId="36280DD1" w14:textId="5427C4A2" w:rsidR="000A3622" w:rsidRDefault="001432D2" w:rsidP="000A3622">
            <w:r w:rsidRPr="001432D2">
              <w:t xml:space="preserve">Growth in registrations in </w:t>
            </w:r>
            <w:proofErr w:type="spellStart"/>
            <w:r w:rsidRPr="001432D2">
              <w:t>ccTLDs</w:t>
            </w:r>
            <w:proofErr w:type="spellEnd"/>
            <w:r w:rsidRPr="001432D2">
              <w:t xml:space="preserve"> relative to </w:t>
            </w:r>
            <w:proofErr w:type="spellStart"/>
            <w:r w:rsidRPr="001432D2">
              <w:t>gTLDs</w:t>
            </w:r>
            <w:proofErr w:type="spellEnd"/>
          </w:p>
        </w:tc>
        <w:tc>
          <w:tcPr>
            <w:tcW w:w="3328" w:type="dxa"/>
          </w:tcPr>
          <w:p w14:paraId="39A6D614" w14:textId="657E1E45" w:rsidR="000A3622" w:rsidRDefault="001432D2" w:rsidP="001432D2">
            <w:r>
              <w:t xml:space="preserve">Internal, technical services team. Will require data from </w:t>
            </w:r>
            <w:proofErr w:type="spellStart"/>
            <w:r>
              <w:t>ccTLDs</w:t>
            </w:r>
            <w:proofErr w:type="spellEnd"/>
            <w:r>
              <w:t xml:space="preserve">, which may not provide a representative sample. In addition, </w:t>
            </w:r>
            <w:proofErr w:type="spellStart"/>
            <w:r>
              <w:t>ccTLD</w:t>
            </w:r>
            <w:proofErr w:type="spellEnd"/>
            <w:r>
              <w:t xml:space="preserve"> data may have use restrictions. </w:t>
            </w:r>
          </w:p>
        </w:tc>
        <w:tc>
          <w:tcPr>
            <w:tcW w:w="1344" w:type="dxa"/>
          </w:tcPr>
          <w:p w14:paraId="506F9E39" w14:textId="1F2EE7C4" w:rsidR="000A3622" w:rsidRDefault="001432D2" w:rsidP="000A3622">
            <w:r>
              <w:t>Trust</w:t>
            </w:r>
          </w:p>
        </w:tc>
      </w:tr>
      <w:tr w:rsidR="000A3622" w14:paraId="57ECED7E" w14:textId="77777777" w:rsidTr="000A3622">
        <w:tc>
          <w:tcPr>
            <w:tcW w:w="820" w:type="dxa"/>
          </w:tcPr>
          <w:p w14:paraId="6339088E" w14:textId="070566CC" w:rsidR="000A3622" w:rsidRDefault="000A3622" w:rsidP="000A3622">
            <w:r>
              <w:t>6.2</w:t>
            </w:r>
          </w:p>
        </w:tc>
        <w:tc>
          <w:tcPr>
            <w:tcW w:w="3858" w:type="dxa"/>
          </w:tcPr>
          <w:p w14:paraId="1E0A1351" w14:textId="18E96834" w:rsidR="000A3622" w:rsidRDefault="001432D2" w:rsidP="000A3622">
            <w:r w:rsidRPr="001432D2">
              <w:t>Number of complaints to police agencies alleging fraud or misrepresentation based on – or traced to – domain names</w:t>
            </w:r>
          </w:p>
        </w:tc>
        <w:tc>
          <w:tcPr>
            <w:tcW w:w="3328" w:type="dxa"/>
          </w:tcPr>
          <w:p w14:paraId="0393DB34" w14:textId="4D4F6144" w:rsidR="000A3622" w:rsidRDefault="001432D2" w:rsidP="000A3622">
            <w:r>
              <w:t xml:space="preserve">External, fraud reports, government and law enforcement authorities. May be difficult to gather a representative sample of data that can be traced to domain names. May have to rely on reports more generally tracking </w:t>
            </w:r>
            <w:proofErr w:type="spellStart"/>
            <w:r>
              <w:t>cyber crime</w:t>
            </w:r>
            <w:proofErr w:type="spellEnd"/>
            <w:r>
              <w:t xml:space="preserve">. </w:t>
            </w:r>
          </w:p>
        </w:tc>
        <w:tc>
          <w:tcPr>
            <w:tcW w:w="1344" w:type="dxa"/>
          </w:tcPr>
          <w:p w14:paraId="5A4D0606" w14:textId="79534764" w:rsidR="000A3622" w:rsidRDefault="001432D2" w:rsidP="000A3622">
            <w:r>
              <w:t>Trust</w:t>
            </w:r>
          </w:p>
        </w:tc>
      </w:tr>
    </w:tbl>
    <w:p w14:paraId="15506C6F" w14:textId="77777777" w:rsidR="00616C00" w:rsidRDefault="00616C00" w:rsidP="00602EFE">
      <w:pPr>
        <w:pStyle w:val="Heading3"/>
      </w:pPr>
    </w:p>
    <w:p w14:paraId="045349BD" w14:textId="00D5303F" w:rsidR="00DB071D" w:rsidRDefault="00E479A3" w:rsidP="00602EFE">
      <w:pPr>
        <w:pStyle w:val="Heading3"/>
      </w:pPr>
      <w:bookmarkStart w:id="13" w:name="_Toc399424505"/>
      <w:r w:rsidRPr="00366440">
        <w:t xml:space="preserve">Metrics that may require contextual analysis or </w:t>
      </w:r>
      <w:r w:rsidR="00C57CA2">
        <w:t>rephrasing</w:t>
      </w:r>
      <w:bookmarkEnd w:id="13"/>
      <w:r w:rsidRPr="00366440">
        <w:t xml:space="preserve"> </w:t>
      </w:r>
    </w:p>
    <w:p w14:paraId="65FD6C2A" w14:textId="1DD902B1" w:rsidR="008D5C28" w:rsidRDefault="009E5D2F" w:rsidP="008D5C28">
      <w:r>
        <w:t xml:space="preserve">A subset of metrics were identified as requiring additional contextual analysis in the final review or rephrasing to capture the available data. </w:t>
      </w:r>
      <w:r w:rsidR="00A55909">
        <w:t xml:space="preserve">Twelve metrics fell into this category. Among them: </w:t>
      </w:r>
    </w:p>
    <w:p w14:paraId="330E2F0B" w14:textId="3304B13D" w:rsidR="00011880" w:rsidRDefault="00011880" w:rsidP="0061577E">
      <w:pPr>
        <w:pStyle w:val="Heading4"/>
      </w:pPr>
      <w:r>
        <w:t xml:space="preserve">1.5: </w:t>
      </w:r>
      <w:r w:rsidRPr="00264A26">
        <w:t>% Uptime for Registrar services such as WHOIS, contact info, and complaints, assuming that SLAs are established for these measures in the new RAA.</w:t>
      </w:r>
    </w:p>
    <w:p w14:paraId="5610412F" w14:textId="1308B1F4" w:rsidR="00011880" w:rsidRPr="00011880" w:rsidRDefault="00011880" w:rsidP="00A606D3">
      <w:r>
        <w:t xml:space="preserve">ICANN’s technical services team can provide data on this metric provided the SLAs are established and ICANN receives reportable data. </w:t>
      </w:r>
    </w:p>
    <w:p w14:paraId="2E195B87" w14:textId="28D66EAB" w:rsidR="00A55909" w:rsidRDefault="00A55909" w:rsidP="0061577E">
      <w:pPr>
        <w:pStyle w:val="Heading4"/>
      </w:pPr>
      <w:r w:rsidRPr="00A55909">
        <w:t xml:space="preserve">1.11: Quantity of intellectual property claims and cost of domain name policing relating to new </w:t>
      </w:r>
      <w:proofErr w:type="spellStart"/>
      <w:r w:rsidRPr="00A55909">
        <w:t>gTLDs</w:t>
      </w:r>
      <w:proofErr w:type="spellEnd"/>
      <w:r w:rsidRPr="00A55909">
        <w:t xml:space="preserve">. Relative incidence of IP claims made in good faith should be measured in 3 areas: IP claims against registrants regarding second level domains in new </w:t>
      </w:r>
      <w:proofErr w:type="spellStart"/>
      <w:r w:rsidRPr="00A55909">
        <w:t>gLTDs</w:t>
      </w:r>
      <w:proofErr w:type="spellEnd"/>
      <w:r w:rsidRPr="00A55909">
        <w:t xml:space="preserve">; IP claims against registrars regarding Second level domains in new </w:t>
      </w:r>
      <w:proofErr w:type="spellStart"/>
      <w:r w:rsidRPr="00A55909">
        <w:t>gTLDs</w:t>
      </w:r>
      <w:proofErr w:type="spellEnd"/>
      <w:r w:rsidRPr="00A55909">
        <w:t xml:space="preserve">; IP claims against new </w:t>
      </w:r>
      <w:proofErr w:type="spellStart"/>
      <w:r w:rsidRPr="00A55909">
        <w:t>gTLD</w:t>
      </w:r>
      <w:proofErr w:type="spellEnd"/>
      <w:r w:rsidRPr="00A55909">
        <w:t xml:space="preserve"> registries regarding second level domains and TLDs. Quantity of second level domains acquired because of infringement or other violations of IP rights of acquiring parties; and cost of domain name policing and enforcement efforts by IP owners.</w:t>
      </w:r>
    </w:p>
    <w:p w14:paraId="45605942" w14:textId="45E34B67" w:rsidR="00A55909" w:rsidRDefault="00A55909" w:rsidP="00A55909">
      <w:r>
        <w:t xml:space="preserve">IAG-CCT members and ICANN staff continue to explore avenues for collecting this data. </w:t>
      </w:r>
      <w:r w:rsidR="00CA226D">
        <w:t>T</w:t>
      </w:r>
      <w:r>
        <w:t xml:space="preserve">he International Trademark Association (INTA) </w:t>
      </w:r>
      <w:r w:rsidR="00CA226D">
        <w:t xml:space="preserve">has expressed an interesting in </w:t>
      </w:r>
      <w:r>
        <w:t>poll</w:t>
      </w:r>
      <w:r w:rsidR="00CA226D">
        <w:t>ing</w:t>
      </w:r>
      <w:r>
        <w:t xml:space="preserve"> its members</w:t>
      </w:r>
      <w:r w:rsidR="00CA226D">
        <w:t xml:space="preserve"> on this topic</w:t>
      </w:r>
      <w:r>
        <w:t xml:space="preserve">. </w:t>
      </w:r>
    </w:p>
    <w:p w14:paraId="05F7AE37" w14:textId="18B08983" w:rsidR="00A55909" w:rsidRDefault="00A55909" w:rsidP="0061577E">
      <w:pPr>
        <w:pStyle w:val="Heading4"/>
      </w:pPr>
      <w:r w:rsidRPr="00A55909">
        <w:lastRenderedPageBreak/>
        <w:t>1.13: Quantity of compliance concerns regarding applicable national</w:t>
      </w:r>
      <w:r w:rsidR="00CD6699">
        <w:t xml:space="preserve"> laws</w:t>
      </w:r>
      <w:r w:rsidRPr="00A55909">
        <w:t>, including reported data security breaches.</w:t>
      </w:r>
    </w:p>
    <w:p w14:paraId="6811E055" w14:textId="404409A6" w:rsidR="00A55909" w:rsidRDefault="00A55909" w:rsidP="00A55909">
      <w:r>
        <w:t>ICANN staff working with its liaisons in the law enforcement community determined there was no reliable way to gather data linking compliance concerns and “applicable”</w:t>
      </w:r>
      <w:r w:rsidR="003E18AD">
        <w:t xml:space="preserve"> national laws. </w:t>
      </w:r>
      <w:r w:rsidR="00CD6699">
        <w:t xml:space="preserve">As such, the group decided to drop the first part of the metric. </w:t>
      </w:r>
      <w:r w:rsidR="003E18AD">
        <w:t xml:space="preserve">In addition, as data security breaches are required to be reported to ICANN, this part of the metric will be counted. </w:t>
      </w:r>
      <w:r w:rsidR="00CD6699">
        <w:t>The rephrased metric now reads: “Number of reported data security breaches.”</w:t>
      </w:r>
    </w:p>
    <w:p w14:paraId="635D142D" w14:textId="04DBDE97" w:rsidR="00C14591" w:rsidRDefault="00C14591" w:rsidP="00C14591">
      <w:pPr>
        <w:pStyle w:val="Heading4"/>
      </w:pPr>
      <w:r>
        <w:t xml:space="preserve">1.14 </w:t>
      </w:r>
      <w:r w:rsidRPr="00EE7BC3">
        <w:t xml:space="preserve">Quantity and relative incidence of </w:t>
      </w:r>
      <w:r>
        <w:t>d</w:t>
      </w:r>
      <w:r w:rsidRPr="00EE7BC3">
        <w:t xml:space="preserve">omain </w:t>
      </w:r>
      <w:r>
        <w:t>t</w:t>
      </w:r>
      <w:r w:rsidRPr="00EE7BC3">
        <w:t>akedowns.</w:t>
      </w:r>
    </w:p>
    <w:p w14:paraId="47D38346" w14:textId="6E762EFB" w:rsidR="00C14591" w:rsidRDefault="00C14591" w:rsidP="00C14591">
      <w:r>
        <w:t xml:space="preserve">ICANN will reach out to registries to provide this information, which they are not required to provide. </w:t>
      </w:r>
      <w:r w:rsidR="00FD5B6D">
        <w:t xml:space="preserve">It will be important to gauge the incidences of takedowns in the context of the </w:t>
      </w:r>
      <w:r w:rsidR="00A50C53">
        <w:t>reasons for the takedowns</w:t>
      </w:r>
      <w:r w:rsidR="00FD5B6D">
        <w:t xml:space="preserve">. For examples, were domains taken down for nonpayment of services or due to law enforcement concerns? The relative incidence of various justifications may provide greater insight into the nature of abusive behavior in particular TLDs. </w:t>
      </w:r>
      <w:r w:rsidR="00A50C53">
        <w:t xml:space="preserve">It may also require additional information from governments or law enforcement authorities, who may only provide partial data on some of these requests. </w:t>
      </w:r>
    </w:p>
    <w:p w14:paraId="1653B726" w14:textId="57980F07" w:rsidR="00C14591" w:rsidRDefault="00C14591" w:rsidP="00C14591">
      <w:pPr>
        <w:pStyle w:val="Heading4"/>
      </w:pPr>
      <w:r>
        <w:t>1.15</w:t>
      </w:r>
      <w:r w:rsidRPr="00C14591">
        <w:t xml:space="preserve"> </w:t>
      </w:r>
      <w:r w:rsidRPr="00EE7BC3">
        <w:t xml:space="preserve">Quantity and relative incidence of spam from domains in new </w:t>
      </w:r>
      <w:proofErr w:type="spellStart"/>
      <w:r w:rsidRPr="00EE7BC3">
        <w:t>gTLDs</w:t>
      </w:r>
      <w:proofErr w:type="spellEnd"/>
      <w:r w:rsidRPr="00EE7BC3">
        <w:t>, which could be measured via specialized email addresses and methodologies.</w:t>
      </w:r>
    </w:p>
    <w:p w14:paraId="24A5F87C" w14:textId="3AB7E914" w:rsidR="00C14591" w:rsidRDefault="00C14591" w:rsidP="00C14591">
      <w:pPr>
        <w:pStyle w:val="Heading4"/>
      </w:pPr>
      <w:r>
        <w:t>1.16</w:t>
      </w:r>
      <w:r w:rsidRPr="00C14591">
        <w:t xml:space="preserve"> </w:t>
      </w:r>
      <w:r w:rsidRPr="00EE7BC3">
        <w:t xml:space="preserve">Quantity and relative incidence of fraudulent transactions caused by phishing sites in new </w:t>
      </w:r>
      <w:proofErr w:type="spellStart"/>
      <w:r w:rsidRPr="00EE7BC3">
        <w:t>gTLDs</w:t>
      </w:r>
      <w:proofErr w:type="spellEnd"/>
      <w:r w:rsidRPr="00EE7BC3">
        <w:t>.</w:t>
      </w:r>
    </w:p>
    <w:p w14:paraId="76133976" w14:textId="3171FB79" w:rsidR="00C14591" w:rsidRDefault="00C14591" w:rsidP="00C14591">
      <w:pPr>
        <w:pStyle w:val="Heading4"/>
      </w:pPr>
      <w:r>
        <w:t xml:space="preserve">1.17 </w:t>
      </w:r>
      <w:r w:rsidRPr="00EE7BC3">
        <w:t xml:space="preserve">Quantity and relative incidence of detected phishing sites using new </w:t>
      </w:r>
      <w:proofErr w:type="spellStart"/>
      <w:r w:rsidRPr="00EE7BC3">
        <w:t>gTLDs</w:t>
      </w:r>
      <w:proofErr w:type="spellEnd"/>
    </w:p>
    <w:p w14:paraId="772BA74E" w14:textId="7CC92AB8" w:rsidR="00C14591" w:rsidRDefault="00C14591" w:rsidP="00C14591">
      <w:pPr>
        <w:pStyle w:val="Heading4"/>
      </w:pPr>
      <w:r>
        <w:t xml:space="preserve">1.18 </w:t>
      </w:r>
      <w:r w:rsidRPr="00EE7BC3">
        <w:t xml:space="preserve">Quantity and relative incidence of detected botnets and malware distributed using new </w:t>
      </w:r>
      <w:proofErr w:type="spellStart"/>
      <w:r w:rsidRPr="00EE7BC3">
        <w:t>gTLDs</w:t>
      </w:r>
      <w:proofErr w:type="spellEnd"/>
      <w:r w:rsidRPr="00EE7BC3">
        <w:t>.</w:t>
      </w:r>
    </w:p>
    <w:p w14:paraId="12ED1DBE" w14:textId="5561BE6F" w:rsidR="00C14591" w:rsidRDefault="00270572" w:rsidP="00A55909">
      <w:r>
        <w:t xml:space="preserve">Data on abusive behavior in the DNS is widely available and collected by third parties. Though these data sets often come with a fee – and will require some technical expertise to interpret and analyze the numbers – the IAG-CCT members agreed that this is important data to collect and compare against a baseline of abusive behavior in the legacy TLDs. Given the fact that multiple streams of data define particularly botnets and malware in different ways, the group recommended exploring multiple sources of information to compare the data and help the review team reach a conclusion about how this behavior is changing over time. Spam and phishing statistics may be best provided by </w:t>
      </w:r>
      <w:proofErr w:type="spellStart"/>
      <w:r>
        <w:t>Spamhaus</w:t>
      </w:r>
      <w:proofErr w:type="spellEnd"/>
      <w:r>
        <w:t xml:space="preserve"> and the Anti-Phishing Working Group. </w:t>
      </w:r>
    </w:p>
    <w:p w14:paraId="39010504" w14:textId="4F6410F4" w:rsidR="00491D00" w:rsidRPr="00491D00" w:rsidRDefault="00491D00" w:rsidP="0061577E">
      <w:pPr>
        <w:pStyle w:val="Heading4"/>
      </w:pPr>
      <w:r w:rsidRPr="00491D00">
        <w:t>1.19: Quantity and relative incidence of sites found to be dealing in or distributing identities and account information used in identity fraud.</w:t>
      </w:r>
    </w:p>
    <w:p w14:paraId="0FDCD78B" w14:textId="1FE1164A" w:rsidR="003E18AD" w:rsidRDefault="00491D00" w:rsidP="00A55909">
      <w:r>
        <w:t xml:space="preserve">IAG-CCT members investigated the possibility of asking an academic or graduate students to conduct this research as it may require a complex mapping effort or more detailed research efforts than can be provided in-house. IAG-CCT members also noted the data that is available may only provide a snapshot of a larger, underground network, making it more important to capture a baseline soon. </w:t>
      </w:r>
    </w:p>
    <w:p w14:paraId="2EF6B962" w14:textId="0F8C8A8F" w:rsidR="00C14591" w:rsidRDefault="00C14591" w:rsidP="00742F15">
      <w:pPr>
        <w:pStyle w:val="Heading4"/>
      </w:pPr>
      <w:r>
        <w:t>1.21</w:t>
      </w:r>
      <w:r w:rsidR="00742F15">
        <w:t xml:space="preserve"> </w:t>
      </w:r>
      <w:r w:rsidR="00742F15" w:rsidRPr="00742F15">
        <w:t xml:space="preserve">Relative incidence of errors in new </w:t>
      </w:r>
      <w:proofErr w:type="spellStart"/>
      <w:r w:rsidR="00742F15" w:rsidRPr="00742F15">
        <w:t>gTLD</w:t>
      </w:r>
      <w:proofErr w:type="spellEnd"/>
      <w:r w:rsidR="00742F15" w:rsidRPr="00742F15">
        <w:t xml:space="preserve"> zones. </w:t>
      </w:r>
    </w:p>
    <w:p w14:paraId="3B431139" w14:textId="79EADE16" w:rsidR="00742F15" w:rsidRDefault="00316E32" w:rsidP="00742F15">
      <w:r>
        <w:t xml:space="preserve">While this is data that can be internally gathered, IAG-CCT members were asked to provide a further definition of “errors” in the case of </w:t>
      </w:r>
      <w:proofErr w:type="spellStart"/>
      <w:r>
        <w:t>gTLD</w:t>
      </w:r>
      <w:proofErr w:type="spellEnd"/>
      <w:r>
        <w:t xml:space="preserve"> zones. Some initial definitions included the following: Errors may be caused by commas instead of dots, bad IP addresses or malformed domains. </w:t>
      </w:r>
      <w:r w:rsidR="000E3DAE">
        <w:t xml:space="preserve">ICANN is working with its technical services team to better define measures to capture this data. </w:t>
      </w:r>
    </w:p>
    <w:p w14:paraId="5817ED17" w14:textId="5EE14128" w:rsidR="001B0894" w:rsidRDefault="001B0894" w:rsidP="00742F15">
      <w:r>
        <w:t xml:space="preserve">Upon consultation with ICANN’s technical services team, ICANN staff recommends using a test based on that which is used to measure lame delegations. In short, the test would query a given TLD for domain names registered and whether they are actually represented in the zone file. ICANN staff suggested that </w:t>
      </w:r>
      <w:r>
        <w:lastRenderedPageBreak/>
        <w:t xml:space="preserve">syntactic errors (such as commas instead of dots) are extremely difficult to measure due to DNS resiliency. The distinction is that the chosen test should measure the quality of the registration data and not the quality of registrants’ DNS operations. </w:t>
      </w:r>
    </w:p>
    <w:p w14:paraId="61CD5820" w14:textId="14E11FFC" w:rsidR="00135F4A" w:rsidRDefault="00135F4A" w:rsidP="0061577E">
      <w:pPr>
        <w:pStyle w:val="Heading4"/>
      </w:pPr>
      <w:r>
        <w:t xml:space="preserve">2.6: </w:t>
      </w:r>
      <w:r w:rsidRPr="00135F4A">
        <w:t xml:space="preserve">The percentage of IDNs as compared to the total number of </w:t>
      </w:r>
      <w:proofErr w:type="spellStart"/>
      <w:r w:rsidRPr="00135F4A">
        <w:t>gTLDs</w:t>
      </w:r>
      <w:proofErr w:type="spellEnd"/>
      <w:r w:rsidRPr="00135F4A">
        <w:t xml:space="preserve"> in each script or language should be compared to the percentage of people who use each particular language or script.</w:t>
      </w:r>
    </w:p>
    <w:p w14:paraId="1B94BEE5" w14:textId="620C50A6" w:rsidR="00135F4A" w:rsidRDefault="00135F4A" w:rsidP="00A55909">
      <w:r w:rsidRPr="00135F4A">
        <w:t>IAG</w:t>
      </w:r>
      <w:r>
        <w:t>-CCT members</w:t>
      </w:r>
      <w:r w:rsidRPr="00135F4A">
        <w:t xml:space="preserve"> decided that the numerator in this instance is the data in </w:t>
      </w:r>
      <w:r>
        <w:t xml:space="preserve">metrics </w:t>
      </w:r>
      <w:r w:rsidRPr="00135F4A">
        <w:t xml:space="preserve">2.4 and 2.5 regarding IDN registrations and available registries. </w:t>
      </w:r>
      <w:r>
        <w:t xml:space="preserve">The group recommends the </w:t>
      </w:r>
      <w:r w:rsidRPr="00135F4A">
        <w:t xml:space="preserve">review team collect this data by comparing the numbers </w:t>
      </w:r>
      <w:r>
        <w:t>available to</w:t>
      </w:r>
      <w:r w:rsidRPr="00135F4A">
        <w:t xml:space="preserve"> UNESCO or other data on languages spoken in the world if the </w:t>
      </w:r>
      <w:r>
        <w:t>review team</w:t>
      </w:r>
      <w:r w:rsidRPr="00135F4A">
        <w:t xml:space="preserve"> so chooses. </w:t>
      </w:r>
      <w:r w:rsidR="00AF5404">
        <w:t>The group recommends the metric to be r</w:t>
      </w:r>
      <w:r w:rsidRPr="00135F4A">
        <w:t>ephrase</w:t>
      </w:r>
      <w:r w:rsidR="00AF5404">
        <w:t>d</w:t>
      </w:r>
      <w:r w:rsidRPr="00135F4A">
        <w:t xml:space="preserve"> to read: "The number of registrations in IDN TLDs as compared to the total number of registrations in new </w:t>
      </w:r>
      <w:proofErr w:type="spellStart"/>
      <w:r w:rsidRPr="00135F4A">
        <w:t>gTLDs</w:t>
      </w:r>
      <w:proofErr w:type="spellEnd"/>
      <w:r w:rsidRPr="00135F4A">
        <w:t>. Measure growth over time."</w:t>
      </w:r>
    </w:p>
    <w:p w14:paraId="34DD2D89" w14:textId="130D29FA" w:rsidR="006A1696" w:rsidRDefault="006A1696" w:rsidP="006A1696">
      <w:pPr>
        <w:pStyle w:val="Heading4"/>
      </w:pPr>
      <w:r>
        <w:t xml:space="preserve">2.8: </w:t>
      </w:r>
      <w:r w:rsidRPr="006A1696">
        <w:t xml:space="preserve">Measure share of Sunrise registrations &amp; domain blocks to total registrations in each new </w:t>
      </w:r>
      <w:proofErr w:type="spellStart"/>
      <w:r w:rsidRPr="006A1696">
        <w:t>gTLD</w:t>
      </w:r>
      <w:proofErr w:type="spellEnd"/>
      <w:r w:rsidRPr="006A1696">
        <w:t>.</w:t>
      </w:r>
    </w:p>
    <w:p w14:paraId="7B101F07" w14:textId="62A1AE8E" w:rsidR="006A1696" w:rsidRPr="006A1696" w:rsidRDefault="006A1696" w:rsidP="006A1696">
      <w:r>
        <w:t xml:space="preserve">IAG-CCT members agreed that this is an important metric to capture the nature of domain name transactions during the sunrise and launch periods. To provide a baseline for comparison, ICANN may need to require some legacy registries to provide sunrise and domain block information. For new </w:t>
      </w:r>
      <w:proofErr w:type="spellStart"/>
      <w:r>
        <w:t>gTLDs</w:t>
      </w:r>
      <w:proofErr w:type="spellEnd"/>
      <w:r>
        <w:t xml:space="preserve">, registries will provide ICANN with sunrise data, but </w:t>
      </w:r>
      <w:r w:rsidR="00BC2683">
        <w:t xml:space="preserve">registries are not required to report domain blocks. Depending on the response ICANN receives from registry operators, the available data may be limited and thus difficult to analyze. </w:t>
      </w:r>
      <w:r w:rsidR="00721279">
        <w:t xml:space="preserve">It will be important to distinguish between domain blocks and IDN variants to ensure that the right set of data is being captured. </w:t>
      </w:r>
    </w:p>
    <w:p w14:paraId="0D7EDADB" w14:textId="3D67D531" w:rsidR="00AF5404" w:rsidRDefault="00AF5404" w:rsidP="0061577E">
      <w:pPr>
        <w:pStyle w:val="Heading4"/>
      </w:pPr>
      <w:r>
        <w:t xml:space="preserve">2.9: </w:t>
      </w:r>
      <w:r w:rsidRPr="00AF5404">
        <w:t xml:space="preserve">Relative share of new </w:t>
      </w:r>
      <w:proofErr w:type="spellStart"/>
      <w:r w:rsidRPr="00AF5404">
        <w:t>gTLD</w:t>
      </w:r>
      <w:proofErr w:type="spellEnd"/>
      <w:r w:rsidRPr="00AF5404">
        <w:t xml:space="preserve"> registrations already having the same domain in legacy TLDs prior to expansion. For this measure, count all registrations that redirect to domains in legacy TLDs. Open </w:t>
      </w:r>
      <w:proofErr w:type="spellStart"/>
      <w:r w:rsidRPr="00AF5404">
        <w:t>gTLDs</w:t>
      </w:r>
      <w:proofErr w:type="spellEnd"/>
      <w:r w:rsidRPr="00AF5404">
        <w:t xml:space="preserve"> only.</w:t>
      </w:r>
    </w:p>
    <w:p w14:paraId="536A8D65" w14:textId="5E3D9B1F" w:rsidR="00AF5404" w:rsidRDefault="00AF5404" w:rsidP="0061577E">
      <w:pPr>
        <w:pStyle w:val="Heading4"/>
      </w:pPr>
      <w:r>
        <w:t xml:space="preserve">2.10: </w:t>
      </w:r>
      <w:r w:rsidRPr="00AF5404">
        <w:t xml:space="preserve">Automated analysis or online survey to determine the number of “duplicate” registrations in new </w:t>
      </w:r>
      <w:proofErr w:type="spellStart"/>
      <w:r w:rsidRPr="00AF5404">
        <w:t>gTLDs</w:t>
      </w:r>
      <w:proofErr w:type="spellEnd"/>
      <w:r w:rsidRPr="00AF5404">
        <w:t xml:space="preserve">. For purposes of this measure, "duplicate" registrations are those where registrant reports having (and still maintaining) the same domain name in a legacy </w:t>
      </w:r>
      <w:proofErr w:type="spellStart"/>
      <w:r w:rsidRPr="00AF5404">
        <w:t>gTLD</w:t>
      </w:r>
      <w:proofErr w:type="spellEnd"/>
      <w:r w:rsidRPr="00AF5404">
        <w:t xml:space="preserve">. Open </w:t>
      </w:r>
      <w:proofErr w:type="spellStart"/>
      <w:r w:rsidRPr="00AF5404">
        <w:t>gTLDs</w:t>
      </w:r>
      <w:proofErr w:type="spellEnd"/>
      <w:r w:rsidRPr="00AF5404">
        <w:t xml:space="preserve"> only.</w:t>
      </w:r>
    </w:p>
    <w:p w14:paraId="7C74E33A" w14:textId="15CBAB88" w:rsidR="00AF5404" w:rsidRDefault="00AF5404" w:rsidP="00A55909">
      <w:r>
        <w:t xml:space="preserve">The distinction between these two metrics is that 2.10 is meant to survey registrants who are maintaining identical sites in different TLDs, while 2.9 only looks at those domain names which redirect from new </w:t>
      </w:r>
      <w:proofErr w:type="spellStart"/>
      <w:r>
        <w:t>gTLDs</w:t>
      </w:r>
      <w:proofErr w:type="spellEnd"/>
      <w:r>
        <w:t xml:space="preserve"> to legacy TLDs. The group noted that 2.10 may be a challenge if the consumer survey does not sample a statistically significant sample of registrants. </w:t>
      </w:r>
      <w:r w:rsidR="00721279">
        <w:t xml:space="preserve">Further, ICANN’s technical services team notes that this would be extremely difficult to measure using queries or other methodologies given the size of the data sets that must be compared. </w:t>
      </w:r>
      <w:r w:rsidR="00D80091">
        <w:t xml:space="preserve">The IAG-CCT members agreed to recommend the review team put 2.10 on hold until it can confirm that 2.9 resulted in a statistically significant sample of relevant registrants. </w:t>
      </w:r>
    </w:p>
    <w:p w14:paraId="27F5FB41" w14:textId="10EEE937" w:rsidR="00D80091" w:rsidRDefault="00D80091" w:rsidP="00D80091">
      <w:pPr>
        <w:pStyle w:val="Heading4"/>
      </w:pPr>
      <w:r>
        <w:t xml:space="preserve">2.14: </w:t>
      </w:r>
      <w:r w:rsidRPr="00D80091">
        <w:t xml:space="preserve">DNS traffic in new </w:t>
      </w:r>
      <w:proofErr w:type="spellStart"/>
      <w:r w:rsidRPr="00D80091">
        <w:t>gTLDs</w:t>
      </w:r>
      <w:proofErr w:type="spellEnd"/>
      <w:r w:rsidRPr="00D80091">
        <w:t xml:space="preserve"> should be compared to contemporary user traffic in legacy </w:t>
      </w:r>
      <w:proofErr w:type="spellStart"/>
      <w:r w:rsidRPr="00D80091">
        <w:t>gTLDs</w:t>
      </w:r>
      <w:proofErr w:type="spellEnd"/>
      <w:r w:rsidRPr="00D80091">
        <w:t>. DNS traffic is an indicator of trust, choice, and competition. If comprehensive traffic data is not available, sampling should be used.</w:t>
      </w:r>
    </w:p>
    <w:p w14:paraId="45369F94" w14:textId="60693041" w:rsidR="00D80091" w:rsidRDefault="00D80091" w:rsidP="00D80091">
      <w:r>
        <w:t xml:space="preserve">Measuring traffic in new </w:t>
      </w:r>
      <w:proofErr w:type="spellStart"/>
      <w:r>
        <w:t>gTLDs</w:t>
      </w:r>
      <w:proofErr w:type="spellEnd"/>
      <w:r>
        <w:t xml:space="preserve"> may require the purchase of third party data. </w:t>
      </w:r>
      <w:r w:rsidR="00270441">
        <w:t xml:space="preserve">Sampling traffic in particular TLDs may not offer an accurate picture of traffic in the DNS. Registry operators report on queries that the TLD receives. This may be one source for capturing the data. </w:t>
      </w:r>
      <w:r w:rsidR="00011880">
        <w:t xml:space="preserve">Multiple vendors offer access to more complete data sources on DNS traffic, though the price tag may vary. ICANN staff recommends the review team revisit this topic to determine the best source of data. </w:t>
      </w:r>
    </w:p>
    <w:p w14:paraId="370317AA" w14:textId="1F697FFB" w:rsidR="0083534F" w:rsidRDefault="0083534F" w:rsidP="0083534F">
      <w:pPr>
        <w:pStyle w:val="Heading4"/>
      </w:pPr>
      <w:r>
        <w:lastRenderedPageBreak/>
        <w:t xml:space="preserve">3.7: </w:t>
      </w:r>
      <w:r w:rsidRPr="0083534F">
        <w:t xml:space="preserve">To assess competitive impact of new </w:t>
      </w:r>
      <w:proofErr w:type="spellStart"/>
      <w:r w:rsidRPr="0083534F">
        <w:t>gTLDs</w:t>
      </w:r>
      <w:proofErr w:type="spellEnd"/>
      <w:r w:rsidRPr="0083534F">
        <w:t xml:space="preserve">, measure the quantity of second level registrations per </w:t>
      </w:r>
      <w:proofErr w:type="spellStart"/>
      <w:r w:rsidRPr="0083534F">
        <w:t>gTLD</w:t>
      </w:r>
      <w:proofErr w:type="spellEnd"/>
      <w:r w:rsidRPr="0083534F">
        <w:t xml:space="preserve"> and </w:t>
      </w:r>
      <w:proofErr w:type="spellStart"/>
      <w:r w:rsidRPr="0083534F">
        <w:t>ccTLD</w:t>
      </w:r>
      <w:proofErr w:type="spellEnd"/>
      <w:r w:rsidRPr="0083534F">
        <w:t xml:space="preserve"> on a weekly or other interval. TLD attributes should be noted with the data (i.e. open TLDs, closed keyword TLDs, registration, country of operations, single registrant, etc.).  </w:t>
      </w:r>
    </w:p>
    <w:p w14:paraId="0CAFAAEE" w14:textId="776D58E4" w:rsidR="0083534F" w:rsidRDefault="0083534F" w:rsidP="0083534F">
      <w:pPr>
        <w:pStyle w:val="Heading4"/>
      </w:pPr>
      <w:r>
        <w:t xml:space="preserve">3.8: </w:t>
      </w:r>
      <w:r w:rsidRPr="0083534F">
        <w:t xml:space="preserve">Quantity of “unique” second level registrations in the new </w:t>
      </w:r>
      <w:proofErr w:type="spellStart"/>
      <w:r w:rsidRPr="0083534F">
        <w:t>gTLD</w:t>
      </w:r>
      <w:proofErr w:type="spellEnd"/>
      <w:r w:rsidRPr="0083534F">
        <w:t xml:space="preserve"> space where that same string does not appear as a registration in any other TLD on a weekly or other interval basis (data analyzed in conjunction with website traffic identified in </w:t>
      </w:r>
      <w:r w:rsidR="00CA4DA5">
        <w:t>2.14</w:t>
      </w:r>
      <w:r w:rsidRPr="0083534F">
        <w:t xml:space="preserve">).  Open </w:t>
      </w:r>
      <w:proofErr w:type="spellStart"/>
      <w:r w:rsidRPr="0083534F">
        <w:t>gTLDs</w:t>
      </w:r>
      <w:proofErr w:type="spellEnd"/>
      <w:r w:rsidRPr="0083534F">
        <w:t xml:space="preserve"> only.</w:t>
      </w:r>
    </w:p>
    <w:p w14:paraId="53A38A9F" w14:textId="14264277" w:rsidR="0083534F" w:rsidRDefault="00CA4DA5" w:rsidP="0083534F">
      <w:r>
        <w:t xml:space="preserve">While ICANN has access to zone files for </w:t>
      </w:r>
      <w:proofErr w:type="spellStart"/>
      <w:r>
        <w:t>gTLDs</w:t>
      </w:r>
      <w:proofErr w:type="spellEnd"/>
      <w:r>
        <w:t xml:space="preserve">, there may be use restrictions for </w:t>
      </w:r>
      <w:proofErr w:type="spellStart"/>
      <w:r>
        <w:t>ccTLD</w:t>
      </w:r>
      <w:proofErr w:type="spellEnd"/>
      <w:r>
        <w:t xml:space="preserve"> zone files. With limitations on data available from </w:t>
      </w:r>
      <w:proofErr w:type="spellStart"/>
      <w:r>
        <w:t>ccTLDs</w:t>
      </w:r>
      <w:proofErr w:type="spellEnd"/>
      <w:r>
        <w:t xml:space="preserve"> </w:t>
      </w:r>
      <w:r w:rsidR="004A6CD5">
        <w:t xml:space="preserve">IAG-CCT members acknowledged </w:t>
      </w:r>
      <w:r>
        <w:t xml:space="preserve">these metrics may prove challenging to gain a comprehensive picture of unique domain name registrations in the new </w:t>
      </w:r>
      <w:proofErr w:type="spellStart"/>
      <w:r>
        <w:t>gTLD</w:t>
      </w:r>
      <w:proofErr w:type="spellEnd"/>
      <w:r>
        <w:t xml:space="preserve"> space. </w:t>
      </w:r>
      <w:r w:rsidR="00244E87">
        <w:t xml:space="preserve">Counting active domain name registrations may result in a clearer picture of rate of growth. </w:t>
      </w:r>
    </w:p>
    <w:p w14:paraId="23094005" w14:textId="0994FC1D" w:rsidR="00244E87" w:rsidRDefault="00244E87" w:rsidP="00A606D3">
      <w:pPr>
        <w:pStyle w:val="Heading4"/>
      </w:pPr>
      <w:r>
        <w:t xml:space="preserve">4.4: </w:t>
      </w:r>
      <w:r w:rsidRPr="00930593">
        <w:t>Frequency of dead-end domains (registered but do not resolve)</w:t>
      </w:r>
    </w:p>
    <w:p w14:paraId="72DD2488" w14:textId="3BD0943F" w:rsidR="00AF5404" w:rsidRDefault="00244E87" w:rsidP="0061577E">
      <w:pPr>
        <w:pStyle w:val="Heading4"/>
      </w:pPr>
      <w:r>
        <w:t>ICANN staff recommends further refining the definition of “dead-end domains.” Domains that are registered but do not resolve may be attributed to IDN variants</w:t>
      </w:r>
      <w:r w:rsidR="000F7151">
        <w:t xml:space="preserve">, where a set of variants may be registered but only one may resolve. Measuring parked domains may also result in faulty data as some domains may be registered for email or other such purposes. Similarly, websites that redirect may also result in false reports of “dead-end domains.” Finally, a </w:t>
      </w:r>
      <w:r>
        <w:t>dead-end domain could be one registered and delegated but the authoritative servers for the name are inoperable, unreachable or otherwise misfiring. This might be a measure of how little a registrant values a name registration in the TLD or just ba</w:t>
      </w:r>
      <w:r w:rsidR="000F7151">
        <w:t>d management by the registrant.</w:t>
      </w:r>
      <w:r w:rsidR="00AF5404">
        <w:t xml:space="preserve">4.5: </w:t>
      </w:r>
      <w:r w:rsidR="00AF5404" w:rsidRPr="00AF5404">
        <w:t>Numbers of complaints received by ICANN regarding improper use of domains</w:t>
      </w:r>
      <w:r w:rsidR="00AF5404">
        <w:t xml:space="preserve">. </w:t>
      </w:r>
    </w:p>
    <w:p w14:paraId="35E06176" w14:textId="7A866243" w:rsidR="00AF5404" w:rsidRDefault="00AF5404" w:rsidP="0061577E">
      <w:pPr>
        <w:pStyle w:val="Heading4"/>
      </w:pPr>
      <w:r>
        <w:t xml:space="preserve">8.1: </w:t>
      </w:r>
      <w:r w:rsidRPr="00AF5404">
        <w:t>How many complaints are received by ICANN related to confusion or misunderstanding of TLD function</w:t>
      </w:r>
      <w:r>
        <w:t>?</w:t>
      </w:r>
    </w:p>
    <w:p w14:paraId="4B0E314E" w14:textId="1D38B589" w:rsidR="00AF5404" w:rsidRDefault="00AF5404" w:rsidP="00A55909">
      <w:r>
        <w:t xml:space="preserve">These metrics both required further definition to be able to parse data available from ICANN’s contractual compliance department. Because the compliance department tracks complaints based on certain types of complaints, ICANN staff worked with the IAG-CCT members to identify complaint types that were most applicable to these metrics. </w:t>
      </w:r>
    </w:p>
    <w:p w14:paraId="5B65283B" w14:textId="77777777" w:rsidR="001802C0" w:rsidRDefault="00AF5404" w:rsidP="00A55909">
      <w:r>
        <w:t xml:space="preserve">Complaints related to improper use of domains: </w:t>
      </w:r>
    </w:p>
    <w:p w14:paraId="2567E13D" w14:textId="446543AF" w:rsidR="00AF5404" w:rsidRDefault="001802C0" w:rsidP="001802C0">
      <w:pPr>
        <w:pStyle w:val="ListParagraph"/>
        <w:numPr>
          <w:ilvl w:val="0"/>
          <w:numId w:val="2"/>
        </w:numPr>
      </w:pPr>
      <w:r>
        <w:t>Reports of alleged illegal activity: These complaints are referred to government or law enforcement agencies.</w:t>
      </w:r>
    </w:p>
    <w:p w14:paraId="6859497E" w14:textId="250A07E0" w:rsidR="001802C0" w:rsidRDefault="001802C0" w:rsidP="001802C0">
      <w:pPr>
        <w:pStyle w:val="ListParagraph"/>
        <w:numPr>
          <w:ilvl w:val="0"/>
          <w:numId w:val="2"/>
        </w:numPr>
      </w:pPr>
      <w:r>
        <w:t>Legitimate domain use: Registrants are not required to use their websites in any particular way.</w:t>
      </w:r>
    </w:p>
    <w:p w14:paraId="7BE27367" w14:textId="08B80E10" w:rsidR="001802C0" w:rsidRDefault="001802C0" w:rsidP="001802C0">
      <w:pPr>
        <w:pStyle w:val="ListParagraph"/>
        <w:numPr>
          <w:ilvl w:val="0"/>
          <w:numId w:val="2"/>
        </w:numPr>
      </w:pPr>
      <w:r>
        <w:t xml:space="preserve">Website content: As ICANN does not have the authority to police website content, these complaints are closed. </w:t>
      </w:r>
    </w:p>
    <w:p w14:paraId="0CDCF325" w14:textId="7DB3FD48" w:rsidR="001802C0" w:rsidRDefault="001802C0" w:rsidP="001802C0">
      <w:pPr>
        <w:pStyle w:val="ListParagraph"/>
        <w:numPr>
          <w:ilvl w:val="0"/>
          <w:numId w:val="2"/>
        </w:numPr>
      </w:pPr>
      <w:r>
        <w:t xml:space="preserve">Hijacking (email or control panel): Hijacking of email addresses or access credentials should be reported to law enforcement. </w:t>
      </w:r>
    </w:p>
    <w:p w14:paraId="42BD92C2" w14:textId="26021079" w:rsidR="001802C0" w:rsidRDefault="001802C0" w:rsidP="001802C0">
      <w:pPr>
        <w:pStyle w:val="ListParagraph"/>
        <w:numPr>
          <w:ilvl w:val="0"/>
          <w:numId w:val="2"/>
        </w:numPr>
      </w:pPr>
      <w:r>
        <w:t>Denied OK – Evidence of fraud: The registrar was justified in refusing to transfer a domain name because of evidence of fraud.</w:t>
      </w:r>
    </w:p>
    <w:p w14:paraId="1739F894" w14:textId="7372A8AA" w:rsidR="001802C0" w:rsidRDefault="001802C0" w:rsidP="001802C0">
      <w:pPr>
        <w:pStyle w:val="ListParagraph"/>
        <w:numPr>
          <w:ilvl w:val="0"/>
          <w:numId w:val="2"/>
        </w:numPr>
      </w:pPr>
      <w:r>
        <w:t>Spam: ICANN does not have authority to address complaints about spam.</w:t>
      </w:r>
    </w:p>
    <w:p w14:paraId="56EA3EA8" w14:textId="502E34D3" w:rsidR="001802C0" w:rsidRDefault="001802C0" w:rsidP="001802C0">
      <w:r>
        <w:t xml:space="preserve">Complaints related to confusion or misunderstanding of a TLD function: </w:t>
      </w:r>
    </w:p>
    <w:p w14:paraId="368CBCA7" w14:textId="253302DD" w:rsidR="001802C0" w:rsidRDefault="001802C0" w:rsidP="001802C0">
      <w:pPr>
        <w:pStyle w:val="ListParagraph"/>
        <w:numPr>
          <w:ilvl w:val="0"/>
          <w:numId w:val="2"/>
        </w:numPr>
      </w:pPr>
      <w:r>
        <w:t xml:space="preserve">Non-IDN: The complaint is not for an IDN domain name. </w:t>
      </w:r>
    </w:p>
    <w:p w14:paraId="031449CE" w14:textId="4FDA232D" w:rsidR="001802C0" w:rsidRDefault="001802C0" w:rsidP="001802C0">
      <w:pPr>
        <w:pStyle w:val="ListParagraph"/>
        <w:numPr>
          <w:ilvl w:val="0"/>
          <w:numId w:val="2"/>
        </w:numPr>
      </w:pPr>
      <w:r>
        <w:t>Registrar does not offer IDNs: Complaint about an IDN registered with a registrar that does not offer IDNs.</w:t>
      </w:r>
    </w:p>
    <w:p w14:paraId="54EAD42A" w14:textId="0AB3AFE5" w:rsidR="001802C0" w:rsidRDefault="001802C0" w:rsidP="001802C0">
      <w:pPr>
        <w:pStyle w:val="ListParagraph"/>
        <w:numPr>
          <w:ilvl w:val="0"/>
          <w:numId w:val="2"/>
        </w:numPr>
      </w:pPr>
      <w:r>
        <w:lastRenderedPageBreak/>
        <w:t xml:space="preserve">Deletion OK: Registrar demonstration that deletion of a domain name was compliant with the 2013 RAA. </w:t>
      </w:r>
    </w:p>
    <w:p w14:paraId="4D7E8B52" w14:textId="4133A4A2" w:rsidR="001802C0" w:rsidRDefault="001802C0" w:rsidP="001802C0">
      <w:pPr>
        <w:pStyle w:val="ListParagraph"/>
        <w:numPr>
          <w:ilvl w:val="0"/>
          <w:numId w:val="2"/>
        </w:numPr>
      </w:pPr>
      <w:r>
        <w:t xml:space="preserve">Not a new </w:t>
      </w:r>
      <w:proofErr w:type="spellStart"/>
      <w:r>
        <w:t>gTLD</w:t>
      </w:r>
      <w:proofErr w:type="spellEnd"/>
      <w:r>
        <w:t xml:space="preserve">: Complaint notice about trademark notices in a domain that is not a new </w:t>
      </w:r>
      <w:proofErr w:type="spellStart"/>
      <w:r>
        <w:t>gTLD</w:t>
      </w:r>
      <w:proofErr w:type="spellEnd"/>
      <w:r>
        <w:t xml:space="preserve">, which require trademark notices. </w:t>
      </w:r>
    </w:p>
    <w:p w14:paraId="15BE50EF" w14:textId="09B62FCA" w:rsidR="001802C0" w:rsidRDefault="001802C0" w:rsidP="001802C0">
      <w:pPr>
        <w:pStyle w:val="ListParagraph"/>
        <w:numPr>
          <w:ilvl w:val="0"/>
          <w:numId w:val="2"/>
        </w:numPr>
      </w:pPr>
      <w:r>
        <w:t xml:space="preserve">Outside claims period: Trademark notice complaint that is outside the claim notice period. </w:t>
      </w:r>
    </w:p>
    <w:p w14:paraId="2935A2E0" w14:textId="5115C512" w:rsidR="001802C0" w:rsidRDefault="002B2E47" w:rsidP="001802C0">
      <w:pPr>
        <w:pStyle w:val="ListParagraph"/>
        <w:numPr>
          <w:ilvl w:val="0"/>
          <w:numId w:val="2"/>
        </w:numPr>
      </w:pPr>
      <w:r>
        <w:t xml:space="preserve">Non-2013 RAA: Complaint is related to a 2013 RAA but the registrar is using a 2001 or 2009 version of the RAA. </w:t>
      </w:r>
    </w:p>
    <w:p w14:paraId="288C359E" w14:textId="659C35FE" w:rsidR="002B2E47" w:rsidRDefault="002B2E47" w:rsidP="001802C0">
      <w:pPr>
        <w:pStyle w:val="ListParagraph"/>
        <w:numPr>
          <w:ilvl w:val="0"/>
          <w:numId w:val="2"/>
        </w:numPr>
      </w:pPr>
      <w:proofErr w:type="spellStart"/>
      <w:proofErr w:type="gramStart"/>
      <w:r>
        <w:t>ccTLD</w:t>
      </w:r>
      <w:proofErr w:type="spellEnd"/>
      <w:proofErr w:type="gramEnd"/>
      <w:r>
        <w:t xml:space="preserve">: The complaint is related to a domain registered in a </w:t>
      </w:r>
      <w:proofErr w:type="spellStart"/>
      <w:r>
        <w:t>ccTLD</w:t>
      </w:r>
      <w:proofErr w:type="spellEnd"/>
      <w:r>
        <w:t xml:space="preserve">. ICANN does not accredit </w:t>
      </w:r>
      <w:proofErr w:type="spellStart"/>
      <w:r>
        <w:t>ccTLD</w:t>
      </w:r>
      <w:proofErr w:type="spellEnd"/>
      <w:r>
        <w:t xml:space="preserve"> registrars. </w:t>
      </w:r>
    </w:p>
    <w:p w14:paraId="69405F7D" w14:textId="12C32A1D" w:rsidR="002B2E47" w:rsidRDefault="002B2E47" w:rsidP="001802C0">
      <w:pPr>
        <w:pStyle w:val="ListParagraph"/>
        <w:numPr>
          <w:ilvl w:val="0"/>
          <w:numId w:val="2"/>
        </w:numPr>
      </w:pPr>
      <w:r>
        <w:t xml:space="preserve">Customer service not in RAA: ICANN does not have contractual authority to address customer service issues that fall outside the RAA. </w:t>
      </w:r>
    </w:p>
    <w:p w14:paraId="51F3D870" w14:textId="105844AB" w:rsidR="002B2E47" w:rsidRDefault="002B2E47" w:rsidP="001802C0">
      <w:pPr>
        <w:pStyle w:val="ListParagraph"/>
        <w:numPr>
          <w:ilvl w:val="0"/>
          <w:numId w:val="2"/>
        </w:numPr>
      </w:pPr>
      <w:r>
        <w:t>Private dispute: The complaint indicates a private dispute between the complainant and a third party, over which ICANN does not have contractual authority.</w:t>
      </w:r>
    </w:p>
    <w:p w14:paraId="7FFC6269" w14:textId="4897ED97" w:rsidR="002B2E47" w:rsidRDefault="002B2E47" w:rsidP="001802C0">
      <w:pPr>
        <w:pStyle w:val="ListParagraph"/>
        <w:numPr>
          <w:ilvl w:val="0"/>
          <w:numId w:val="2"/>
        </w:numPr>
      </w:pPr>
      <w:r>
        <w:t xml:space="preserve">Spam: </w:t>
      </w:r>
      <w:r w:rsidR="007A1496">
        <w:t>ICANN does not have authority to police spam.</w:t>
      </w:r>
    </w:p>
    <w:p w14:paraId="02887909" w14:textId="433FB752" w:rsidR="007A1496" w:rsidRDefault="007A1496" w:rsidP="001802C0">
      <w:pPr>
        <w:pStyle w:val="ListParagraph"/>
        <w:numPr>
          <w:ilvl w:val="0"/>
          <w:numId w:val="2"/>
        </w:numPr>
      </w:pPr>
      <w:r>
        <w:t xml:space="preserve">Website content: ICANN does not regulate website content. </w:t>
      </w:r>
    </w:p>
    <w:p w14:paraId="53F042CE" w14:textId="0EE234EE" w:rsidR="007A1496" w:rsidRDefault="007A1496" w:rsidP="001802C0">
      <w:pPr>
        <w:pStyle w:val="ListParagraph"/>
        <w:numPr>
          <w:ilvl w:val="0"/>
          <w:numId w:val="2"/>
        </w:numPr>
      </w:pPr>
      <w:r>
        <w:t xml:space="preserve">Complaint about wrong website: Complaint referred to a site that is not registered with the referenced registrar. </w:t>
      </w:r>
    </w:p>
    <w:p w14:paraId="17154DA1" w14:textId="34CE9C3E" w:rsidR="007A1496" w:rsidRDefault="007A1496" w:rsidP="001802C0">
      <w:pPr>
        <w:pStyle w:val="ListParagraph"/>
        <w:numPr>
          <w:ilvl w:val="0"/>
          <w:numId w:val="2"/>
        </w:numPr>
      </w:pPr>
      <w:r>
        <w:t xml:space="preserve">Complaint about wrong entity: Complaint referenced a non-ICANN-accredited registrar or a wrong entity. </w:t>
      </w:r>
    </w:p>
    <w:p w14:paraId="3C2C0941" w14:textId="21522028" w:rsidR="007A1496" w:rsidRDefault="007A1496" w:rsidP="001802C0">
      <w:pPr>
        <w:pStyle w:val="ListParagraph"/>
        <w:numPr>
          <w:ilvl w:val="0"/>
          <w:numId w:val="2"/>
        </w:numPr>
      </w:pPr>
      <w:r>
        <w:t xml:space="preserve">Complaint outside data retention obligations: Complaint references data that registrars aren’t obligated to maintain or those that can no longer be maintained due to age. </w:t>
      </w:r>
    </w:p>
    <w:p w14:paraId="1F01C0E7" w14:textId="2973B814" w:rsidR="007A1496" w:rsidRDefault="007A1496" w:rsidP="001802C0">
      <w:pPr>
        <w:pStyle w:val="ListParagraph"/>
        <w:numPr>
          <w:ilvl w:val="0"/>
          <w:numId w:val="2"/>
        </w:numPr>
      </w:pPr>
      <w:r>
        <w:t xml:space="preserve">Irrelevant: A </w:t>
      </w:r>
      <w:proofErr w:type="spellStart"/>
      <w:r>
        <w:t>Whois</w:t>
      </w:r>
      <w:proofErr w:type="spellEnd"/>
      <w:r>
        <w:t xml:space="preserve">-related complaint for an irrelevant/invalid complaint. </w:t>
      </w:r>
    </w:p>
    <w:p w14:paraId="4A39E0D9" w14:textId="1F4ACA79" w:rsidR="007A1496" w:rsidRDefault="007A1496" w:rsidP="001802C0">
      <w:pPr>
        <w:pStyle w:val="ListParagraph"/>
        <w:numPr>
          <w:ilvl w:val="0"/>
          <w:numId w:val="2"/>
        </w:numPr>
      </w:pPr>
      <w:r>
        <w:t xml:space="preserve">Complainant owns domain name: Complainant owns the domain name about which they are complaining. </w:t>
      </w:r>
    </w:p>
    <w:p w14:paraId="0B99D78C" w14:textId="6693D063" w:rsidR="007A1496" w:rsidRDefault="007A1496" w:rsidP="001802C0">
      <w:pPr>
        <w:pStyle w:val="ListParagraph"/>
        <w:numPr>
          <w:ilvl w:val="0"/>
          <w:numId w:val="2"/>
        </w:numPr>
      </w:pPr>
      <w:r>
        <w:t>Complaint outside scope: Complaint falls outside provisions of registry agreement.</w:t>
      </w:r>
    </w:p>
    <w:p w14:paraId="0CE27449" w14:textId="374FD173" w:rsidR="007A1496" w:rsidRDefault="007A1496" w:rsidP="001802C0">
      <w:pPr>
        <w:pStyle w:val="ListParagraph"/>
        <w:numPr>
          <w:ilvl w:val="0"/>
          <w:numId w:val="2"/>
        </w:numPr>
      </w:pPr>
      <w:r>
        <w:t xml:space="preserve">ICANN not a registrar: ICANN doesn’t register domain names. </w:t>
      </w:r>
    </w:p>
    <w:p w14:paraId="361AA59A" w14:textId="2BBE7B86" w:rsidR="007A1496" w:rsidRDefault="007A1496" w:rsidP="007A1496">
      <w:pPr>
        <w:pStyle w:val="ListParagraph"/>
        <w:numPr>
          <w:ilvl w:val="0"/>
          <w:numId w:val="2"/>
        </w:numPr>
      </w:pPr>
      <w:r>
        <w:t xml:space="preserve">Not applicable to this TLD (Invalid): </w:t>
      </w:r>
      <w:r w:rsidRPr="007A1496">
        <w:t>The complaint is not applicable to the generic, top-level domain (</w:t>
      </w:r>
      <w:proofErr w:type="spellStart"/>
      <w:r w:rsidRPr="007A1496">
        <w:t>gTLD</w:t>
      </w:r>
      <w:proofErr w:type="spellEnd"/>
      <w:r w:rsidRPr="007A1496">
        <w:t xml:space="preserve">) of </w:t>
      </w:r>
      <w:r>
        <w:t>the</w:t>
      </w:r>
      <w:r w:rsidRPr="007A1496">
        <w:t xml:space="preserve"> complaint.  </w:t>
      </w:r>
    </w:p>
    <w:p w14:paraId="45959B92" w14:textId="52D8B653" w:rsidR="007A1496" w:rsidRDefault="007A1496" w:rsidP="007A1496">
      <w:pPr>
        <w:pStyle w:val="ListParagraph"/>
        <w:numPr>
          <w:ilvl w:val="0"/>
          <w:numId w:val="2"/>
        </w:numPr>
      </w:pPr>
      <w:r>
        <w:t xml:space="preserve">Reseller/web hosting: Complaint falls outside the scope of the RAA and is with an entity that does not have a contractual relationship with ICANN. </w:t>
      </w:r>
    </w:p>
    <w:p w14:paraId="2ABA9451" w14:textId="49D2230D" w:rsidR="007A1496" w:rsidRDefault="007A1496" w:rsidP="007A1496">
      <w:pPr>
        <w:pStyle w:val="ListParagraph"/>
        <w:numPr>
          <w:ilvl w:val="0"/>
          <w:numId w:val="2"/>
        </w:numPr>
      </w:pPr>
      <w:r>
        <w:t>Blocked SLD confirmed (Invalid): T</w:t>
      </w:r>
      <w:r w:rsidRPr="007A1496">
        <w:t xml:space="preserve">he registry operator may reserve or block additional character strings at its own discretion; or the second level domain (SLD) name of </w:t>
      </w:r>
      <w:r>
        <w:t>the</w:t>
      </w:r>
      <w:r w:rsidRPr="007A1496">
        <w:t xml:space="preserve"> complaint is in the list of SLD names required to be blocked per the Alternate Path to Delega</w:t>
      </w:r>
      <w:r>
        <w:t xml:space="preserve">tion Report of the </w:t>
      </w:r>
      <w:proofErr w:type="spellStart"/>
      <w:r>
        <w:t>gTLD</w:t>
      </w:r>
      <w:proofErr w:type="spellEnd"/>
      <w:r>
        <w:t xml:space="preserve"> of the </w:t>
      </w:r>
      <w:r w:rsidRPr="007A1496">
        <w:t>complaint.</w:t>
      </w:r>
    </w:p>
    <w:p w14:paraId="45B076D7" w14:textId="7FCD10C7" w:rsidR="0061577E" w:rsidRDefault="0061577E" w:rsidP="0061577E">
      <w:pPr>
        <w:pStyle w:val="Heading4"/>
      </w:pPr>
      <w:bookmarkStart w:id="14" w:name="_GoBack"/>
      <w:r>
        <w:t xml:space="preserve">5.2: </w:t>
      </w:r>
      <w:r w:rsidRPr="0061577E">
        <w:t>Growth in use of hosted pages for organizations (such as Facebook or Google+)</w:t>
      </w:r>
    </w:p>
    <w:p w14:paraId="7909A69D" w14:textId="2A6077FA" w:rsidR="0061577E" w:rsidRDefault="0061577E" w:rsidP="0061577E">
      <w:pPr>
        <w:pStyle w:val="Heading4"/>
      </w:pPr>
      <w:r>
        <w:t xml:space="preserve">5.3: </w:t>
      </w:r>
      <w:r w:rsidRPr="0061577E">
        <w:t>Growth in use of QR codes</w:t>
      </w:r>
    </w:p>
    <w:p w14:paraId="51E77FAC" w14:textId="24A7B7A2" w:rsidR="0061577E" w:rsidRDefault="0061577E" w:rsidP="0061577E">
      <w:pPr>
        <w:pStyle w:val="Heading4"/>
      </w:pPr>
      <w:r>
        <w:t xml:space="preserve">5.4: </w:t>
      </w:r>
      <w:r w:rsidRPr="0061577E">
        <w:t>Growth in use of URL shortening services</w:t>
      </w:r>
    </w:p>
    <w:p w14:paraId="346F3F12" w14:textId="62E3FD4B" w:rsidR="00FC554C" w:rsidRDefault="00FC554C" w:rsidP="00FC554C">
      <w:r>
        <w:t xml:space="preserve">There was disagreement among IAG-CCT members on the utility of these metrics as gauges of trust in the DNS. </w:t>
      </w:r>
      <w:r w:rsidR="004A6278">
        <w:t xml:space="preserve">Some members argued that growth in the use of alternative </w:t>
      </w:r>
      <w:r w:rsidR="00E15E24">
        <w:t xml:space="preserve">tools to access content on the Internet is more a reflection of changes in how people interact with the DNS than a measure of trust. As such, some members argued that it may be a better indicator of choice, though not choice in the DNS. </w:t>
      </w:r>
    </w:p>
    <w:p w14:paraId="48F10F47" w14:textId="1E3E10B4" w:rsidR="00E15E24" w:rsidRDefault="00E15E24" w:rsidP="00FC554C">
      <w:r>
        <w:lastRenderedPageBreak/>
        <w:t xml:space="preserve">Other IAG-CCT members suggested the metrics are reliable indicators of trust because growth in the use of these services may indicate diminished trust in and use of what may arguably be more memorable domain names in the new </w:t>
      </w:r>
      <w:proofErr w:type="spellStart"/>
      <w:r>
        <w:t>gTLDs</w:t>
      </w:r>
      <w:proofErr w:type="spellEnd"/>
      <w:r>
        <w:t xml:space="preserve">. </w:t>
      </w:r>
    </w:p>
    <w:p w14:paraId="4357DF81" w14:textId="77777777" w:rsidR="00545CB7" w:rsidRDefault="00545CB7" w:rsidP="00545CB7">
      <w:r>
        <w:t xml:space="preserve">Because the data is available, for a fee, using market research and other web analytic firms, the group decided to recommend collection of this data to the review team. ICANN staff recommend considering the findings in context, perhaps in consideration with DNS traffic in new </w:t>
      </w:r>
      <w:proofErr w:type="spellStart"/>
      <w:r>
        <w:t>gTLDs</w:t>
      </w:r>
      <w:proofErr w:type="spellEnd"/>
      <w:r>
        <w:t xml:space="preserve"> to be measured in 2.14. </w:t>
      </w:r>
    </w:p>
    <w:bookmarkEnd w:id="14"/>
    <w:p w14:paraId="1931920F" w14:textId="42143E37" w:rsidR="0061577E" w:rsidRDefault="0061577E" w:rsidP="00545CB7">
      <w:pPr>
        <w:pStyle w:val="Heading4"/>
      </w:pPr>
      <w:r>
        <w:t xml:space="preserve">6.2: </w:t>
      </w:r>
      <w:r w:rsidRPr="0061577E">
        <w:t>Number of complaints to police agencies alleging fraud or misrepresentation based on – or traced to – domain names</w:t>
      </w:r>
    </w:p>
    <w:p w14:paraId="2462B4D3" w14:textId="4F722B58" w:rsidR="009F1078" w:rsidRPr="002421F0" w:rsidRDefault="002421F0" w:rsidP="002421F0">
      <w:r>
        <w:t xml:space="preserve">The review team may want to consider rephrasing this metric to be more broadly inclusive of </w:t>
      </w:r>
      <w:proofErr w:type="spellStart"/>
      <w:r>
        <w:t xml:space="preserve">cyber </w:t>
      </w:r>
      <w:proofErr w:type="gramStart"/>
      <w:r>
        <w:t>crime</w:t>
      </w:r>
      <w:proofErr w:type="spellEnd"/>
      <w:proofErr w:type="gramEnd"/>
      <w:r>
        <w:t xml:space="preserve"> or cyber fraud, as opposed to connecting those crimes to domain names, which may be difficult to track. There is global data available on </w:t>
      </w:r>
      <w:proofErr w:type="spellStart"/>
      <w:r>
        <w:t>cyber crime</w:t>
      </w:r>
      <w:proofErr w:type="spellEnd"/>
      <w:r w:rsidR="000C057D">
        <w:t>, such as Kroll’s Global Fraud Report and econsumer.gov, a</w:t>
      </w:r>
      <w:r w:rsidR="009F1078">
        <w:t xml:space="preserve">n initiative of the International Consumer Protection and Enforcement Network. </w:t>
      </w:r>
    </w:p>
    <w:p w14:paraId="0A409B53" w14:textId="17049767" w:rsidR="00366440" w:rsidRDefault="00366440" w:rsidP="00602EFE">
      <w:pPr>
        <w:pStyle w:val="Heading3"/>
      </w:pPr>
      <w:bookmarkStart w:id="15" w:name="_Toc399424506"/>
      <w:r>
        <w:t>Metrics that were not recommended</w:t>
      </w:r>
      <w:bookmarkEnd w:id="15"/>
      <w:r>
        <w:t xml:space="preserve"> </w:t>
      </w:r>
    </w:p>
    <w:p w14:paraId="24C3AC4F" w14:textId="32864C03" w:rsidR="002C5763" w:rsidRDefault="002C5763" w:rsidP="002C5763">
      <w:r>
        <w:t xml:space="preserve">The following metrics were deemed to be redundant, presented difficulties </w:t>
      </w:r>
      <w:r w:rsidR="006B47D6">
        <w:t xml:space="preserve">for data collection, or were defined in such a way that other metrics may be capturing the same information. </w:t>
      </w:r>
    </w:p>
    <w:p w14:paraId="5D5C21B7" w14:textId="48A34D2C" w:rsidR="006B47D6" w:rsidRDefault="006B47D6" w:rsidP="006B47D6">
      <w:pPr>
        <w:pStyle w:val="Heading4"/>
      </w:pPr>
      <w:r>
        <w:t xml:space="preserve">2.13: </w:t>
      </w:r>
      <w:r w:rsidRPr="006B47D6">
        <w:t xml:space="preserve">Biennial survey of perceived consumer choice relative to experiences before the </w:t>
      </w:r>
      <w:proofErr w:type="spellStart"/>
      <w:r w:rsidRPr="006B47D6">
        <w:t>gTLD</w:t>
      </w:r>
      <w:proofErr w:type="spellEnd"/>
      <w:r w:rsidRPr="006B47D6">
        <w:t xml:space="preserve"> expansion. Survey should assess public awareness of new </w:t>
      </w:r>
      <w:proofErr w:type="spellStart"/>
      <w:r w:rsidRPr="006B47D6">
        <w:t>gTLDs</w:t>
      </w:r>
      <w:proofErr w:type="spellEnd"/>
      <w:r w:rsidRPr="006B47D6">
        <w:t xml:space="preserve">.  Survey should also measure costs of defensive or duplicate registrations. Survey should assess motivations, intent, and satisfaction with new </w:t>
      </w:r>
      <w:proofErr w:type="spellStart"/>
      <w:r w:rsidRPr="006B47D6">
        <w:t>gTLDs</w:t>
      </w:r>
      <w:proofErr w:type="spellEnd"/>
      <w:r w:rsidRPr="006B47D6">
        <w:t>.</w:t>
      </w:r>
    </w:p>
    <w:p w14:paraId="6190122E" w14:textId="70FCC810" w:rsidR="006B47D6" w:rsidRDefault="006B47D6" w:rsidP="006B47D6">
      <w:r>
        <w:t xml:space="preserve">IAG-CCT members decided this metric was duplicative of metric 2.3: </w:t>
      </w:r>
      <w:r w:rsidRPr="006B47D6">
        <w:t xml:space="preserve">Biennial surveys of perceived consumer choice in DNS, relative to experience before the </w:t>
      </w:r>
      <w:proofErr w:type="spellStart"/>
      <w:r w:rsidRPr="006B47D6">
        <w:t>gTLD</w:t>
      </w:r>
      <w:proofErr w:type="spellEnd"/>
      <w:r w:rsidRPr="006B47D6">
        <w:t xml:space="preserve"> expansion.</w:t>
      </w:r>
    </w:p>
    <w:p w14:paraId="3DA6020C" w14:textId="24A953B0" w:rsidR="006B47D6" w:rsidRDefault="006B47D6" w:rsidP="006B47D6">
      <w:pPr>
        <w:pStyle w:val="Heading4"/>
      </w:pPr>
      <w:r>
        <w:t xml:space="preserve">5.6: </w:t>
      </w:r>
      <w:r w:rsidRPr="006B47D6">
        <w:t>Growth of Software Defined Networking (SDN) as alternative to the DNS</w:t>
      </w:r>
    </w:p>
    <w:p w14:paraId="4943DEC9" w14:textId="2B36D929" w:rsidR="006B47D6" w:rsidRDefault="006B47D6" w:rsidP="006B47D6">
      <w:r>
        <w:t xml:space="preserve">For the purposes of this analysis, SDN was defined as those tools that hide a URL when navigating the Internet, such as QR codes. Given that the group recommended the collection of data related to tools that present an alternative to memorable domain names in metrics 5.2-5.4, the IAG-CCT members chose to recommend this metric for exclusion from the analysis. </w:t>
      </w:r>
      <w:r w:rsidR="00510F32">
        <w:t xml:space="preserve">IAG-CCT members also noted another definition for SDN as a different approach to computer networking. </w:t>
      </w:r>
    </w:p>
    <w:p w14:paraId="5F3D962E" w14:textId="6DCCCE4E" w:rsidR="006B47D6" w:rsidRDefault="006B47D6" w:rsidP="006B47D6">
      <w:pPr>
        <w:pStyle w:val="Heading4"/>
      </w:pPr>
      <w:r>
        <w:t xml:space="preserve">6.1: </w:t>
      </w:r>
      <w:r w:rsidRPr="006B47D6">
        <w:t>Number of consumer complaints to government agencies related to confusing or misleading domain names</w:t>
      </w:r>
    </w:p>
    <w:p w14:paraId="73A1849B" w14:textId="1B9EB6ED" w:rsidR="006B47D6" w:rsidRDefault="000F0F91" w:rsidP="006B47D6">
      <w:r>
        <w:t>The IAG-CCT members agreed that this would be difficult data to capture from government agencies that may track data in disparate ways</w:t>
      </w:r>
      <w:r w:rsidR="0022664F">
        <w:t>. In addition, the group expressed concern that the</w:t>
      </w:r>
      <w:r>
        <w:t xml:space="preserve"> </w:t>
      </w:r>
      <w:r w:rsidR="0022664F">
        <w:t xml:space="preserve">“confusing or misleading domain names” may be difficult to define in a consistent way across different legal environments and cultures.  </w:t>
      </w:r>
    </w:p>
    <w:p w14:paraId="32DC5EB7" w14:textId="392AF3BA" w:rsidR="0022664F" w:rsidRDefault="0022664F" w:rsidP="0022664F">
      <w:pPr>
        <w:pStyle w:val="Heading4"/>
      </w:pPr>
      <w:r>
        <w:t xml:space="preserve">6.3: </w:t>
      </w:r>
      <w:r w:rsidRPr="0022664F">
        <w:t>Number of fraud investigations where WHOIS information positively assisted investigation and identification of offending parties</w:t>
      </w:r>
    </w:p>
    <w:p w14:paraId="7F7D7168" w14:textId="2C0E0AE4" w:rsidR="0022664F" w:rsidRDefault="0022664F" w:rsidP="0022664F">
      <w:r>
        <w:t xml:space="preserve">The group recommended this metric be excluded from the evaluation as feedback indicated law enforcement would be unwilling to reveal their investigation techniques in a public way, nor were they likely to keep track of this data on a larger scale. Further, some members suggested that there was little connection between this metric and the success of the </w:t>
      </w:r>
      <w:proofErr w:type="gramStart"/>
      <w:r>
        <w:t>New</w:t>
      </w:r>
      <w:proofErr w:type="gramEnd"/>
      <w:r>
        <w:t xml:space="preserve"> </w:t>
      </w:r>
      <w:proofErr w:type="spellStart"/>
      <w:r>
        <w:t>gTLD</w:t>
      </w:r>
      <w:proofErr w:type="spellEnd"/>
      <w:r>
        <w:t xml:space="preserve"> Program. </w:t>
      </w:r>
    </w:p>
    <w:p w14:paraId="2F31FEF0" w14:textId="35C22D72" w:rsidR="0022664F" w:rsidRDefault="0022664F" w:rsidP="0022664F">
      <w:pPr>
        <w:pStyle w:val="Heading4"/>
      </w:pPr>
      <w:r>
        <w:lastRenderedPageBreak/>
        <w:t xml:space="preserve">8.2: </w:t>
      </w:r>
      <w:r w:rsidRPr="0022664F">
        <w:t>How many registries are subject to Compliance activity based on reported breaches of RAA</w:t>
      </w:r>
      <w:r>
        <w:t xml:space="preserve">? </w:t>
      </w:r>
    </w:p>
    <w:p w14:paraId="79470CC7" w14:textId="54A02DF5" w:rsidR="0022664F" w:rsidRPr="0022664F" w:rsidRDefault="0022664F" w:rsidP="0022664F">
      <w:r>
        <w:t xml:space="preserve">The </w:t>
      </w:r>
      <w:r w:rsidR="00B44103">
        <w:t>group members agreed that metric 1.</w:t>
      </w:r>
      <w:r w:rsidR="00B83C33">
        <w:t>6</w:t>
      </w:r>
      <w:r w:rsidR="00B44103">
        <w:t xml:space="preserve">, </w:t>
      </w:r>
      <w:r w:rsidR="00B83C33" w:rsidRPr="00B83C33">
        <w:t>Relative incidence of breach notices issued to Registry operators for contra</w:t>
      </w:r>
      <w:r w:rsidR="00B83C33">
        <w:t xml:space="preserve">ct or policy compliance matters, </w:t>
      </w:r>
      <w:r w:rsidR="00192EE1">
        <w:t xml:space="preserve">covers this topic </w:t>
      </w:r>
      <w:r w:rsidR="00B83C33">
        <w:t xml:space="preserve">given that registries are not subject to compliance activity based on reported breaches of an RAA. Further, metric 1.7 also captures compliance activity related to registrar breach notices: </w:t>
      </w:r>
      <w:r w:rsidR="00B83C33" w:rsidRPr="00B83C33">
        <w:t>Relative incidence of breach notices issued to Registrars, for contract or policy compliance matters.</w:t>
      </w:r>
      <w:r w:rsidR="00192EE1">
        <w:t xml:space="preserve"> Consequently, this measure was recommended for exclusion. </w:t>
      </w:r>
    </w:p>
    <w:p w14:paraId="6B937373" w14:textId="77777777" w:rsidR="00DB071D" w:rsidRPr="00366440" w:rsidRDefault="00E479A3" w:rsidP="00602EFE">
      <w:pPr>
        <w:pStyle w:val="Heading2"/>
      </w:pPr>
      <w:bookmarkStart w:id="16" w:name="_Toc399424507"/>
      <w:r w:rsidRPr="00366440">
        <w:t>Proposed new metrics</w:t>
      </w:r>
      <w:bookmarkEnd w:id="16"/>
    </w:p>
    <w:p w14:paraId="105FF729" w14:textId="302AE279" w:rsidR="00236BF4" w:rsidRPr="00236BF4" w:rsidRDefault="00682A9B" w:rsidP="00236BF4">
      <w:r>
        <w:t xml:space="preserve">Over the course of its discussions, IAG-CCT members raised examples of potential abuses in the </w:t>
      </w:r>
      <w:proofErr w:type="gramStart"/>
      <w:r>
        <w:t>New</w:t>
      </w:r>
      <w:proofErr w:type="gramEnd"/>
      <w:r>
        <w:t xml:space="preserve"> </w:t>
      </w:r>
      <w:proofErr w:type="spellStart"/>
      <w:r>
        <w:t>gTLD</w:t>
      </w:r>
      <w:proofErr w:type="spellEnd"/>
      <w:r>
        <w:t xml:space="preserve"> Program and debated potential sources of data that may be able to quantify some of that activity. As a result, the group came up with 14 pot</w:t>
      </w:r>
      <w:r w:rsidR="009E7CAF">
        <w:t>ential new metrics. The group ca</w:t>
      </w:r>
      <w:r>
        <w:t xml:space="preserve">me to the consensus that many of these could be included in the economic study ICANN is commissioning to evaluate pricing trends and marketing models. </w:t>
      </w:r>
      <w:r w:rsidR="009E7CAF">
        <w:t xml:space="preserve">Others were deemed difficult to obtain or would rely on contracted parties providing the data. Below are listed each of the metrics followed by both IAG-CCT and staff feedback on their utility. </w:t>
      </w:r>
    </w:p>
    <w:p w14:paraId="4C9992D8" w14:textId="77777777" w:rsidR="00DB071D" w:rsidRDefault="00E479A3" w:rsidP="00602EFE">
      <w:pPr>
        <w:pStyle w:val="Heading3"/>
      </w:pPr>
      <w:bookmarkStart w:id="17" w:name="_Toc399424508"/>
      <w:r w:rsidRPr="00366440">
        <w:t>Evaluation</w:t>
      </w:r>
      <w:bookmarkEnd w:id="17"/>
    </w:p>
    <w:p w14:paraId="3AA35617" w14:textId="0DB57580" w:rsidR="00236BF4" w:rsidRDefault="009E7CAF" w:rsidP="009E7CAF">
      <w:pPr>
        <w:pStyle w:val="ListParagraph"/>
        <w:numPr>
          <w:ilvl w:val="0"/>
          <w:numId w:val="4"/>
        </w:numPr>
      </w:pPr>
      <w:r w:rsidRPr="009E7CAF">
        <w:t>Number or percentage of failed registrations</w:t>
      </w:r>
    </w:p>
    <w:p w14:paraId="13DDEA4D" w14:textId="5C0CF808" w:rsidR="009E7CAF" w:rsidRDefault="009E7CAF" w:rsidP="009E7CAF">
      <w:pPr>
        <w:pStyle w:val="ListParagraph"/>
        <w:numPr>
          <w:ilvl w:val="0"/>
          <w:numId w:val="4"/>
        </w:numPr>
      </w:pPr>
      <w:r w:rsidRPr="009E7CAF">
        <w:t>Percentage or number of pre-registrations that converted into real registrations</w:t>
      </w:r>
    </w:p>
    <w:p w14:paraId="4F7E7D6E" w14:textId="6BE5E7F7" w:rsidR="009E7CAF" w:rsidRDefault="009E7CAF" w:rsidP="009E7CAF">
      <w:pPr>
        <w:pStyle w:val="ListParagraph"/>
        <w:numPr>
          <w:ilvl w:val="0"/>
          <w:numId w:val="4"/>
        </w:numPr>
      </w:pPr>
      <w:r w:rsidRPr="009E7CAF">
        <w:t xml:space="preserve">Number of registrars who accepted pre-registrations on </w:t>
      </w:r>
      <w:proofErr w:type="spellStart"/>
      <w:r w:rsidRPr="009E7CAF">
        <w:t>gTLDs</w:t>
      </w:r>
      <w:proofErr w:type="spellEnd"/>
      <w:r w:rsidRPr="009E7CAF">
        <w:t xml:space="preserve"> but did not enter into a contract with the registry</w:t>
      </w:r>
    </w:p>
    <w:p w14:paraId="124442EA" w14:textId="05D2DE31" w:rsidR="009E7CAF" w:rsidRDefault="009E7CAF" w:rsidP="009E7CAF">
      <w:pPr>
        <w:ind w:left="360"/>
      </w:pPr>
      <w:r w:rsidRPr="00161365">
        <w:rPr>
          <w:i/>
        </w:rPr>
        <w:t>Evaluation</w:t>
      </w:r>
      <w:r>
        <w:t xml:space="preserve">: ICANN does not have access to this data and would have to ask registrars for their cooperation in providing this information. With more than 1,000 accredited registrars, it could prove difficult to capture a meaningful sample of registrars willing to provide the necessary data. Further, some of the data may not be an accurate indicator of trust or choice. For example, in metric 1, failed registrations may be due to canceled credit card transactions or a registrant changing her mind. Similarly with metric 2, an increase over time may simply be an indicator of trust in a registrar and not necessarily in the DNS. Some data related to metric 3 may be captured in the economic study insofar as it relates to registrars marketing new </w:t>
      </w:r>
      <w:proofErr w:type="spellStart"/>
      <w:r>
        <w:t>gTLDs</w:t>
      </w:r>
      <w:proofErr w:type="spellEnd"/>
      <w:r>
        <w:t xml:space="preserve">. </w:t>
      </w:r>
    </w:p>
    <w:p w14:paraId="72FC2E9B" w14:textId="00FEF851" w:rsidR="00D078FA" w:rsidRDefault="00D078FA" w:rsidP="00D078FA">
      <w:pPr>
        <w:pStyle w:val="ListParagraph"/>
        <w:numPr>
          <w:ilvl w:val="0"/>
          <w:numId w:val="4"/>
        </w:numPr>
      </w:pPr>
      <w:r w:rsidRPr="00D078FA">
        <w:t>How were users informed or able to purchase premium names</w:t>
      </w:r>
      <w:r>
        <w:t>?</w:t>
      </w:r>
    </w:p>
    <w:p w14:paraId="5FF62539" w14:textId="474809AB" w:rsidR="00D078FA" w:rsidRDefault="00D078FA" w:rsidP="00D078FA">
      <w:pPr>
        <w:ind w:left="360"/>
      </w:pPr>
      <w:r w:rsidRPr="00161365">
        <w:rPr>
          <w:i/>
        </w:rPr>
        <w:t>Evaluation</w:t>
      </w:r>
      <w:r>
        <w:t xml:space="preserve">: The group recommended incorporating this question into the economic study. </w:t>
      </w:r>
    </w:p>
    <w:p w14:paraId="622BD99B" w14:textId="1465EB6F" w:rsidR="00D078FA" w:rsidRDefault="00D078FA" w:rsidP="00D078FA">
      <w:pPr>
        <w:pStyle w:val="ListParagraph"/>
        <w:numPr>
          <w:ilvl w:val="0"/>
          <w:numId w:val="4"/>
        </w:numPr>
      </w:pPr>
      <w:r w:rsidRPr="00D078FA">
        <w:t>Number of registrat</w:t>
      </w:r>
      <w:r>
        <w:t>ions that are non-arms</w:t>
      </w:r>
      <w:r w:rsidR="00210AC4">
        <w:t>-</w:t>
      </w:r>
      <w:r>
        <w:t xml:space="preserve">length transactions. </w:t>
      </w:r>
    </w:p>
    <w:p w14:paraId="3DA24FA8" w14:textId="65FEB944" w:rsidR="00D078FA" w:rsidRDefault="00D078FA" w:rsidP="00D078FA">
      <w:pPr>
        <w:pStyle w:val="ListParagraph"/>
        <w:numPr>
          <w:ilvl w:val="0"/>
          <w:numId w:val="4"/>
        </w:numPr>
      </w:pPr>
      <w:r w:rsidRPr="00D078FA">
        <w:t>If a registration was non-arms</w:t>
      </w:r>
      <w:r w:rsidR="00210AC4">
        <w:t>-</w:t>
      </w:r>
      <w:r w:rsidRPr="00D078FA">
        <w:t xml:space="preserve">length transaction how was the domain used?  </w:t>
      </w:r>
    </w:p>
    <w:p w14:paraId="4DB2B400" w14:textId="329A76A3" w:rsidR="003C0128" w:rsidRDefault="00D078FA" w:rsidP="00D078FA">
      <w:pPr>
        <w:ind w:left="360"/>
      </w:pPr>
      <w:r w:rsidRPr="00161365">
        <w:rPr>
          <w:i/>
        </w:rPr>
        <w:t>Evaluation</w:t>
      </w:r>
      <w:r>
        <w:t xml:space="preserve">: </w:t>
      </w:r>
      <w:r w:rsidR="00210AC4">
        <w:t xml:space="preserve">Arms-length transactions were defined as those which involve a third party in the registration of a domain name. </w:t>
      </w:r>
      <w:r w:rsidR="00C462A4">
        <w:t>For example, if a registry is registering domain names through a related party, it would be considered an arms-length transaction. If it was directly registering domain names, that would be considered non-arms-length.</w:t>
      </w:r>
      <w:r w:rsidR="003C0128">
        <w:t xml:space="preserve"> The data may be difficult to obtain as it relies on registries’ self-reporting these figures. Gathering a representative sample of these figures from enough new </w:t>
      </w:r>
      <w:proofErr w:type="spellStart"/>
      <w:r w:rsidR="003C0128">
        <w:t>gTLDs</w:t>
      </w:r>
      <w:proofErr w:type="spellEnd"/>
      <w:r w:rsidR="003C0128">
        <w:t xml:space="preserve"> to draw valid conclusions may be a challenge. </w:t>
      </w:r>
    </w:p>
    <w:p w14:paraId="3829E48D" w14:textId="5BB05584" w:rsidR="00D078FA" w:rsidRDefault="00C462A4" w:rsidP="00D078FA">
      <w:pPr>
        <w:ind w:left="360"/>
      </w:pPr>
      <w:r>
        <w:t xml:space="preserve">The metrics question the impact of such behavior on consumer trust and choice. These metrics may be somewhat addressed in metric 2.8, the share of sunrise registrations and domain blocks in new </w:t>
      </w:r>
      <w:proofErr w:type="spellStart"/>
      <w:r>
        <w:lastRenderedPageBreak/>
        <w:t>gTLDs</w:t>
      </w:r>
      <w:proofErr w:type="spellEnd"/>
      <w:r>
        <w:t xml:space="preserve">. </w:t>
      </w:r>
      <w:proofErr w:type="spellStart"/>
      <w:r>
        <w:t>Evaluting</w:t>
      </w:r>
      <w:proofErr w:type="spellEnd"/>
      <w:r>
        <w:t xml:space="preserve"> these registrations for motive may be difficult to establish. </w:t>
      </w:r>
      <w:r w:rsidR="003C0128">
        <w:t xml:space="preserve">Survey metrics related to registrants’ experiences attempting to register domain names in new </w:t>
      </w:r>
      <w:proofErr w:type="spellStart"/>
      <w:r w:rsidR="003C0128">
        <w:t>gTLDs</w:t>
      </w:r>
      <w:proofErr w:type="spellEnd"/>
      <w:r w:rsidR="003C0128">
        <w:t xml:space="preserve"> may help to provide context for this metric. </w:t>
      </w:r>
    </w:p>
    <w:p w14:paraId="035A699B" w14:textId="6B4A1650" w:rsidR="00D078FA" w:rsidRDefault="00D078FA" w:rsidP="00D078FA">
      <w:pPr>
        <w:pStyle w:val="ListParagraph"/>
        <w:numPr>
          <w:ilvl w:val="0"/>
          <w:numId w:val="4"/>
        </w:numPr>
      </w:pPr>
      <w:r w:rsidRPr="00D078FA">
        <w:t xml:space="preserve">Which </w:t>
      </w:r>
      <w:r>
        <w:t>r</w:t>
      </w:r>
      <w:r w:rsidRPr="00D078FA">
        <w:t xml:space="preserve">egistries and TLDs are supported by which </w:t>
      </w:r>
      <w:r>
        <w:t>r</w:t>
      </w:r>
      <w:r w:rsidRPr="00D078FA">
        <w:t>egistrars?</w:t>
      </w:r>
    </w:p>
    <w:p w14:paraId="1446E936" w14:textId="7270E4DC" w:rsidR="00D078FA" w:rsidRDefault="00D078FA" w:rsidP="00D078FA">
      <w:pPr>
        <w:pStyle w:val="ListParagraph"/>
        <w:numPr>
          <w:ilvl w:val="0"/>
          <w:numId w:val="4"/>
        </w:numPr>
      </w:pPr>
      <w:r w:rsidRPr="00D078FA">
        <w:t xml:space="preserve">How </w:t>
      </w:r>
      <w:r>
        <w:t xml:space="preserve">does </w:t>
      </w:r>
      <w:r w:rsidRPr="00D078FA">
        <w:t xml:space="preserve">each </w:t>
      </w:r>
      <w:r>
        <w:t>r</w:t>
      </w:r>
      <w:r w:rsidR="00130C5E">
        <w:t>egistrar present</w:t>
      </w:r>
      <w:r w:rsidRPr="00D078FA">
        <w:t xml:space="preserve"> each TLD on their websit</w:t>
      </w:r>
      <w:r>
        <w:t>es, from the point of view of “</w:t>
      </w:r>
      <w:r w:rsidRPr="00D078FA">
        <w:t>shelf space</w:t>
      </w:r>
      <w:r>
        <w:t>”</w:t>
      </w:r>
      <w:r w:rsidRPr="00D078FA">
        <w:t xml:space="preserve"> and the user experience?</w:t>
      </w:r>
    </w:p>
    <w:p w14:paraId="6249E37E" w14:textId="7F45D365" w:rsidR="00D078FA" w:rsidRDefault="00D078FA" w:rsidP="00D078FA">
      <w:pPr>
        <w:pStyle w:val="ListParagraph"/>
        <w:numPr>
          <w:ilvl w:val="0"/>
          <w:numId w:val="4"/>
        </w:numPr>
      </w:pPr>
      <w:r>
        <w:t>Is</w:t>
      </w:r>
      <w:r w:rsidRPr="00D078FA">
        <w:t xml:space="preserve"> the</w:t>
      </w:r>
      <w:r>
        <w:t xml:space="preserve"> presentation or prioritiz</w:t>
      </w:r>
      <w:r w:rsidRPr="00D078FA">
        <w:t xml:space="preserve">ation of </w:t>
      </w:r>
      <w:r>
        <w:t>“shelf space”</w:t>
      </w:r>
      <w:r w:rsidRPr="00D078FA">
        <w:t xml:space="preserve"> among available TLDs is fixed, randomly rotated, or adaptable according to differ</w:t>
      </w:r>
      <w:r>
        <w:t>ent criteria, including payment?</w:t>
      </w:r>
    </w:p>
    <w:p w14:paraId="315AB105" w14:textId="5650FC10" w:rsidR="00D078FA" w:rsidRDefault="00D078FA" w:rsidP="00D078FA">
      <w:pPr>
        <w:pStyle w:val="ListParagraph"/>
        <w:numPr>
          <w:ilvl w:val="0"/>
          <w:numId w:val="4"/>
        </w:numPr>
      </w:pPr>
      <w:r>
        <w:t>Do r</w:t>
      </w:r>
      <w:r w:rsidRPr="00D078FA">
        <w:t xml:space="preserve">egistrars give priority, on their websites or within their pricing and service offerings, to TLDs which they own (as vertically integrated </w:t>
      </w:r>
      <w:r>
        <w:t>r</w:t>
      </w:r>
      <w:r w:rsidRPr="00D078FA">
        <w:t>egistrars) or with whic</w:t>
      </w:r>
      <w:r>
        <w:t>h they are otherwise associated?</w:t>
      </w:r>
    </w:p>
    <w:p w14:paraId="283A0E6B" w14:textId="4008CC64" w:rsidR="00591091" w:rsidRDefault="00591091" w:rsidP="00591091">
      <w:pPr>
        <w:pStyle w:val="ListParagraph"/>
        <w:numPr>
          <w:ilvl w:val="0"/>
          <w:numId w:val="4"/>
        </w:numPr>
      </w:pPr>
      <w:r w:rsidRPr="00591091">
        <w:t xml:space="preserve">Data on the registration of domain names in the new </w:t>
      </w:r>
      <w:proofErr w:type="spellStart"/>
      <w:r w:rsidRPr="00591091">
        <w:t>gTLDs</w:t>
      </w:r>
      <w:proofErr w:type="spellEnd"/>
      <w:r>
        <w:t>.</w:t>
      </w:r>
    </w:p>
    <w:p w14:paraId="6942BAE5" w14:textId="363306C8" w:rsidR="00591091" w:rsidRDefault="00C42F3A" w:rsidP="00C42F3A">
      <w:pPr>
        <w:pStyle w:val="ListParagraph"/>
        <w:numPr>
          <w:ilvl w:val="0"/>
          <w:numId w:val="4"/>
        </w:numPr>
      </w:pPr>
      <w:r>
        <w:t>D</w:t>
      </w:r>
      <w:r w:rsidRPr="00C42F3A">
        <w:t>ata on the numbers of domains which have been withdrawn from consumer choice by speculation or bulk registrations.</w:t>
      </w:r>
    </w:p>
    <w:p w14:paraId="00B51783" w14:textId="7C43D1F2" w:rsidR="00C42F3A" w:rsidRDefault="00C42F3A" w:rsidP="00C42F3A">
      <w:pPr>
        <w:pStyle w:val="ListParagraph"/>
        <w:numPr>
          <w:ilvl w:val="0"/>
          <w:numId w:val="4"/>
        </w:numPr>
      </w:pPr>
      <w:r w:rsidRPr="00C42F3A">
        <w:t>Baseline data on wholesale/retail prices charged for ‘premium’ valued domains across t</w:t>
      </w:r>
      <w:r>
        <w:t xml:space="preserve">he spectrum of new Registries. </w:t>
      </w:r>
    </w:p>
    <w:p w14:paraId="5EFE2151" w14:textId="4E0B72A5" w:rsidR="00D078FA" w:rsidRDefault="00D078FA" w:rsidP="00D078FA">
      <w:r w:rsidRPr="00161365">
        <w:rPr>
          <w:i/>
        </w:rPr>
        <w:t>Evaluation</w:t>
      </w:r>
      <w:r>
        <w:t>: IAG-CCT members agreed that these questions could all be incorporated into the RFP f</w:t>
      </w:r>
      <w:r w:rsidR="00591091">
        <w:t xml:space="preserve">or the economic study, particularly as they relate to marketing of new </w:t>
      </w:r>
      <w:proofErr w:type="spellStart"/>
      <w:r w:rsidR="00591091">
        <w:t>gTLDs</w:t>
      </w:r>
      <w:proofErr w:type="spellEnd"/>
      <w:r w:rsidR="00591091">
        <w:t xml:space="preserve">. </w:t>
      </w:r>
    </w:p>
    <w:p w14:paraId="25DA9824" w14:textId="01C58CD1" w:rsidR="00591091" w:rsidRDefault="00210AC4" w:rsidP="00210AC4">
      <w:pPr>
        <w:pStyle w:val="ListParagraph"/>
        <w:numPr>
          <w:ilvl w:val="0"/>
          <w:numId w:val="4"/>
        </w:numPr>
      </w:pPr>
      <w:r w:rsidRPr="00210AC4">
        <w:t>Number of reports of name collisions</w:t>
      </w:r>
    </w:p>
    <w:p w14:paraId="42F806CC" w14:textId="19E8D5FC" w:rsidR="00210AC4" w:rsidRPr="00236BF4" w:rsidRDefault="00210AC4" w:rsidP="00210AC4">
      <w:r w:rsidRPr="00161365">
        <w:rPr>
          <w:i/>
        </w:rPr>
        <w:t>Evaluation</w:t>
      </w:r>
      <w:r>
        <w:t xml:space="preserve">: IAG-CCT members felt that given the attention this issue has received and ICANN’s own plans to track incidences of such collisions, this would be an important metric to include. It will be included in the category of trust metrics. </w:t>
      </w:r>
    </w:p>
    <w:p w14:paraId="272A803B" w14:textId="77777777" w:rsidR="00DB071D" w:rsidRDefault="00E479A3" w:rsidP="00602EFE">
      <w:pPr>
        <w:pStyle w:val="Heading1"/>
      </w:pPr>
      <w:bookmarkStart w:id="18" w:name="_Toc399424509"/>
      <w:r w:rsidRPr="00366440">
        <w:t>Conclusion</w:t>
      </w:r>
      <w:bookmarkEnd w:id="18"/>
    </w:p>
    <w:p w14:paraId="6376F903" w14:textId="134ECA59" w:rsidR="001A489E" w:rsidRDefault="001A489E" w:rsidP="00236BF4">
      <w:r>
        <w:t xml:space="preserve">The IAG-CCT members worked together over the course of </w:t>
      </w:r>
      <w:r w:rsidR="004E4456">
        <w:t>nearly a year</w:t>
      </w:r>
      <w:r>
        <w:t xml:space="preserve"> to reach consensus on the recommendations made in this report. While there may have been disagreement on some metrics, this report aims to present a complete picture of the various viewpoints that were considered in the group’s discussions in order to inform more fully the review team’s own plans for moving forward with its review plan. </w:t>
      </w:r>
    </w:p>
    <w:p w14:paraId="6DE675C9" w14:textId="77777777" w:rsidR="008B44FB" w:rsidRDefault="00C93AD7">
      <w:r>
        <w:t>By using the IAG-CCT’s man</w:t>
      </w:r>
      <w:r w:rsidR="008461B5">
        <w:t>dat</w:t>
      </w:r>
      <w:r>
        <w:t xml:space="preserve">e to evaluate each metric for feasibility, utility and cost-effectiveness, the group </w:t>
      </w:r>
      <w:r w:rsidR="008461B5">
        <w:t xml:space="preserve">used a consistent approach in composing its advice. </w:t>
      </w:r>
      <w:r w:rsidR="004E4456">
        <w:t xml:space="preserve">The final group of </w:t>
      </w:r>
      <w:r w:rsidR="004E4456" w:rsidRPr="00275AD2">
        <w:t>66</w:t>
      </w:r>
      <w:r w:rsidR="004E4456">
        <w:t xml:space="preserve"> recommended metrics represents the IAG-CCT’S attempt to capture a complete picture of the </w:t>
      </w:r>
      <w:proofErr w:type="gramStart"/>
      <w:r w:rsidR="004E4456">
        <w:t>New</w:t>
      </w:r>
      <w:proofErr w:type="gramEnd"/>
      <w:r w:rsidR="004E4456">
        <w:t xml:space="preserve"> </w:t>
      </w:r>
      <w:proofErr w:type="spellStart"/>
      <w:r w:rsidR="004E4456">
        <w:t>gTLD’s</w:t>
      </w:r>
      <w:proofErr w:type="spellEnd"/>
      <w:r w:rsidR="004E4456">
        <w:t xml:space="preserve"> Program’s progress </w:t>
      </w:r>
      <w:r>
        <w:t>through</w:t>
      </w:r>
      <w:r w:rsidR="004E4456">
        <w:t xml:space="preserve"> several lenses encapsulating competition, consumer choice and consumer trust. </w:t>
      </w:r>
      <w:r w:rsidR="008B44FB">
        <w:t>These represent</w:t>
      </w:r>
      <w:r w:rsidR="0022717B">
        <w:t xml:space="preserve"> several axes of ICANN’s own internally available data, as well as external sources, such as the global consumer survey, economic study and market research. </w:t>
      </w:r>
    </w:p>
    <w:p w14:paraId="2451B4EB" w14:textId="7FA09ABF" w:rsidR="00130C5E" w:rsidRDefault="008B44FB">
      <w:pPr>
        <w:rPr>
          <w:rFonts w:asciiTheme="majorHAnsi" w:eastAsiaTheme="majorEastAsia" w:hAnsiTheme="majorHAnsi" w:cstheme="majorBidi"/>
          <w:color w:val="2E74B5" w:themeColor="accent1" w:themeShade="BF"/>
          <w:sz w:val="32"/>
          <w:szCs w:val="32"/>
        </w:rPr>
      </w:pPr>
      <w:r>
        <w:t xml:space="preserve">The IAG-CCT submits this report with the goal of serving as a useful tool as the review team begins to tackle the challenge of the CCT review. </w:t>
      </w:r>
      <w:r w:rsidR="00130C5E">
        <w:br w:type="page"/>
      </w:r>
    </w:p>
    <w:p w14:paraId="48FAF4AC" w14:textId="59A01F15" w:rsidR="00366440" w:rsidRDefault="00366440" w:rsidP="00602EFE">
      <w:pPr>
        <w:pStyle w:val="Heading1"/>
      </w:pPr>
      <w:bookmarkStart w:id="19" w:name="_Toc399424510"/>
      <w:r w:rsidRPr="00366440">
        <w:lastRenderedPageBreak/>
        <w:t xml:space="preserve">Appendix 1: Original </w:t>
      </w:r>
      <w:r w:rsidR="00C676D2">
        <w:t>p</w:t>
      </w:r>
      <w:r w:rsidR="00C676D2" w:rsidRPr="00366440">
        <w:t xml:space="preserve">roposed </w:t>
      </w:r>
      <w:r w:rsidR="00C676D2">
        <w:t>m</w:t>
      </w:r>
      <w:r w:rsidR="00C676D2" w:rsidRPr="00366440">
        <w:t>etrics</w:t>
      </w:r>
      <w:bookmarkEnd w:id="19"/>
    </w:p>
    <w:p w14:paraId="14FF940D" w14:textId="6ED69C46" w:rsidR="00130C5E" w:rsidRPr="004803A8" w:rsidRDefault="00130C5E" w:rsidP="00130C5E">
      <w:pPr>
        <w:rPr>
          <w:rFonts w:ascii="Times New Roman" w:hAnsi="Times New Roman" w:cs="Times New Roman"/>
          <w:i/>
        </w:rPr>
      </w:pPr>
      <w:r w:rsidRPr="004803A8">
        <w:rPr>
          <w:rFonts w:ascii="Times New Roman" w:hAnsi="Times New Roman" w:cs="Times New Roman"/>
          <w:i/>
        </w:rPr>
        <w:t xml:space="preserve">Note: All metrics were recommended by the Generic Names Supporting Organization (GNSO) and the At-Large Advisory Committee (ALAC). </w:t>
      </w:r>
    </w:p>
    <w:tbl>
      <w:tblPr>
        <w:tblW w:w="9241" w:type="dxa"/>
        <w:tblLook w:val="04A0" w:firstRow="1" w:lastRow="0" w:firstColumn="1" w:lastColumn="0" w:noHBand="0" w:noVBand="1"/>
      </w:tblPr>
      <w:tblGrid>
        <w:gridCol w:w="1121"/>
        <w:gridCol w:w="6526"/>
        <w:gridCol w:w="1594"/>
      </w:tblGrid>
      <w:tr w:rsidR="00130C5E" w:rsidRPr="00AC6630" w14:paraId="72B79D27" w14:textId="77777777" w:rsidTr="00130C5E">
        <w:trPr>
          <w:trHeight w:val="351"/>
        </w:trPr>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14:paraId="38DC8B74" w14:textId="77777777" w:rsidR="00130C5E" w:rsidRPr="004803A8" w:rsidRDefault="00130C5E" w:rsidP="00C93AD7">
            <w:pPr>
              <w:rPr>
                <w:rFonts w:ascii="Times New Roman" w:eastAsia="Times New Roman" w:hAnsi="Times New Roman" w:cs="Times New Roman"/>
                <w:b/>
                <w:bCs/>
                <w:color w:val="000000"/>
              </w:rPr>
            </w:pPr>
            <w:r w:rsidRPr="004803A8">
              <w:rPr>
                <w:rFonts w:ascii="Times New Roman" w:eastAsia="Times New Roman" w:hAnsi="Times New Roman" w:cs="Times New Roman"/>
                <w:b/>
                <w:bCs/>
                <w:color w:val="000000"/>
              </w:rPr>
              <w:t>METRIC</w:t>
            </w:r>
          </w:p>
        </w:tc>
        <w:tc>
          <w:tcPr>
            <w:tcW w:w="6526" w:type="dxa"/>
            <w:tcBorders>
              <w:top w:val="single" w:sz="4" w:space="0" w:color="auto"/>
              <w:left w:val="nil"/>
              <w:bottom w:val="single" w:sz="4" w:space="0" w:color="auto"/>
              <w:right w:val="single" w:sz="4" w:space="0" w:color="auto"/>
            </w:tcBorders>
            <w:shd w:val="clear" w:color="auto" w:fill="auto"/>
            <w:hideMark/>
          </w:tcPr>
          <w:p w14:paraId="7FDEB415" w14:textId="77777777" w:rsidR="00130C5E" w:rsidRPr="004803A8" w:rsidRDefault="00130C5E" w:rsidP="00C93AD7">
            <w:pPr>
              <w:rPr>
                <w:rFonts w:ascii="Times New Roman" w:eastAsia="Times New Roman" w:hAnsi="Times New Roman" w:cs="Times New Roman"/>
                <w:b/>
                <w:bCs/>
                <w:color w:val="000000"/>
              </w:rPr>
            </w:pPr>
            <w:r w:rsidRPr="004803A8">
              <w:rPr>
                <w:rFonts w:ascii="Times New Roman" w:eastAsia="Times New Roman" w:hAnsi="Times New Roman" w:cs="Times New Roman"/>
                <w:b/>
                <w:bCs/>
                <w:color w:val="000000"/>
              </w:rPr>
              <w:t>DESCRIPTION</w:t>
            </w:r>
          </w:p>
        </w:tc>
        <w:tc>
          <w:tcPr>
            <w:tcW w:w="1594" w:type="dxa"/>
            <w:tcBorders>
              <w:top w:val="single" w:sz="4" w:space="0" w:color="auto"/>
              <w:left w:val="nil"/>
              <w:bottom w:val="single" w:sz="4" w:space="0" w:color="auto"/>
              <w:right w:val="single" w:sz="4" w:space="0" w:color="auto"/>
            </w:tcBorders>
          </w:tcPr>
          <w:p w14:paraId="1DAF8CC1" w14:textId="77777777" w:rsidR="00130C5E" w:rsidRPr="004803A8" w:rsidRDefault="00130C5E" w:rsidP="00C93AD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CATEGORY</w:t>
            </w:r>
          </w:p>
        </w:tc>
      </w:tr>
      <w:tr w:rsidR="00130C5E" w:rsidRPr="00AC6630" w14:paraId="773FAF11"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hideMark/>
          </w:tcPr>
          <w:p w14:paraId="0914E798" w14:textId="77777777" w:rsidR="00130C5E" w:rsidRPr="004803A8" w:rsidRDefault="004721D5" w:rsidP="00C93AD7">
            <w:pPr>
              <w:jc w:val="right"/>
              <w:rPr>
                <w:rFonts w:ascii="Times New Roman" w:eastAsia="Times New Roman" w:hAnsi="Times New Roman" w:cs="Times New Roman"/>
              </w:rPr>
            </w:pPr>
            <w:hyperlink r:id="rId9" w:history="1">
              <w:r w:rsidR="00130C5E" w:rsidRPr="004803A8">
                <w:rPr>
                  <w:rFonts w:ascii="Times New Roman" w:eastAsia="Times New Roman" w:hAnsi="Times New Roman" w:cs="Times New Roman"/>
                </w:rPr>
                <w:t>1.1</w:t>
              </w:r>
            </w:hyperlink>
          </w:p>
        </w:tc>
        <w:tc>
          <w:tcPr>
            <w:tcW w:w="6526" w:type="dxa"/>
            <w:tcBorders>
              <w:top w:val="nil"/>
              <w:left w:val="nil"/>
              <w:bottom w:val="single" w:sz="4" w:space="0" w:color="auto"/>
              <w:right w:val="single" w:sz="4" w:space="0" w:color="auto"/>
            </w:tcBorders>
            <w:shd w:val="clear" w:color="auto" w:fill="auto"/>
            <w:hideMark/>
          </w:tcPr>
          <w:p w14:paraId="0205609A"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DNS Service Availability (present SLA is 100%).</w:t>
            </w:r>
          </w:p>
        </w:tc>
        <w:tc>
          <w:tcPr>
            <w:tcW w:w="1594" w:type="dxa"/>
            <w:tcBorders>
              <w:top w:val="nil"/>
              <w:left w:val="nil"/>
              <w:bottom w:val="single" w:sz="4" w:space="0" w:color="auto"/>
              <w:right w:val="single" w:sz="4" w:space="0" w:color="auto"/>
            </w:tcBorders>
          </w:tcPr>
          <w:p w14:paraId="2357B822" w14:textId="77777777" w:rsidR="00130C5E" w:rsidRPr="00AD7FE4"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1FBC246B"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hideMark/>
          </w:tcPr>
          <w:p w14:paraId="612C114A" w14:textId="77777777" w:rsidR="00130C5E" w:rsidRPr="004803A8" w:rsidRDefault="004721D5" w:rsidP="00C93AD7">
            <w:pPr>
              <w:jc w:val="right"/>
              <w:rPr>
                <w:rFonts w:ascii="Times New Roman" w:eastAsia="Times New Roman" w:hAnsi="Times New Roman" w:cs="Times New Roman"/>
              </w:rPr>
            </w:pPr>
            <w:hyperlink r:id="rId10" w:history="1">
              <w:r w:rsidR="00130C5E" w:rsidRPr="004803A8">
                <w:rPr>
                  <w:rFonts w:ascii="Times New Roman" w:eastAsia="Times New Roman" w:hAnsi="Times New Roman" w:cs="Times New Roman"/>
                </w:rPr>
                <w:t>1.2</w:t>
              </w:r>
            </w:hyperlink>
          </w:p>
        </w:tc>
        <w:tc>
          <w:tcPr>
            <w:tcW w:w="6526" w:type="dxa"/>
            <w:tcBorders>
              <w:top w:val="nil"/>
              <w:left w:val="nil"/>
              <w:bottom w:val="single" w:sz="4" w:space="0" w:color="auto"/>
              <w:right w:val="single" w:sz="4" w:space="0" w:color="auto"/>
            </w:tcBorders>
            <w:shd w:val="clear" w:color="auto" w:fill="auto"/>
            <w:hideMark/>
          </w:tcPr>
          <w:p w14:paraId="72A0364C"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Availability for Registration Data Directory Services (RDDS).   (SLA is 98%).</w:t>
            </w:r>
          </w:p>
        </w:tc>
        <w:tc>
          <w:tcPr>
            <w:tcW w:w="1594" w:type="dxa"/>
            <w:tcBorders>
              <w:top w:val="nil"/>
              <w:left w:val="nil"/>
              <w:bottom w:val="single" w:sz="4" w:space="0" w:color="auto"/>
              <w:right w:val="single" w:sz="4" w:space="0" w:color="auto"/>
            </w:tcBorders>
          </w:tcPr>
          <w:p w14:paraId="074FE977"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129120B7"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hideMark/>
          </w:tcPr>
          <w:p w14:paraId="0FCDDA77" w14:textId="77777777" w:rsidR="00130C5E" w:rsidRPr="004803A8" w:rsidRDefault="004721D5" w:rsidP="00C93AD7">
            <w:pPr>
              <w:jc w:val="right"/>
              <w:rPr>
                <w:rFonts w:ascii="Times New Roman" w:eastAsia="Times New Roman" w:hAnsi="Times New Roman" w:cs="Times New Roman"/>
              </w:rPr>
            </w:pPr>
            <w:hyperlink r:id="rId11" w:history="1">
              <w:r w:rsidR="00130C5E" w:rsidRPr="004803A8">
                <w:rPr>
                  <w:rFonts w:ascii="Times New Roman" w:eastAsia="Times New Roman" w:hAnsi="Times New Roman" w:cs="Times New Roman"/>
                </w:rPr>
                <w:t>1.3</w:t>
              </w:r>
            </w:hyperlink>
          </w:p>
        </w:tc>
        <w:tc>
          <w:tcPr>
            <w:tcW w:w="6526" w:type="dxa"/>
            <w:tcBorders>
              <w:top w:val="nil"/>
              <w:left w:val="nil"/>
              <w:bottom w:val="single" w:sz="4" w:space="0" w:color="auto"/>
              <w:right w:val="single" w:sz="4" w:space="0" w:color="auto"/>
            </w:tcBorders>
            <w:shd w:val="clear" w:color="auto" w:fill="auto"/>
            <w:hideMark/>
          </w:tcPr>
          <w:p w14:paraId="6742C68B"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of Service Availability for Shared Registration Services (SRS, using EPP).  (SLA is 98%).  Open TLDs only</w:t>
            </w:r>
          </w:p>
        </w:tc>
        <w:tc>
          <w:tcPr>
            <w:tcW w:w="1594" w:type="dxa"/>
            <w:tcBorders>
              <w:top w:val="nil"/>
              <w:left w:val="nil"/>
              <w:bottom w:val="single" w:sz="4" w:space="0" w:color="auto"/>
              <w:right w:val="single" w:sz="4" w:space="0" w:color="auto"/>
            </w:tcBorders>
          </w:tcPr>
          <w:p w14:paraId="07C7AEFF"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2BE1EC54" w14:textId="77777777" w:rsidTr="00130C5E">
        <w:trPr>
          <w:trHeight w:val="2107"/>
        </w:trPr>
        <w:tc>
          <w:tcPr>
            <w:tcW w:w="1121" w:type="dxa"/>
            <w:tcBorders>
              <w:top w:val="nil"/>
              <w:left w:val="single" w:sz="4" w:space="0" w:color="auto"/>
              <w:bottom w:val="single" w:sz="4" w:space="0" w:color="auto"/>
              <w:right w:val="single" w:sz="4" w:space="0" w:color="auto"/>
            </w:tcBorders>
            <w:shd w:val="clear" w:color="auto" w:fill="auto"/>
            <w:hideMark/>
          </w:tcPr>
          <w:p w14:paraId="64A0C92C" w14:textId="77777777" w:rsidR="00130C5E" w:rsidRPr="004803A8" w:rsidRDefault="004721D5" w:rsidP="00C93AD7">
            <w:pPr>
              <w:jc w:val="right"/>
              <w:rPr>
                <w:rFonts w:ascii="Times New Roman" w:eastAsia="Times New Roman" w:hAnsi="Times New Roman" w:cs="Times New Roman"/>
              </w:rPr>
            </w:pPr>
            <w:hyperlink r:id="rId12" w:history="1">
              <w:r w:rsidR="00130C5E" w:rsidRPr="004803A8">
                <w:rPr>
                  <w:rFonts w:ascii="Times New Roman" w:eastAsia="Times New Roman" w:hAnsi="Times New Roman" w:cs="Times New Roman"/>
                </w:rPr>
                <w:t>1.4</w:t>
              </w:r>
            </w:hyperlink>
          </w:p>
        </w:tc>
        <w:tc>
          <w:tcPr>
            <w:tcW w:w="6526" w:type="dxa"/>
            <w:tcBorders>
              <w:top w:val="nil"/>
              <w:left w:val="nil"/>
              <w:bottom w:val="single" w:sz="4" w:space="0" w:color="auto"/>
              <w:right w:val="single" w:sz="4" w:space="0" w:color="auto"/>
            </w:tcBorders>
            <w:shd w:val="clear" w:color="auto" w:fill="auto"/>
            <w:hideMark/>
          </w:tcPr>
          <w:p w14:paraId="07527BC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Survey of perceived consumer trust in DNS, relative to experiences before the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expansion.  Survey could at least measure experiences with phishing, parking sites, malware and spam; confusion about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user experience in reaching meaningful second-level TLDs; registrant experience in being in a different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Registrant and Internet users’ experience with regard to cybersquatting.  Survey to be conducted every two years (biennial).</w:t>
            </w:r>
          </w:p>
        </w:tc>
        <w:tc>
          <w:tcPr>
            <w:tcW w:w="1594" w:type="dxa"/>
            <w:tcBorders>
              <w:top w:val="nil"/>
              <w:left w:val="nil"/>
              <w:bottom w:val="single" w:sz="4" w:space="0" w:color="auto"/>
              <w:right w:val="single" w:sz="4" w:space="0" w:color="auto"/>
            </w:tcBorders>
          </w:tcPr>
          <w:p w14:paraId="026305C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CD5997B"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hideMark/>
          </w:tcPr>
          <w:p w14:paraId="1534131C" w14:textId="77777777" w:rsidR="00130C5E" w:rsidRPr="004803A8" w:rsidRDefault="004721D5" w:rsidP="00C93AD7">
            <w:pPr>
              <w:jc w:val="right"/>
              <w:rPr>
                <w:rFonts w:ascii="Times New Roman" w:eastAsia="Times New Roman" w:hAnsi="Times New Roman" w:cs="Times New Roman"/>
              </w:rPr>
            </w:pPr>
            <w:hyperlink r:id="rId13" w:history="1">
              <w:r w:rsidR="00130C5E" w:rsidRPr="004803A8">
                <w:rPr>
                  <w:rFonts w:ascii="Times New Roman" w:eastAsia="Times New Roman" w:hAnsi="Times New Roman" w:cs="Times New Roman"/>
                </w:rPr>
                <w:t>1.5</w:t>
              </w:r>
            </w:hyperlink>
          </w:p>
        </w:tc>
        <w:tc>
          <w:tcPr>
            <w:tcW w:w="6526" w:type="dxa"/>
            <w:tcBorders>
              <w:top w:val="nil"/>
              <w:left w:val="nil"/>
              <w:bottom w:val="single" w:sz="4" w:space="0" w:color="auto"/>
              <w:right w:val="single" w:sz="4" w:space="0" w:color="auto"/>
            </w:tcBorders>
            <w:shd w:val="clear" w:color="auto" w:fill="auto"/>
            <w:hideMark/>
          </w:tcPr>
          <w:p w14:paraId="09CDD352"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Uptime for Registrar services such as WHOIS, contact info, and complaints, assuming that SLAs are established for these measures in the new RAA.</w:t>
            </w:r>
          </w:p>
        </w:tc>
        <w:tc>
          <w:tcPr>
            <w:tcW w:w="1594" w:type="dxa"/>
            <w:tcBorders>
              <w:top w:val="nil"/>
              <w:left w:val="nil"/>
              <w:bottom w:val="single" w:sz="4" w:space="0" w:color="auto"/>
              <w:right w:val="single" w:sz="4" w:space="0" w:color="auto"/>
            </w:tcBorders>
          </w:tcPr>
          <w:p w14:paraId="3830A27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BA7B234"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hideMark/>
          </w:tcPr>
          <w:p w14:paraId="696DCCE3" w14:textId="77777777" w:rsidR="00130C5E" w:rsidRPr="004803A8" w:rsidRDefault="004721D5" w:rsidP="00C93AD7">
            <w:pPr>
              <w:jc w:val="right"/>
              <w:rPr>
                <w:rFonts w:ascii="Times New Roman" w:eastAsia="Times New Roman" w:hAnsi="Times New Roman" w:cs="Times New Roman"/>
              </w:rPr>
            </w:pPr>
            <w:hyperlink r:id="rId14" w:history="1">
              <w:r w:rsidR="00130C5E" w:rsidRPr="004803A8">
                <w:rPr>
                  <w:rFonts w:ascii="Times New Roman" w:eastAsia="Times New Roman" w:hAnsi="Times New Roman" w:cs="Times New Roman"/>
                </w:rPr>
                <w:t>1.6</w:t>
              </w:r>
            </w:hyperlink>
          </w:p>
        </w:tc>
        <w:tc>
          <w:tcPr>
            <w:tcW w:w="6526" w:type="dxa"/>
            <w:tcBorders>
              <w:top w:val="nil"/>
              <w:left w:val="nil"/>
              <w:bottom w:val="single" w:sz="4" w:space="0" w:color="auto"/>
              <w:right w:val="single" w:sz="4" w:space="0" w:color="auto"/>
            </w:tcBorders>
            <w:shd w:val="clear" w:color="auto" w:fill="auto"/>
            <w:hideMark/>
          </w:tcPr>
          <w:p w14:paraId="345A0C10"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incidence of breach notices issued to Registry operators for contract or policy compliance matters. </w:t>
            </w:r>
          </w:p>
        </w:tc>
        <w:tc>
          <w:tcPr>
            <w:tcW w:w="1594" w:type="dxa"/>
            <w:tcBorders>
              <w:top w:val="nil"/>
              <w:left w:val="nil"/>
              <w:bottom w:val="single" w:sz="4" w:space="0" w:color="auto"/>
              <w:right w:val="single" w:sz="4" w:space="0" w:color="auto"/>
            </w:tcBorders>
          </w:tcPr>
          <w:p w14:paraId="7D8D955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F505EF4"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hideMark/>
          </w:tcPr>
          <w:p w14:paraId="2B6C4F55" w14:textId="77777777" w:rsidR="00130C5E" w:rsidRPr="004803A8" w:rsidRDefault="004721D5" w:rsidP="00C93AD7">
            <w:pPr>
              <w:jc w:val="right"/>
              <w:rPr>
                <w:rFonts w:ascii="Times New Roman" w:eastAsia="Times New Roman" w:hAnsi="Times New Roman" w:cs="Times New Roman"/>
              </w:rPr>
            </w:pPr>
            <w:hyperlink r:id="rId15" w:history="1">
              <w:r w:rsidR="00130C5E" w:rsidRPr="004803A8">
                <w:rPr>
                  <w:rFonts w:ascii="Times New Roman" w:eastAsia="Times New Roman" w:hAnsi="Times New Roman" w:cs="Times New Roman"/>
                </w:rPr>
                <w:t>1.7</w:t>
              </w:r>
            </w:hyperlink>
          </w:p>
        </w:tc>
        <w:tc>
          <w:tcPr>
            <w:tcW w:w="6526" w:type="dxa"/>
            <w:tcBorders>
              <w:top w:val="nil"/>
              <w:left w:val="nil"/>
              <w:bottom w:val="single" w:sz="4" w:space="0" w:color="auto"/>
              <w:right w:val="single" w:sz="4" w:space="0" w:color="auto"/>
            </w:tcBorders>
            <w:shd w:val="clear" w:color="auto" w:fill="auto"/>
            <w:hideMark/>
          </w:tcPr>
          <w:p w14:paraId="752C2C9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incidence of breach notices issued to Registrars, for contract or policy compliance matters. </w:t>
            </w:r>
          </w:p>
        </w:tc>
        <w:tc>
          <w:tcPr>
            <w:tcW w:w="1594" w:type="dxa"/>
            <w:tcBorders>
              <w:top w:val="nil"/>
              <w:left w:val="nil"/>
              <w:bottom w:val="single" w:sz="4" w:space="0" w:color="auto"/>
              <w:right w:val="single" w:sz="4" w:space="0" w:color="auto"/>
            </w:tcBorders>
          </w:tcPr>
          <w:p w14:paraId="3AB6BBD3"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5BC9681"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hideMark/>
          </w:tcPr>
          <w:p w14:paraId="19576D31" w14:textId="77777777" w:rsidR="00130C5E" w:rsidRPr="004803A8" w:rsidRDefault="004721D5" w:rsidP="00C93AD7">
            <w:pPr>
              <w:jc w:val="right"/>
              <w:rPr>
                <w:rFonts w:ascii="Times New Roman" w:eastAsia="Times New Roman" w:hAnsi="Times New Roman" w:cs="Times New Roman"/>
              </w:rPr>
            </w:pPr>
            <w:hyperlink r:id="rId16" w:history="1">
              <w:r w:rsidR="00130C5E" w:rsidRPr="004803A8">
                <w:rPr>
                  <w:rFonts w:ascii="Times New Roman" w:eastAsia="Times New Roman" w:hAnsi="Times New Roman" w:cs="Times New Roman"/>
                </w:rPr>
                <w:t>1.8</w:t>
              </w:r>
            </w:hyperlink>
          </w:p>
        </w:tc>
        <w:tc>
          <w:tcPr>
            <w:tcW w:w="6526" w:type="dxa"/>
            <w:tcBorders>
              <w:top w:val="nil"/>
              <w:left w:val="nil"/>
              <w:bottom w:val="single" w:sz="4" w:space="0" w:color="auto"/>
              <w:right w:val="single" w:sz="4" w:space="0" w:color="auto"/>
            </w:tcBorders>
            <w:shd w:val="clear" w:color="auto" w:fill="auto"/>
            <w:hideMark/>
          </w:tcPr>
          <w:p w14:paraId="4A04AD45"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Incidence of Registry &amp; Registrar general complaints submitted to ICANN’s </w:t>
            </w:r>
            <w:proofErr w:type="spellStart"/>
            <w:r w:rsidRPr="004803A8">
              <w:rPr>
                <w:rFonts w:ascii="Times New Roman" w:eastAsia="Times New Roman" w:hAnsi="Times New Roman" w:cs="Times New Roman"/>
              </w:rPr>
              <w:t>Internic</w:t>
            </w:r>
            <w:proofErr w:type="spellEnd"/>
            <w:r w:rsidRPr="004803A8">
              <w:rPr>
                <w:rFonts w:ascii="Times New Roman" w:eastAsia="Times New Roman" w:hAnsi="Times New Roman" w:cs="Times New Roman"/>
              </w:rPr>
              <w:t xml:space="preserve"> System.</w:t>
            </w:r>
          </w:p>
        </w:tc>
        <w:tc>
          <w:tcPr>
            <w:tcW w:w="1594" w:type="dxa"/>
            <w:tcBorders>
              <w:top w:val="nil"/>
              <w:left w:val="nil"/>
              <w:bottom w:val="single" w:sz="4" w:space="0" w:color="auto"/>
              <w:right w:val="single" w:sz="4" w:space="0" w:color="auto"/>
            </w:tcBorders>
          </w:tcPr>
          <w:p w14:paraId="3077F9F2"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4A5DD5B7"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2EE68152" w14:textId="77777777" w:rsidR="00130C5E" w:rsidRPr="004803A8" w:rsidRDefault="004721D5" w:rsidP="00C93AD7">
            <w:pPr>
              <w:jc w:val="right"/>
              <w:rPr>
                <w:rFonts w:ascii="Times New Roman" w:eastAsia="Times New Roman" w:hAnsi="Times New Roman" w:cs="Times New Roman"/>
              </w:rPr>
            </w:pPr>
            <w:hyperlink r:id="rId17" w:history="1">
              <w:r w:rsidR="00130C5E" w:rsidRPr="004803A8">
                <w:rPr>
                  <w:rFonts w:ascii="Times New Roman" w:eastAsia="Times New Roman" w:hAnsi="Times New Roman" w:cs="Times New Roman"/>
                </w:rPr>
                <w:t>1.9</w:t>
              </w:r>
            </w:hyperlink>
          </w:p>
        </w:tc>
        <w:tc>
          <w:tcPr>
            <w:tcW w:w="6526" w:type="dxa"/>
            <w:tcBorders>
              <w:top w:val="nil"/>
              <w:left w:val="nil"/>
              <w:bottom w:val="single" w:sz="4" w:space="0" w:color="auto"/>
              <w:right w:val="single" w:sz="4" w:space="0" w:color="auto"/>
            </w:tcBorders>
            <w:shd w:val="clear" w:color="auto" w:fill="auto"/>
            <w:hideMark/>
          </w:tcPr>
          <w:p w14:paraId="5BFBF1F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incidence of combined UDRP and URS Complaints.  URS is required only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so combined UDRP and URS complaints may be comparable to UDRP complaints in legacy </w:t>
            </w:r>
            <w:proofErr w:type="spellStart"/>
            <w:r w:rsidRPr="004803A8">
              <w:rPr>
                <w:rFonts w:ascii="Times New Roman" w:eastAsia="Times New Roman" w:hAnsi="Times New Roman" w:cs="Times New Roman"/>
              </w:rPr>
              <w:t>gTLDs</w:t>
            </w:r>
            <w:proofErr w:type="spellEnd"/>
          </w:p>
        </w:tc>
        <w:tc>
          <w:tcPr>
            <w:tcW w:w="1594" w:type="dxa"/>
            <w:tcBorders>
              <w:top w:val="nil"/>
              <w:left w:val="nil"/>
              <w:bottom w:val="single" w:sz="4" w:space="0" w:color="auto"/>
              <w:right w:val="single" w:sz="4" w:space="0" w:color="auto"/>
            </w:tcBorders>
          </w:tcPr>
          <w:p w14:paraId="6B7D8B8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4F0019E6"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0CDC9F15" w14:textId="77777777" w:rsidR="00130C5E" w:rsidRPr="004803A8" w:rsidRDefault="004721D5" w:rsidP="00C93AD7">
            <w:pPr>
              <w:jc w:val="right"/>
              <w:rPr>
                <w:rFonts w:ascii="Times New Roman" w:eastAsia="Times New Roman" w:hAnsi="Times New Roman" w:cs="Times New Roman"/>
              </w:rPr>
            </w:pPr>
            <w:hyperlink r:id="rId18" w:history="1">
              <w:r w:rsidR="00130C5E" w:rsidRPr="004803A8">
                <w:rPr>
                  <w:rFonts w:ascii="Times New Roman" w:eastAsia="Times New Roman" w:hAnsi="Times New Roman" w:cs="Times New Roman"/>
                </w:rPr>
                <w:t>1.10</w:t>
              </w:r>
            </w:hyperlink>
          </w:p>
        </w:tc>
        <w:tc>
          <w:tcPr>
            <w:tcW w:w="6526" w:type="dxa"/>
            <w:tcBorders>
              <w:top w:val="nil"/>
              <w:left w:val="nil"/>
              <w:bottom w:val="single" w:sz="4" w:space="0" w:color="auto"/>
              <w:right w:val="single" w:sz="4" w:space="0" w:color="auto"/>
            </w:tcBorders>
            <w:shd w:val="clear" w:color="auto" w:fill="auto"/>
            <w:hideMark/>
          </w:tcPr>
          <w:p w14:paraId="06CF94B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Relative incidence of combined UDRP and URS Decisions against registrants.</w:t>
            </w:r>
          </w:p>
        </w:tc>
        <w:tc>
          <w:tcPr>
            <w:tcW w:w="1594" w:type="dxa"/>
            <w:tcBorders>
              <w:top w:val="nil"/>
              <w:left w:val="nil"/>
              <w:bottom w:val="single" w:sz="4" w:space="0" w:color="auto"/>
              <w:right w:val="single" w:sz="4" w:space="0" w:color="auto"/>
            </w:tcBorders>
          </w:tcPr>
          <w:p w14:paraId="6487F64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9EFE798" w14:textId="77777777" w:rsidTr="00130C5E">
        <w:trPr>
          <w:trHeight w:val="3161"/>
        </w:trPr>
        <w:tc>
          <w:tcPr>
            <w:tcW w:w="1121" w:type="dxa"/>
            <w:tcBorders>
              <w:top w:val="nil"/>
              <w:left w:val="single" w:sz="4" w:space="0" w:color="auto"/>
              <w:bottom w:val="single" w:sz="4" w:space="0" w:color="auto"/>
              <w:right w:val="single" w:sz="4" w:space="0" w:color="auto"/>
            </w:tcBorders>
            <w:shd w:val="clear" w:color="auto" w:fill="auto"/>
            <w:noWrap/>
            <w:hideMark/>
          </w:tcPr>
          <w:p w14:paraId="51EE5C0E" w14:textId="77777777" w:rsidR="00130C5E" w:rsidRPr="004803A8" w:rsidRDefault="004721D5" w:rsidP="00C93AD7">
            <w:pPr>
              <w:jc w:val="right"/>
              <w:rPr>
                <w:rFonts w:ascii="Times New Roman" w:eastAsia="Times New Roman" w:hAnsi="Times New Roman" w:cs="Times New Roman"/>
              </w:rPr>
            </w:pPr>
            <w:hyperlink r:id="rId19" w:history="1">
              <w:r w:rsidR="00130C5E" w:rsidRPr="004803A8">
                <w:rPr>
                  <w:rFonts w:ascii="Times New Roman" w:eastAsia="Times New Roman" w:hAnsi="Times New Roman" w:cs="Times New Roman"/>
                </w:rPr>
                <w:t>1.11</w:t>
              </w:r>
            </w:hyperlink>
          </w:p>
        </w:tc>
        <w:tc>
          <w:tcPr>
            <w:tcW w:w="6526" w:type="dxa"/>
            <w:tcBorders>
              <w:top w:val="nil"/>
              <w:left w:val="nil"/>
              <w:bottom w:val="single" w:sz="4" w:space="0" w:color="auto"/>
              <w:right w:val="single" w:sz="4" w:space="0" w:color="auto"/>
            </w:tcBorders>
            <w:shd w:val="clear" w:color="auto" w:fill="auto"/>
            <w:hideMark/>
          </w:tcPr>
          <w:p w14:paraId="404E543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of intellectual property claims and cost of domain name policing relating to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w:t>
            </w:r>
            <w:r w:rsidRPr="004803A8">
              <w:rPr>
                <w:rFonts w:ascii="Times New Roman" w:eastAsia="Times New Roman" w:hAnsi="Times New Roman" w:cs="Times New Roman"/>
              </w:rPr>
              <w:br/>
              <w:t>Relative incidence of IP claims made in good faith should be measured in 3 areas:</w:t>
            </w:r>
            <w:r w:rsidRPr="004803A8">
              <w:rPr>
                <w:rFonts w:ascii="Times New Roman" w:eastAsia="Times New Roman" w:hAnsi="Times New Roman" w:cs="Times New Roman"/>
              </w:rPr>
              <w:br/>
              <w:t xml:space="preserve">IP claims against registrants regarding second level domains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w:t>
            </w:r>
            <w:r w:rsidRPr="004803A8">
              <w:rPr>
                <w:rFonts w:ascii="Times New Roman" w:eastAsia="Times New Roman" w:hAnsi="Times New Roman" w:cs="Times New Roman"/>
              </w:rPr>
              <w:br/>
              <w:t xml:space="preserve">IP claims against registrars regarding Second level domains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w:t>
            </w:r>
            <w:r w:rsidRPr="004803A8">
              <w:rPr>
                <w:rFonts w:ascii="Times New Roman" w:eastAsia="Times New Roman" w:hAnsi="Times New Roman" w:cs="Times New Roman"/>
              </w:rPr>
              <w:br/>
              <w:t xml:space="preserve">IP claims against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registries regarding second level domains and TLDs. </w:t>
            </w:r>
            <w:r w:rsidRPr="004803A8">
              <w:rPr>
                <w:rFonts w:ascii="Times New Roman" w:eastAsia="Times New Roman" w:hAnsi="Times New Roman" w:cs="Times New Roman"/>
              </w:rPr>
              <w:br/>
              <w:t>Quantity of second level domains acquired because of infringement or other violations of IP rights of acquiring parties; and</w:t>
            </w:r>
            <w:r w:rsidRPr="004803A8">
              <w:rPr>
                <w:rFonts w:ascii="Times New Roman" w:eastAsia="Times New Roman" w:hAnsi="Times New Roman" w:cs="Times New Roman"/>
              </w:rPr>
              <w:br/>
              <w:t>Cost of domain name policing and enforcement efforts by IP owners.</w:t>
            </w:r>
          </w:p>
        </w:tc>
        <w:tc>
          <w:tcPr>
            <w:tcW w:w="1594" w:type="dxa"/>
            <w:tcBorders>
              <w:top w:val="nil"/>
              <w:left w:val="nil"/>
              <w:bottom w:val="single" w:sz="4" w:space="0" w:color="auto"/>
              <w:right w:val="single" w:sz="4" w:space="0" w:color="auto"/>
            </w:tcBorders>
          </w:tcPr>
          <w:p w14:paraId="18016E44"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D24874F"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5394713C" w14:textId="77777777" w:rsidR="00130C5E" w:rsidRPr="004803A8" w:rsidRDefault="004721D5" w:rsidP="00C93AD7">
            <w:pPr>
              <w:jc w:val="right"/>
              <w:rPr>
                <w:rFonts w:ascii="Times New Roman" w:eastAsia="Times New Roman" w:hAnsi="Times New Roman" w:cs="Times New Roman"/>
              </w:rPr>
            </w:pPr>
            <w:hyperlink r:id="rId20" w:history="1">
              <w:r w:rsidR="00130C5E" w:rsidRPr="004803A8">
                <w:rPr>
                  <w:rFonts w:ascii="Times New Roman" w:eastAsia="Times New Roman" w:hAnsi="Times New Roman" w:cs="Times New Roman"/>
                </w:rPr>
                <w:t>1.12</w:t>
              </w:r>
            </w:hyperlink>
          </w:p>
        </w:tc>
        <w:tc>
          <w:tcPr>
            <w:tcW w:w="6526" w:type="dxa"/>
            <w:tcBorders>
              <w:top w:val="nil"/>
              <w:left w:val="nil"/>
              <w:bottom w:val="single" w:sz="4" w:space="0" w:color="auto"/>
              <w:right w:val="single" w:sz="4" w:space="0" w:color="auto"/>
            </w:tcBorders>
            <w:shd w:val="clear" w:color="auto" w:fill="auto"/>
            <w:hideMark/>
          </w:tcPr>
          <w:p w14:paraId="00C8DB6D"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Decisions against Registry Operator arising from Registry Restrictions Dispute Resolutions Procedure (RRDRP).</w:t>
            </w:r>
          </w:p>
        </w:tc>
        <w:tc>
          <w:tcPr>
            <w:tcW w:w="1594" w:type="dxa"/>
            <w:tcBorders>
              <w:top w:val="nil"/>
              <w:left w:val="nil"/>
              <w:bottom w:val="single" w:sz="4" w:space="0" w:color="auto"/>
              <w:right w:val="single" w:sz="4" w:space="0" w:color="auto"/>
            </w:tcBorders>
          </w:tcPr>
          <w:p w14:paraId="349682C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D2D205B"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D678D58" w14:textId="77777777" w:rsidR="00130C5E" w:rsidRPr="004803A8" w:rsidRDefault="004721D5" w:rsidP="00C93AD7">
            <w:pPr>
              <w:jc w:val="right"/>
              <w:rPr>
                <w:rFonts w:ascii="Times New Roman" w:eastAsia="Times New Roman" w:hAnsi="Times New Roman" w:cs="Times New Roman"/>
              </w:rPr>
            </w:pPr>
            <w:hyperlink r:id="rId21" w:history="1">
              <w:r w:rsidR="00130C5E" w:rsidRPr="004803A8">
                <w:rPr>
                  <w:rFonts w:ascii="Times New Roman" w:eastAsia="Times New Roman" w:hAnsi="Times New Roman" w:cs="Times New Roman"/>
                </w:rPr>
                <w:t>1.13</w:t>
              </w:r>
            </w:hyperlink>
          </w:p>
        </w:tc>
        <w:tc>
          <w:tcPr>
            <w:tcW w:w="6526" w:type="dxa"/>
            <w:tcBorders>
              <w:top w:val="nil"/>
              <w:left w:val="nil"/>
              <w:bottom w:val="single" w:sz="4" w:space="0" w:color="auto"/>
              <w:right w:val="single" w:sz="4" w:space="0" w:color="auto"/>
            </w:tcBorders>
            <w:shd w:val="clear" w:color="auto" w:fill="auto"/>
            <w:hideMark/>
          </w:tcPr>
          <w:p w14:paraId="18A64E89"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of Compliance Concerns regarding Applicable National Laws, including reported data security breaches.</w:t>
            </w:r>
          </w:p>
        </w:tc>
        <w:tc>
          <w:tcPr>
            <w:tcW w:w="1594" w:type="dxa"/>
            <w:tcBorders>
              <w:top w:val="nil"/>
              <w:left w:val="nil"/>
              <w:bottom w:val="single" w:sz="4" w:space="0" w:color="auto"/>
              <w:right w:val="single" w:sz="4" w:space="0" w:color="auto"/>
            </w:tcBorders>
          </w:tcPr>
          <w:p w14:paraId="3F1FAC9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6DDF152D"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073F146F" w14:textId="77777777" w:rsidR="00130C5E" w:rsidRPr="004803A8" w:rsidRDefault="004721D5" w:rsidP="00C93AD7">
            <w:pPr>
              <w:jc w:val="right"/>
              <w:rPr>
                <w:rFonts w:ascii="Times New Roman" w:eastAsia="Times New Roman" w:hAnsi="Times New Roman" w:cs="Times New Roman"/>
              </w:rPr>
            </w:pPr>
            <w:hyperlink r:id="rId22" w:history="1">
              <w:r w:rsidR="00130C5E" w:rsidRPr="004803A8">
                <w:rPr>
                  <w:rFonts w:ascii="Times New Roman" w:eastAsia="Times New Roman" w:hAnsi="Times New Roman" w:cs="Times New Roman"/>
                </w:rPr>
                <w:t>1.14</w:t>
              </w:r>
            </w:hyperlink>
          </w:p>
        </w:tc>
        <w:tc>
          <w:tcPr>
            <w:tcW w:w="6526" w:type="dxa"/>
            <w:tcBorders>
              <w:top w:val="nil"/>
              <w:left w:val="nil"/>
              <w:bottom w:val="single" w:sz="4" w:space="0" w:color="auto"/>
              <w:right w:val="single" w:sz="4" w:space="0" w:color="auto"/>
            </w:tcBorders>
            <w:shd w:val="clear" w:color="auto" w:fill="auto"/>
            <w:hideMark/>
          </w:tcPr>
          <w:p w14:paraId="19FFA3D8"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and relative incidence of Domain Takedowns.</w:t>
            </w:r>
          </w:p>
        </w:tc>
        <w:tc>
          <w:tcPr>
            <w:tcW w:w="1594" w:type="dxa"/>
            <w:tcBorders>
              <w:top w:val="nil"/>
              <w:left w:val="nil"/>
              <w:bottom w:val="single" w:sz="4" w:space="0" w:color="auto"/>
              <w:right w:val="single" w:sz="4" w:space="0" w:color="auto"/>
            </w:tcBorders>
          </w:tcPr>
          <w:p w14:paraId="7F3D4DD0"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4AFEC10"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223C5FDA" w14:textId="77777777" w:rsidR="00130C5E" w:rsidRPr="004803A8" w:rsidRDefault="004721D5" w:rsidP="00C93AD7">
            <w:pPr>
              <w:jc w:val="right"/>
              <w:rPr>
                <w:rFonts w:ascii="Times New Roman" w:eastAsia="Times New Roman" w:hAnsi="Times New Roman" w:cs="Times New Roman"/>
              </w:rPr>
            </w:pPr>
            <w:hyperlink r:id="rId23" w:history="1">
              <w:r w:rsidR="00130C5E" w:rsidRPr="004803A8">
                <w:rPr>
                  <w:rFonts w:ascii="Times New Roman" w:eastAsia="Times New Roman" w:hAnsi="Times New Roman" w:cs="Times New Roman"/>
                </w:rPr>
                <w:t>1.15</w:t>
              </w:r>
            </w:hyperlink>
          </w:p>
        </w:tc>
        <w:tc>
          <w:tcPr>
            <w:tcW w:w="6526" w:type="dxa"/>
            <w:tcBorders>
              <w:top w:val="nil"/>
              <w:left w:val="nil"/>
              <w:bottom w:val="single" w:sz="4" w:space="0" w:color="auto"/>
              <w:right w:val="single" w:sz="4" w:space="0" w:color="auto"/>
            </w:tcBorders>
            <w:shd w:val="clear" w:color="auto" w:fill="auto"/>
            <w:hideMark/>
          </w:tcPr>
          <w:p w14:paraId="0135F575"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and relative incidence of spam from domains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which could be measured via specialized email addresses and methodologies.</w:t>
            </w:r>
          </w:p>
        </w:tc>
        <w:tc>
          <w:tcPr>
            <w:tcW w:w="1594" w:type="dxa"/>
            <w:tcBorders>
              <w:top w:val="nil"/>
              <w:left w:val="nil"/>
              <w:bottom w:val="single" w:sz="4" w:space="0" w:color="auto"/>
              <w:right w:val="single" w:sz="4" w:space="0" w:color="auto"/>
            </w:tcBorders>
          </w:tcPr>
          <w:p w14:paraId="0E163304"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77A61C1"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6BFFC4FD" w14:textId="77777777" w:rsidR="00130C5E" w:rsidRPr="004803A8" w:rsidRDefault="004721D5" w:rsidP="00C93AD7">
            <w:pPr>
              <w:jc w:val="right"/>
              <w:rPr>
                <w:rFonts w:ascii="Times New Roman" w:eastAsia="Times New Roman" w:hAnsi="Times New Roman" w:cs="Times New Roman"/>
              </w:rPr>
            </w:pPr>
            <w:hyperlink r:id="rId24" w:history="1">
              <w:r w:rsidR="00130C5E" w:rsidRPr="004803A8">
                <w:rPr>
                  <w:rFonts w:ascii="Times New Roman" w:eastAsia="Times New Roman" w:hAnsi="Times New Roman" w:cs="Times New Roman"/>
                </w:rPr>
                <w:t>1.16</w:t>
              </w:r>
            </w:hyperlink>
          </w:p>
        </w:tc>
        <w:tc>
          <w:tcPr>
            <w:tcW w:w="6526" w:type="dxa"/>
            <w:tcBorders>
              <w:top w:val="nil"/>
              <w:left w:val="nil"/>
              <w:bottom w:val="single" w:sz="4" w:space="0" w:color="auto"/>
              <w:right w:val="single" w:sz="4" w:space="0" w:color="auto"/>
            </w:tcBorders>
            <w:shd w:val="clear" w:color="auto" w:fill="auto"/>
            <w:hideMark/>
          </w:tcPr>
          <w:p w14:paraId="4E3515AF"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and relative incidence of fraudulent transactions caused by phishing sites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658DAEDE"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E8C3BCE"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7D04DA30" w14:textId="77777777" w:rsidR="00130C5E" w:rsidRPr="004803A8" w:rsidRDefault="004721D5" w:rsidP="00C93AD7">
            <w:pPr>
              <w:jc w:val="right"/>
              <w:rPr>
                <w:rFonts w:ascii="Times New Roman" w:eastAsia="Times New Roman" w:hAnsi="Times New Roman" w:cs="Times New Roman"/>
              </w:rPr>
            </w:pPr>
            <w:hyperlink r:id="rId25" w:history="1">
              <w:r w:rsidR="00130C5E" w:rsidRPr="004803A8">
                <w:rPr>
                  <w:rFonts w:ascii="Times New Roman" w:eastAsia="Times New Roman" w:hAnsi="Times New Roman" w:cs="Times New Roman"/>
                </w:rPr>
                <w:t>1.17</w:t>
              </w:r>
            </w:hyperlink>
          </w:p>
        </w:tc>
        <w:tc>
          <w:tcPr>
            <w:tcW w:w="6526" w:type="dxa"/>
            <w:tcBorders>
              <w:top w:val="nil"/>
              <w:left w:val="nil"/>
              <w:bottom w:val="single" w:sz="4" w:space="0" w:color="auto"/>
              <w:right w:val="single" w:sz="4" w:space="0" w:color="auto"/>
            </w:tcBorders>
            <w:shd w:val="clear" w:color="auto" w:fill="auto"/>
            <w:hideMark/>
          </w:tcPr>
          <w:p w14:paraId="3E3362AB"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and relative incidence of detected phishing sites using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545CFE15"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44BFC724"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34DF0EF3" w14:textId="77777777" w:rsidR="00130C5E" w:rsidRPr="004803A8" w:rsidRDefault="004721D5" w:rsidP="00C93AD7">
            <w:pPr>
              <w:jc w:val="right"/>
              <w:rPr>
                <w:rFonts w:ascii="Times New Roman" w:eastAsia="Times New Roman" w:hAnsi="Times New Roman" w:cs="Times New Roman"/>
              </w:rPr>
            </w:pPr>
            <w:hyperlink r:id="rId26" w:history="1">
              <w:r w:rsidR="00130C5E" w:rsidRPr="004803A8">
                <w:rPr>
                  <w:rFonts w:ascii="Times New Roman" w:eastAsia="Times New Roman" w:hAnsi="Times New Roman" w:cs="Times New Roman"/>
                </w:rPr>
                <w:t>1.18</w:t>
              </w:r>
            </w:hyperlink>
          </w:p>
        </w:tc>
        <w:tc>
          <w:tcPr>
            <w:tcW w:w="6526" w:type="dxa"/>
            <w:tcBorders>
              <w:top w:val="nil"/>
              <w:left w:val="nil"/>
              <w:bottom w:val="single" w:sz="4" w:space="0" w:color="auto"/>
              <w:right w:val="single" w:sz="4" w:space="0" w:color="auto"/>
            </w:tcBorders>
            <w:shd w:val="clear" w:color="auto" w:fill="auto"/>
            <w:hideMark/>
          </w:tcPr>
          <w:p w14:paraId="6C4D5432"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and relative incidence of detected botnets and malware distributed using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6DA3ECC9"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60B5108B"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0C478E1E" w14:textId="77777777" w:rsidR="00130C5E" w:rsidRPr="004803A8" w:rsidRDefault="004721D5" w:rsidP="00C93AD7">
            <w:pPr>
              <w:jc w:val="right"/>
              <w:rPr>
                <w:rFonts w:ascii="Times New Roman" w:eastAsia="Times New Roman" w:hAnsi="Times New Roman" w:cs="Times New Roman"/>
              </w:rPr>
            </w:pPr>
            <w:hyperlink r:id="rId27" w:history="1">
              <w:r w:rsidR="00130C5E" w:rsidRPr="004803A8">
                <w:rPr>
                  <w:rFonts w:ascii="Times New Roman" w:eastAsia="Times New Roman" w:hAnsi="Times New Roman" w:cs="Times New Roman"/>
                </w:rPr>
                <w:t>1.19</w:t>
              </w:r>
            </w:hyperlink>
          </w:p>
        </w:tc>
        <w:tc>
          <w:tcPr>
            <w:tcW w:w="6526" w:type="dxa"/>
            <w:tcBorders>
              <w:top w:val="nil"/>
              <w:left w:val="nil"/>
              <w:bottom w:val="single" w:sz="4" w:space="0" w:color="auto"/>
              <w:right w:val="single" w:sz="4" w:space="0" w:color="auto"/>
            </w:tcBorders>
            <w:shd w:val="clear" w:color="auto" w:fill="auto"/>
            <w:hideMark/>
          </w:tcPr>
          <w:p w14:paraId="3023C6CD"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and relative incidence of sites found to be dealing in or distributing identities and account information used in identity fraud.</w:t>
            </w:r>
          </w:p>
        </w:tc>
        <w:tc>
          <w:tcPr>
            <w:tcW w:w="1594" w:type="dxa"/>
            <w:tcBorders>
              <w:top w:val="nil"/>
              <w:left w:val="nil"/>
              <w:bottom w:val="single" w:sz="4" w:space="0" w:color="auto"/>
              <w:right w:val="single" w:sz="4" w:space="0" w:color="auto"/>
            </w:tcBorders>
          </w:tcPr>
          <w:p w14:paraId="678E7F43"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734BD660"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1D489138" w14:textId="77777777" w:rsidR="00130C5E" w:rsidRPr="004803A8" w:rsidRDefault="004721D5" w:rsidP="00C93AD7">
            <w:pPr>
              <w:jc w:val="right"/>
              <w:rPr>
                <w:rFonts w:ascii="Times New Roman" w:eastAsia="Times New Roman" w:hAnsi="Times New Roman" w:cs="Times New Roman"/>
              </w:rPr>
            </w:pPr>
            <w:hyperlink r:id="rId28" w:history="1">
              <w:r w:rsidR="00130C5E" w:rsidRPr="004803A8">
                <w:rPr>
                  <w:rFonts w:ascii="Times New Roman" w:eastAsia="Times New Roman" w:hAnsi="Times New Roman" w:cs="Times New Roman"/>
                </w:rPr>
                <w:t>1.20</w:t>
              </w:r>
            </w:hyperlink>
          </w:p>
        </w:tc>
        <w:tc>
          <w:tcPr>
            <w:tcW w:w="6526" w:type="dxa"/>
            <w:tcBorders>
              <w:top w:val="nil"/>
              <w:left w:val="nil"/>
              <w:bottom w:val="single" w:sz="4" w:space="0" w:color="auto"/>
              <w:right w:val="single" w:sz="4" w:space="0" w:color="auto"/>
            </w:tcBorders>
            <w:shd w:val="clear" w:color="auto" w:fill="auto"/>
            <w:hideMark/>
          </w:tcPr>
          <w:p w14:paraId="03F7DA54"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and relative incidence of complaints regarding inaccurate, invalid, or suspect WHOIS records in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567F78D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6293B6F9"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3F6C0DE5" w14:textId="77777777" w:rsidR="00130C5E" w:rsidRPr="004803A8" w:rsidRDefault="004721D5" w:rsidP="00C93AD7">
            <w:pPr>
              <w:jc w:val="right"/>
              <w:rPr>
                <w:rFonts w:ascii="Times New Roman" w:eastAsia="Times New Roman" w:hAnsi="Times New Roman" w:cs="Times New Roman"/>
              </w:rPr>
            </w:pPr>
            <w:hyperlink r:id="rId29" w:history="1">
              <w:r w:rsidR="00130C5E" w:rsidRPr="004803A8">
                <w:rPr>
                  <w:rFonts w:ascii="Times New Roman" w:eastAsia="Times New Roman" w:hAnsi="Times New Roman" w:cs="Times New Roman"/>
                </w:rPr>
                <w:t>1.21</w:t>
              </w:r>
            </w:hyperlink>
          </w:p>
        </w:tc>
        <w:tc>
          <w:tcPr>
            <w:tcW w:w="6526" w:type="dxa"/>
            <w:tcBorders>
              <w:top w:val="nil"/>
              <w:left w:val="nil"/>
              <w:bottom w:val="single" w:sz="4" w:space="0" w:color="auto"/>
              <w:right w:val="single" w:sz="4" w:space="0" w:color="auto"/>
            </w:tcBorders>
            <w:shd w:val="clear" w:color="auto" w:fill="auto"/>
            <w:hideMark/>
          </w:tcPr>
          <w:p w14:paraId="2F5DEF1F"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incidence of errors in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zones. </w:t>
            </w:r>
          </w:p>
        </w:tc>
        <w:tc>
          <w:tcPr>
            <w:tcW w:w="1594" w:type="dxa"/>
            <w:tcBorders>
              <w:top w:val="nil"/>
              <w:left w:val="nil"/>
              <w:bottom w:val="single" w:sz="4" w:space="0" w:color="auto"/>
              <w:right w:val="single" w:sz="4" w:space="0" w:color="auto"/>
            </w:tcBorders>
          </w:tcPr>
          <w:p w14:paraId="41AB4570"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156BE3E4"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57DF4DC4" w14:textId="77777777" w:rsidR="00130C5E" w:rsidRPr="004803A8" w:rsidRDefault="004721D5" w:rsidP="00C93AD7">
            <w:pPr>
              <w:jc w:val="right"/>
              <w:rPr>
                <w:rFonts w:ascii="Times New Roman" w:eastAsia="Times New Roman" w:hAnsi="Times New Roman" w:cs="Times New Roman"/>
              </w:rPr>
            </w:pPr>
            <w:hyperlink r:id="rId30" w:history="1">
              <w:r w:rsidR="00130C5E" w:rsidRPr="004803A8">
                <w:rPr>
                  <w:rFonts w:ascii="Times New Roman" w:eastAsia="Times New Roman" w:hAnsi="Times New Roman" w:cs="Times New Roman"/>
                </w:rPr>
                <w:t>1.22</w:t>
              </w:r>
            </w:hyperlink>
          </w:p>
        </w:tc>
        <w:tc>
          <w:tcPr>
            <w:tcW w:w="6526" w:type="dxa"/>
            <w:tcBorders>
              <w:top w:val="nil"/>
              <w:left w:val="nil"/>
              <w:bottom w:val="single" w:sz="4" w:space="0" w:color="auto"/>
              <w:right w:val="single" w:sz="4" w:space="0" w:color="auto"/>
            </w:tcBorders>
            <w:shd w:val="clear" w:color="auto" w:fill="auto"/>
            <w:hideMark/>
          </w:tcPr>
          <w:p w14:paraId="2CB733D8"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Qualitative comparison of mission and purpose set forth in Question 18 of the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Application with current actual use of the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0B4C9E9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008DF07"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671252AE" w14:textId="77777777" w:rsidR="00130C5E" w:rsidRPr="004803A8" w:rsidRDefault="004721D5" w:rsidP="00C93AD7">
            <w:pPr>
              <w:jc w:val="right"/>
              <w:rPr>
                <w:rFonts w:ascii="Times New Roman" w:eastAsia="Times New Roman" w:hAnsi="Times New Roman" w:cs="Times New Roman"/>
              </w:rPr>
            </w:pPr>
            <w:hyperlink r:id="rId31" w:history="1">
              <w:r w:rsidR="00130C5E" w:rsidRPr="004803A8">
                <w:rPr>
                  <w:rFonts w:ascii="Times New Roman" w:eastAsia="Times New Roman" w:hAnsi="Times New Roman" w:cs="Times New Roman"/>
                </w:rPr>
                <w:t>2.1</w:t>
              </w:r>
            </w:hyperlink>
          </w:p>
        </w:tc>
        <w:tc>
          <w:tcPr>
            <w:tcW w:w="6526" w:type="dxa"/>
            <w:tcBorders>
              <w:top w:val="nil"/>
              <w:left w:val="nil"/>
              <w:bottom w:val="single" w:sz="4" w:space="0" w:color="auto"/>
              <w:right w:val="single" w:sz="4" w:space="0" w:color="auto"/>
            </w:tcBorders>
            <w:shd w:val="clear" w:color="auto" w:fill="auto"/>
            <w:hideMark/>
          </w:tcPr>
          <w:p w14:paraId="44FAC789"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Measure potential registrants’ understanding of TLD benefits and restrictions, such that potential registrants can make informed choices about registration of their domain names.</w:t>
            </w:r>
          </w:p>
        </w:tc>
        <w:tc>
          <w:tcPr>
            <w:tcW w:w="1594" w:type="dxa"/>
            <w:tcBorders>
              <w:top w:val="nil"/>
              <w:left w:val="nil"/>
              <w:bottom w:val="single" w:sz="4" w:space="0" w:color="auto"/>
              <w:right w:val="single" w:sz="4" w:space="0" w:color="auto"/>
            </w:tcBorders>
          </w:tcPr>
          <w:p w14:paraId="63C5A2F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589F9A7F"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5F60E376" w14:textId="77777777" w:rsidR="00130C5E" w:rsidRPr="004803A8" w:rsidRDefault="004721D5" w:rsidP="00C93AD7">
            <w:pPr>
              <w:jc w:val="right"/>
              <w:rPr>
                <w:rFonts w:ascii="Times New Roman" w:eastAsia="Times New Roman" w:hAnsi="Times New Roman" w:cs="Times New Roman"/>
              </w:rPr>
            </w:pPr>
            <w:hyperlink r:id="rId32" w:history="1">
              <w:r w:rsidR="00130C5E" w:rsidRPr="004803A8">
                <w:rPr>
                  <w:rFonts w:ascii="Times New Roman" w:eastAsia="Times New Roman" w:hAnsi="Times New Roman" w:cs="Times New Roman"/>
                </w:rPr>
                <w:t>2.2</w:t>
              </w:r>
            </w:hyperlink>
          </w:p>
        </w:tc>
        <w:tc>
          <w:tcPr>
            <w:tcW w:w="6526" w:type="dxa"/>
            <w:tcBorders>
              <w:top w:val="nil"/>
              <w:left w:val="nil"/>
              <w:bottom w:val="single" w:sz="4" w:space="0" w:color="auto"/>
              <w:right w:val="single" w:sz="4" w:space="0" w:color="auto"/>
            </w:tcBorders>
            <w:shd w:val="clear" w:color="auto" w:fill="auto"/>
            <w:hideMark/>
          </w:tcPr>
          <w:p w14:paraId="2303107E"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Measure Internet users’ understanding of TLD eligibility restrictions, such that Internet users can make informed choices about reliance on domain names in that TLD.    </w:t>
            </w:r>
          </w:p>
        </w:tc>
        <w:tc>
          <w:tcPr>
            <w:tcW w:w="1594" w:type="dxa"/>
            <w:tcBorders>
              <w:top w:val="nil"/>
              <w:left w:val="nil"/>
              <w:bottom w:val="single" w:sz="4" w:space="0" w:color="auto"/>
              <w:right w:val="single" w:sz="4" w:space="0" w:color="auto"/>
            </w:tcBorders>
          </w:tcPr>
          <w:p w14:paraId="479C7775"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4E151364"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7DF6CF8D" w14:textId="77777777" w:rsidR="00130C5E" w:rsidRPr="004803A8" w:rsidRDefault="004721D5" w:rsidP="00C93AD7">
            <w:pPr>
              <w:jc w:val="right"/>
              <w:rPr>
                <w:rFonts w:ascii="Times New Roman" w:eastAsia="Times New Roman" w:hAnsi="Times New Roman" w:cs="Times New Roman"/>
              </w:rPr>
            </w:pPr>
            <w:hyperlink r:id="rId33" w:history="1">
              <w:r w:rsidR="00130C5E" w:rsidRPr="004803A8">
                <w:rPr>
                  <w:rFonts w:ascii="Times New Roman" w:eastAsia="Times New Roman" w:hAnsi="Times New Roman" w:cs="Times New Roman"/>
                </w:rPr>
                <w:t>2.3</w:t>
              </w:r>
            </w:hyperlink>
          </w:p>
        </w:tc>
        <w:tc>
          <w:tcPr>
            <w:tcW w:w="6526" w:type="dxa"/>
            <w:tcBorders>
              <w:top w:val="nil"/>
              <w:left w:val="nil"/>
              <w:bottom w:val="single" w:sz="4" w:space="0" w:color="auto"/>
              <w:right w:val="single" w:sz="4" w:space="0" w:color="auto"/>
            </w:tcBorders>
            <w:shd w:val="clear" w:color="auto" w:fill="auto"/>
            <w:hideMark/>
          </w:tcPr>
          <w:p w14:paraId="00855720"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Biennial surveys of perceived consumer choice in DNS, relative to experience before the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expansion. </w:t>
            </w:r>
          </w:p>
        </w:tc>
        <w:tc>
          <w:tcPr>
            <w:tcW w:w="1594" w:type="dxa"/>
            <w:tcBorders>
              <w:top w:val="nil"/>
              <w:left w:val="nil"/>
              <w:bottom w:val="single" w:sz="4" w:space="0" w:color="auto"/>
              <w:right w:val="single" w:sz="4" w:space="0" w:color="auto"/>
            </w:tcBorders>
          </w:tcPr>
          <w:p w14:paraId="166C26B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4EC86B6D"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1995C66C" w14:textId="77777777" w:rsidR="00130C5E" w:rsidRPr="004803A8" w:rsidRDefault="004721D5" w:rsidP="00C93AD7">
            <w:pPr>
              <w:jc w:val="right"/>
              <w:rPr>
                <w:rFonts w:ascii="Times New Roman" w:eastAsia="Times New Roman" w:hAnsi="Times New Roman" w:cs="Times New Roman"/>
              </w:rPr>
            </w:pPr>
            <w:hyperlink r:id="rId34" w:history="1">
              <w:r w:rsidR="00130C5E" w:rsidRPr="004803A8">
                <w:rPr>
                  <w:rFonts w:ascii="Times New Roman" w:eastAsia="Times New Roman" w:hAnsi="Times New Roman" w:cs="Times New Roman"/>
                </w:rPr>
                <w:t>2.4</w:t>
              </w:r>
            </w:hyperlink>
          </w:p>
        </w:tc>
        <w:tc>
          <w:tcPr>
            <w:tcW w:w="6526" w:type="dxa"/>
            <w:tcBorders>
              <w:top w:val="nil"/>
              <w:left w:val="nil"/>
              <w:bottom w:val="single" w:sz="4" w:space="0" w:color="auto"/>
              <w:right w:val="single" w:sz="4" w:space="0" w:color="auto"/>
            </w:tcBorders>
            <w:shd w:val="clear" w:color="auto" w:fill="auto"/>
            <w:hideMark/>
          </w:tcPr>
          <w:p w14:paraId="21E9EC5C"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of TLDs using IDN scripts or languages other than English.</w:t>
            </w:r>
          </w:p>
        </w:tc>
        <w:tc>
          <w:tcPr>
            <w:tcW w:w="1594" w:type="dxa"/>
            <w:tcBorders>
              <w:top w:val="nil"/>
              <w:left w:val="nil"/>
              <w:bottom w:val="single" w:sz="4" w:space="0" w:color="auto"/>
              <w:right w:val="single" w:sz="4" w:space="0" w:color="auto"/>
            </w:tcBorders>
          </w:tcPr>
          <w:p w14:paraId="261D5812"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54B34316"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79CE19F9" w14:textId="77777777" w:rsidR="00130C5E" w:rsidRPr="0041629E" w:rsidRDefault="00130C5E" w:rsidP="00C93AD7">
            <w:pPr>
              <w:jc w:val="right"/>
              <w:rPr>
                <w:rFonts w:ascii="Times New Roman" w:eastAsia="Times New Roman" w:hAnsi="Times New Roman" w:cs="Times New Roman"/>
                <w:color w:val="0563C1"/>
              </w:rPr>
            </w:pPr>
            <w:r w:rsidRPr="0041629E">
              <w:rPr>
                <w:rFonts w:ascii="Times New Roman" w:eastAsia="Times New Roman" w:hAnsi="Times New Roman" w:cs="Times New Roman"/>
              </w:rPr>
              <w:t>2.5</w:t>
            </w:r>
          </w:p>
        </w:tc>
        <w:tc>
          <w:tcPr>
            <w:tcW w:w="6526" w:type="dxa"/>
            <w:tcBorders>
              <w:top w:val="nil"/>
              <w:left w:val="nil"/>
              <w:bottom w:val="single" w:sz="4" w:space="0" w:color="auto"/>
              <w:right w:val="single" w:sz="4" w:space="0" w:color="auto"/>
            </w:tcBorders>
            <w:shd w:val="clear" w:color="auto" w:fill="auto"/>
            <w:hideMark/>
          </w:tcPr>
          <w:p w14:paraId="72C75C7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of Registrar websites offering IDN scripts or languages other than English.</w:t>
            </w:r>
          </w:p>
        </w:tc>
        <w:tc>
          <w:tcPr>
            <w:tcW w:w="1594" w:type="dxa"/>
            <w:tcBorders>
              <w:top w:val="nil"/>
              <w:left w:val="nil"/>
              <w:bottom w:val="single" w:sz="4" w:space="0" w:color="auto"/>
              <w:right w:val="single" w:sz="4" w:space="0" w:color="auto"/>
            </w:tcBorders>
          </w:tcPr>
          <w:p w14:paraId="653245F9"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445DA9FE"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7C2196D4" w14:textId="77777777" w:rsidR="00130C5E" w:rsidRPr="004803A8" w:rsidRDefault="004721D5" w:rsidP="00C93AD7">
            <w:pPr>
              <w:jc w:val="right"/>
              <w:rPr>
                <w:rFonts w:ascii="Times New Roman" w:eastAsia="Times New Roman" w:hAnsi="Times New Roman" w:cs="Times New Roman"/>
                <w:strike/>
              </w:rPr>
            </w:pPr>
            <w:hyperlink r:id="rId35" w:history="1">
              <w:r w:rsidR="00130C5E" w:rsidRPr="004803A8">
                <w:rPr>
                  <w:rFonts w:ascii="Times New Roman" w:eastAsia="Times New Roman" w:hAnsi="Times New Roman" w:cs="Times New Roman"/>
                  <w:strike/>
                </w:rPr>
                <w:t>2.6</w:t>
              </w:r>
            </w:hyperlink>
          </w:p>
        </w:tc>
        <w:tc>
          <w:tcPr>
            <w:tcW w:w="6526" w:type="dxa"/>
            <w:tcBorders>
              <w:top w:val="nil"/>
              <w:left w:val="nil"/>
              <w:bottom w:val="single" w:sz="4" w:space="0" w:color="auto"/>
              <w:right w:val="single" w:sz="4" w:space="0" w:color="auto"/>
            </w:tcBorders>
            <w:shd w:val="clear" w:color="auto" w:fill="auto"/>
            <w:hideMark/>
          </w:tcPr>
          <w:p w14:paraId="2FA43C2D" w14:textId="77777777" w:rsidR="00130C5E" w:rsidRPr="004803A8" w:rsidRDefault="00130C5E" w:rsidP="00C93AD7">
            <w:pPr>
              <w:rPr>
                <w:rFonts w:ascii="Times New Roman" w:eastAsia="Times New Roman" w:hAnsi="Times New Roman" w:cs="Times New Roman"/>
                <w:strike/>
              </w:rPr>
            </w:pPr>
            <w:r w:rsidRPr="004803A8">
              <w:rPr>
                <w:rFonts w:ascii="Times New Roman" w:eastAsia="Times New Roman" w:hAnsi="Times New Roman" w:cs="Times New Roman"/>
                <w:strike/>
              </w:rPr>
              <w:t xml:space="preserve">The percentage of IDNs as compared to the total number of </w:t>
            </w:r>
            <w:proofErr w:type="spellStart"/>
            <w:r w:rsidRPr="004803A8">
              <w:rPr>
                <w:rFonts w:ascii="Times New Roman" w:eastAsia="Times New Roman" w:hAnsi="Times New Roman" w:cs="Times New Roman"/>
                <w:strike/>
              </w:rPr>
              <w:t>gTLDs</w:t>
            </w:r>
            <w:proofErr w:type="spellEnd"/>
            <w:r w:rsidRPr="004803A8">
              <w:rPr>
                <w:rFonts w:ascii="Times New Roman" w:eastAsia="Times New Roman" w:hAnsi="Times New Roman" w:cs="Times New Roman"/>
                <w:strike/>
              </w:rPr>
              <w:t xml:space="preserve"> in each script or language should be compared to the percentage of people who use each particular language or script.</w:t>
            </w:r>
          </w:p>
        </w:tc>
        <w:tc>
          <w:tcPr>
            <w:tcW w:w="1594" w:type="dxa"/>
            <w:tcBorders>
              <w:top w:val="nil"/>
              <w:left w:val="nil"/>
              <w:bottom w:val="single" w:sz="4" w:space="0" w:color="auto"/>
              <w:right w:val="single" w:sz="4" w:space="0" w:color="auto"/>
            </w:tcBorders>
          </w:tcPr>
          <w:p w14:paraId="4AA5593F" w14:textId="77777777" w:rsidR="00130C5E" w:rsidRPr="004803A8" w:rsidRDefault="00130C5E" w:rsidP="00C93AD7">
            <w:pPr>
              <w:rPr>
                <w:rFonts w:ascii="Times New Roman" w:eastAsia="Times New Roman" w:hAnsi="Times New Roman" w:cs="Times New Roman"/>
                <w:strike/>
              </w:rPr>
            </w:pPr>
            <w:r>
              <w:rPr>
                <w:rFonts w:ascii="Times New Roman" w:eastAsia="Times New Roman" w:hAnsi="Times New Roman" w:cs="Times New Roman"/>
                <w:strike/>
              </w:rPr>
              <w:t>Choice</w:t>
            </w:r>
          </w:p>
        </w:tc>
      </w:tr>
      <w:tr w:rsidR="00130C5E" w:rsidRPr="00AC6630" w14:paraId="6C5ACD2D"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584F4286" w14:textId="77777777" w:rsidR="00130C5E" w:rsidRPr="004803A8" w:rsidRDefault="004721D5" w:rsidP="00C93AD7">
            <w:pPr>
              <w:jc w:val="right"/>
              <w:rPr>
                <w:rFonts w:ascii="Times New Roman" w:eastAsia="Times New Roman" w:hAnsi="Times New Roman" w:cs="Times New Roman"/>
              </w:rPr>
            </w:pPr>
            <w:hyperlink r:id="rId36" w:history="1">
              <w:r w:rsidR="00130C5E" w:rsidRPr="004803A8">
                <w:rPr>
                  <w:rFonts w:ascii="Times New Roman" w:eastAsia="Times New Roman" w:hAnsi="Times New Roman" w:cs="Times New Roman"/>
                </w:rPr>
                <w:t>2.7</w:t>
              </w:r>
            </w:hyperlink>
          </w:p>
        </w:tc>
        <w:tc>
          <w:tcPr>
            <w:tcW w:w="6526" w:type="dxa"/>
            <w:tcBorders>
              <w:top w:val="nil"/>
              <w:left w:val="nil"/>
              <w:bottom w:val="single" w:sz="4" w:space="0" w:color="auto"/>
              <w:right w:val="single" w:sz="4" w:space="0" w:color="auto"/>
            </w:tcBorders>
            <w:shd w:val="clear" w:color="auto" w:fill="auto"/>
            <w:hideMark/>
          </w:tcPr>
          <w:p w14:paraId="73B7F2EE"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of different national legal regimes where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Registry Operators are based.</w:t>
            </w:r>
          </w:p>
        </w:tc>
        <w:tc>
          <w:tcPr>
            <w:tcW w:w="1594" w:type="dxa"/>
            <w:tcBorders>
              <w:top w:val="nil"/>
              <w:left w:val="nil"/>
              <w:bottom w:val="single" w:sz="4" w:space="0" w:color="auto"/>
              <w:right w:val="single" w:sz="4" w:space="0" w:color="auto"/>
            </w:tcBorders>
          </w:tcPr>
          <w:p w14:paraId="72EF9602"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7B48941C"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727E1A53" w14:textId="77777777" w:rsidR="00130C5E" w:rsidRPr="004803A8" w:rsidRDefault="004721D5" w:rsidP="00C93AD7">
            <w:pPr>
              <w:jc w:val="right"/>
              <w:rPr>
                <w:rFonts w:ascii="Times New Roman" w:eastAsia="Times New Roman" w:hAnsi="Times New Roman" w:cs="Times New Roman"/>
              </w:rPr>
            </w:pPr>
            <w:hyperlink r:id="rId37" w:history="1">
              <w:r w:rsidR="00130C5E" w:rsidRPr="004803A8">
                <w:rPr>
                  <w:rFonts w:ascii="Times New Roman" w:eastAsia="Times New Roman" w:hAnsi="Times New Roman" w:cs="Times New Roman"/>
                </w:rPr>
                <w:t>2.8</w:t>
              </w:r>
            </w:hyperlink>
          </w:p>
        </w:tc>
        <w:tc>
          <w:tcPr>
            <w:tcW w:w="6526" w:type="dxa"/>
            <w:tcBorders>
              <w:top w:val="nil"/>
              <w:left w:val="nil"/>
              <w:bottom w:val="single" w:sz="4" w:space="0" w:color="auto"/>
              <w:right w:val="single" w:sz="4" w:space="0" w:color="auto"/>
            </w:tcBorders>
            <w:shd w:val="clear" w:color="auto" w:fill="auto"/>
            <w:hideMark/>
          </w:tcPr>
          <w:p w14:paraId="6AC4E067"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Measure share of Sunrise registrations &amp; domain blocks to total registrations in each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1DE1D22C"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7D29A963"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2A66E3DE" w14:textId="77777777" w:rsidR="00130C5E" w:rsidRPr="004803A8" w:rsidRDefault="004721D5" w:rsidP="00C93AD7">
            <w:pPr>
              <w:jc w:val="right"/>
              <w:rPr>
                <w:rFonts w:ascii="Times New Roman" w:eastAsia="Times New Roman" w:hAnsi="Times New Roman" w:cs="Times New Roman"/>
              </w:rPr>
            </w:pPr>
            <w:hyperlink r:id="rId38" w:history="1">
              <w:r w:rsidR="00130C5E" w:rsidRPr="004803A8">
                <w:rPr>
                  <w:rFonts w:ascii="Times New Roman" w:eastAsia="Times New Roman" w:hAnsi="Times New Roman" w:cs="Times New Roman"/>
                </w:rPr>
                <w:t>2.9</w:t>
              </w:r>
            </w:hyperlink>
          </w:p>
        </w:tc>
        <w:tc>
          <w:tcPr>
            <w:tcW w:w="6526" w:type="dxa"/>
            <w:tcBorders>
              <w:top w:val="nil"/>
              <w:left w:val="nil"/>
              <w:bottom w:val="single" w:sz="4" w:space="0" w:color="auto"/>
              <w:right w:val="single" w:sz="4" w:space="0" w:color="auto"/>
            </w:tcBorders>
            <w:shd w:val="clear" w:color="auto" w:fill="auto"/>
            <w:hideMark/>
          </w:tcPr>
          <w:p w14:paraId="4840927D"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share of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registrations already having the same domain in legacy TLDs prior to expansion.</w:t>
            </w:r>
          </w:p>
        </w:tc>
        <w:tc>
          <w:tcPr>
            <w:tcW w:w="1594" w:type="dxa"/>
            <w:tcBorders>
              <w:top w:val="nil"/>
              <w:left w:val="nil"/>
              <w:bottom w:val="single" w:sz="4" w:space="0" w:color="auto"/>
              <w:right w:val="single" w:sz="4" w:space="0" w:color="auto"/>
            </w:tcBorders>
          </w:tcPr>
          <w:p w14:paraId="7040B34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2FDCE55E"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2544702" w14:textId="77777777" w:rsidR="00130C5E" w:rsidRPr="004803A8" w:rsidRDefault="004721D5" w:rsidP="00C93AD7">
            <w:pPr>
              <w:jc w:val="right"/>
              <w:rPr>
                <w:rFonts w:ascii="Times New Roman" w:eastAsia="Times New Roman" w:hAnsi="Times New Roman" w:cs="Times New Roman"/>
              </w:rPr>
            </w:pPr>
            <w:hyperlink r:id="rId39" w:history="1">
              <w:r w:rsidR="00130C5E" w:rsidRPr="004803A8">
                <w:rPr>
                  <w:rFonts w:ascii="Times New Roman" w:eastAsia="Times New Roman" w:hAnsi="Times New Roman" w:cs="Times New Roman"/>
                </w:rPr>
                <w:t>2.10</w:t>
              </w:r>
            </w:hyperlink>
          </w:p>
        </w:tc>
        <w:tc>
          <w:tcPr>
            <w:tcW w:w="6526" w:type="dxa"/>
            <w:tcBorders>
              <w:top w:val="nil"/>
              <w:left w:val="nil"/>
              <w:bottom w:val="single" w:sz="4" w:space="0" w:color="auto"/>
              <w:right w:val="single" w:sz="4" w:space="0" w:color="auto"/>
            </w:tcBorders>
            <w:shd w:val="clear" w:color="auto" w:fill="auto"/>
            <w:hideMark/>
          </w:tcPr>
          <w:p w14:paraId="3634DDEF"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Automated analysis or online survey to determine the number of “duplicate” registrations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w:t>
            </w:r>
          </w:p>
        </w:tc>
        <w:tc>
          <w:tcPr>
            <w:tcW w:w="1594" w:type="dxa"/>
            <w:tcBorders>
              <w:top w:val="nil"/>
              <w:left w:val="nil"/>
              <w:bottom w:val="single" w:sz="4" w:space="0" w:color="auto"/>
              <w:right w:val="single" w:sz="4" w:space="0" w:color="auto"/>
            </w:tcBorders>
          </w:tcPr>
          <w:p w14:paraId="2532FB3C"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105CC6F1"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858264F" w14:textId="77777777" w:rsidR="00130C5E" w:rsidRPr="004803A8" w:rsidRDefault="004721D5" w:rsidP="00C93AD7">
            <w:pPr>
              <w:jc w:val="right"/>
              <w:rPr>
                <w:rFonts w:ascii="Times New Roman" w:eastAsia="Times New Roman" w:hAnsi="Times New Roman" w:cs="Times New Roman"/>
              </w:rPr>
            </w:pPr>
            <w:hyperlink r:id="rId40" w:history="1">
              <w:r w:rsidR="00130C5E" w:rsidRPr="004803A8">
                <w:rPr>
                  <w:rFonts w:ascii="Times New Roman" w:eastAsia="Times New Roman" w:hAnsi="Times New Roman" w:cs="Times New Roman"/>
                </w:rPr>
                <w:t>2.11</w:t>
              </w:r>
            </w:hyperlink>
          </w:p>
        </w:tc>
        <w:tc>
          <w:tcPr>
            <w:tcW w:w="6526" w:type="dxa"/>
            <w:tcBorders>
              <w:top w:val="nil"/>
              <w:left w:val="nil"/>
              <w:bottom w:val="single" w:sz="4" w:space="0" w:color="auto"/>
              <w:right w:val="single" w:sz="4" w:space="0" w:color="auto"/>
            </w:tcBorders>
            <w:shd w:val="clear" w:color="auto" w:fill="auto"/>
            <w:hideMark/>
          </w:tcPr>
          <w:p w14:paraId="78C2726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Measure the increased geographic diversity of registrants across all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as indication of new choices created by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expansion. </w:t>
            </w:r>
          </w:p>
        </w:tc>
        <w:tc>
          <w:tcPr>
            <w:tcW w:w="1594" w:type="dxa"/>
            <w:tcBorders>
              <w:top w:val="nil"/>
              <w:left w:val="nil"/>
              <w:bottom w:val="single" w:sz="4" w:space="0" w:color="auto"/>
              <w:right w:val="single" w:sz="4" w:space="0" w:color="auto"/>
            </w:tcBorders>
          </w:tcPr>
          <w:p w14:paraId="56AB9AC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5031EAB3"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5248C372" w14:textId="77777777" w:rsidR="00130C5E" w:rsidRPr="004803A8" w:rsidRDefault="004721D5" w:rsidP="00C93AD7">
            <w:pPr>
              <w:jc w:val="right"/>
              <w:rPr>
                <w:rFonts w:ascii="Times New Roman" w:eastAsia="Times New Roman" w:hAnsi="Times New Roman" w:cs="Times New Roman"/>
              </w:rPr>
            </w:pPr>
            <w:hyperlink r:id="rId41" w:history="1">
              <w:r w:rsidR="00130C5E" w:rsidRPr="004803A8">
                <w:rPr>
                  <w:rFonts w:ascii="Times New Roman" w:eastAsia="Times New Roman" w:hAnsi="Times New Roman" w:cs="Times New Roman"/>
                </w:rPr>
                <w:t>2.12</w:t>
              </w:r>
            </w:hyperlink>
          </w:p>
        </w:tc>
        <w:tc>
          <w:tcPr>
            <w:tcW w:w="6526" w:type="dxa"/>
            <w:tcBorders>
              <w:top w:val="nil"/>
              <w:left w:val="nil"/>
              <w:bottom w:val="single" w:sz="4" w:space="0" w:color="auto"/>
              <w:right w:val="single" w:sz="4" w:space="0" w:color="auto"/>
            </w:tcBorders>
            <w:shd w:val="clear" w:color="auto" w:fill="auto"/>
            <w:hideMark/>
          </w:tcPr>
          <w:p w14:paraId="4C7ED99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Survey or Study to gauge the frequency with which users access internet resources via tools that do not reveal the TLD (e.g. QR Codes, search results, apps, etc., that do not display URLs).</w:t>
            </w:r>
          </w:p>
        </w:tc>
        <w:tc>
          <w:tcPr>
            <w:tcW w:w="1594" w:type="dxa"/>
            <w:tcBorders>
              <w:top w:val="nil"/>
              <w:left w:val="nil"/>
              <w:bottom w:val="single" w:sz="4" w:space="0" w:color="auto"/>
              <w:right w:val="single" w:sz="4" w:space="0" w:color="auto"/>
            </w:tcBorders>
          </w:tcPr>
          <w:p w14:paraId="396E1BE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7BF7DC71" w14:textId="77777777" w:rsidTr="00130C5E">
        <w:trPr>
          <w:trHeight w:val="1405"/>
        </w:trPr>
        <w:tc>
          <w:tcPr>
            <w:tcW w:w="1121" w:type="dxa"/>
            <w:tcBorders>
              <w:top w:val="nil"/>
              <w:left w:val="single" w:sz="4" w:space="0" w:color="auto"/>
              <w:bottom w:val="single" w:sz="4" w:space="0" w:color="auto"/>
              <w:right w:val="single" w:sz="4" w:space="0" w:color="auto"/>
            </w:tcBorders>
            <w:shd w:val="clear" w:color="auto" w:fill="auto"/>
            <w:noWrap/>
            <w:hideMark/>
          </w:tcPr>
          <w:p w14:paraId="2605B72F" w14:textId="77777777" w:rsidR="00130C5E" w:rsidRPr="000F16C2" w:rsidRDefault="004721D5" w:rsidP="00C93AD7">
            <w:pPr>
              <w:jc w:val="right"/>
              <w:rPr>
                <w:rFonts w:ascii="Times New Roman" w:eastAsia="Times New Roman" w:hAnsi="Times New Roman" w:cs="Times New Roman"/>
              </w:rPr>
            </w:pPr>
            <w:hyperlink r:id="rId42" w:history="1">
              <w:r w:rsidR="00130C5E" w:rsidRPr="000F16C2">
                <w:rPr>
                  <w:rFonts w:ascii="Times New Roman" w:eastAsia="Times New Roman" w:hAnsi="Times New Roman" w:cs="Times New Roman"/>
                </w:rPr>
                <w:t>2.13</w:t>
              </w:r>
            </w:hyperlink>
          </w:p>
        </w:tc>
        <w:tc>
          <w:tcPr>
            <w:tcW w:w="6526" w:type="dxa"/>
            <w:tcBorders>
              <w:top w:val="nil"/>
              <w:left w:val="nil"/>
              <w:bottom w:val="single" w:sz="4" w:space="0" w:color="auto"/>
              <w:right w:val="single" w:sz="4" w:space="0" w:color="auto"/>
            </w:tcBorders>
            <w:shd w:val="clear" w:color="auto" w:fill="auto"/>
            <w:hideMark/>
          </w:tcPr>
          <w:p w14:paraId="44515DF7"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 xml:space="preserve">Biennial survey of perceived consumer choice relative to experiences before the </w:t>
            </w:r>
            <w:proofErr w:type="spellStart"/>
            <w:r w:rsidRPr="000F16C2">
              <w:rPr>
                <w:rFonts w:ascii="Times New Roman" w:eastAsia="Times New Roman" w:hAnsi="Times New Roman" w:cs="Times New Roman"/>
              </w:rPr>
              <w:t>gTLD</w:t>
            </w:r>
            <w:proofErr w:type="spellEnd"/>
            <w:r w:rsidRPr="000F16C2">
              <w:rPr>
                <w:rFonts w:ascii="Times New Roman" w:eastAsia="Times New Roman" w:hAnsi="Times New Roman" w:cs="Times New Roman"/>
              </w:rPr>
              <w:t xml:space="preserve"> expansion. Survey should assess public awareness of new </w:t>
            </w:r>
            <w:proofErr w:type="spellStart"/>
            <w:r w:rsidRPr="000F16C2">
              <w:rPr>
                <w:rFonts w:ascii="Times New Roman" w:eastAsia="Times New Roman" w:hAnsi="Times New Roman" w:cs="Times New Roman"/>
              </w:rPr>
              <w:t>gTLDs</w:t>
            </w:r>
            <w:proofErr w:type="spellEnd"/>
            <w:r w:rsidRPr="000F16C2">
              <w:rPr>
                <w:rFonts w:ascii="Times New Roman" w:eastAsia="Times New Roman" w:hAnsi="Times New Roman" w:cs="Times New Roman"/>
              </w:rPr>
              <w:t xml:space="preserve">.  Survey should also measure costs of defensive or duplicate registrations. Survey should assess motivations, intent, and satisfaction with new </w:t>
            </w:r>
            <w:proofErr w:type="spellStart"/>
            <w:r w:rsidRPr="000F16C2">
              <w:rPr>
                <w:rFonts w:ascii="Times New Roman" w:eastAsia="Times New Roman" w:hAnsi="Times New Roman" w:cs="Times New Roman"/>
              </w:rPr>
              <w:t>gTLDs</w:t>
            </w:r>
            <w:proofErr w:type="spellEnd"/>
            <w:r w:rsidRPr="000F16C2">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008EA90C"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Choice</w:t>
            </w:r>
          </w:p>
        </w:tc>
      </w:tr>
      <w:tr w:rsidR="00130C5E" w:rsidRPr="00AC6630" w14:paraId="1888951E"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6ED0C5E6" w14:textId="77777777" w:rsidR="00130C5E" w:rsidRPr="004803A8" w:rsidRDefault="004721D5" w:rsidP="00C93AD7">
            <w:pPr>
              <w:jc w:val="right"/>
              <w:rPr>
                <w:rFonts w:ascii="Times New Roman" w:eastAsia="Times New Roman" w:hAnsi="Times New Roman" w:cs="Times New Roman"/>
              </w:rPr>
            </w:pPr>
            <w:hyperlink r:id="rId43" w:history="1">
              <w:r w:rsidR="00130C5E" w:rsidRPr="004803A8">
                <w:rPr>
                  <w:rFonts w:ascii="Times New Roman" w:eastAsia="Times New Roman" w:hAnsi="Times New Roman" w:cs="Times New Roman"/>
                </w:rPr>
                <w:t>2.14</w:t>
              </w:r>
            </w:hyperlink>
          </w:p>
        </w:tc>
        <w:tc>
          <w:tcPr>
            <w:tcW w:w="6526" w:type="dxa"/>
            <w:tcBorders>
              <w:top w:val="nil"/>
              <w:left w:val="nil"/>
              <w:bottom w:val="single" w:sz="4" w:space="0" w:color="auto"/>
              <w:right w:val="single" w:sz="4" w:space="0" w:color="auto"/>
            </w:tcBorders>
            <w:shd w:val="clear" w:color="auto" w:fill="auto"/>
            <w:hideMark/>
          </w:tcPr>
          <w:p w14:paraId="5A44EEAE"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DNS traffic in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should be compared to contemporary user traffic in legacy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DNS traffic is an indicator of trust, choice, and competition. If comprehensive traffic data is not available, sampling should be used. </w:t>
            </w:r>
          </w:p>
        </w:tc>
        <w:tc>
          <w:tcPr>
            <w:tcW w:w="1594" w:type="dxa"/>
            <w:tcBorders>
              <w:top w:val="nil"/>
              <w:left w:val="nil"/>
              <w:bottom w:val="single" w:sz="4" w:space="0" w:color="auto"/>
              <w:right w:val="single" w:sz="4" w:space="0" w:color="auto"/>
            </w:tcBorders>
          </w:tcPr>
          <w:p w14:paraId="2185793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Choice</w:t>
            </w:r>
          </w:p>
        </w:tc>
      </w:tr>
      <w:tr w:rsidR="00130C5E" w:rsidRPr="00AC6630" w14:paraId="30A99059"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4ACD5AB8" w14:textId="77777777" w:rsidR="00130C5E" w:rsidRPr="004803A8" w:rsidRDefault="004721D5" w:rsidP="00C93AD7">
            <w:pPr>
              <w:jc w:val="right"/>
              <w:rPr>
                <w:rFonts w:ascii="Times New Roman" w:eastAsia="Times New Roman" w:hAnsi="Times New Roman" w:cs="Times New Roman"/>
              </w:rPr>
            </w:pPr>
            <w:hyperlink r:id="rId44" w:history="1">
              <w:r w:rsidR="00130C5E" w:rsidRPr="004803A8">
                <w:rPr>
                  <w:rFonts w:ascii="Times New Roman" w:eastAsia="Times New Roman" w:hAnsi="Times New Roman" w:cs="Times New Roman"/>
                </w:rPr>
                <w:t>3.1</w:t>
              </w:r>
            </w:hyperlink>
          </w:p>
        </w:tc>
        <w:tc>
          <w:tcPr>
            <w:tcW w:w="6526" w:type="dxa"/>
            <w:tcBorders>
              <w:top w:val="nil"/>
              <w:left w:val="nil"/>
              <w:bottom w:val="single" w:sz="4" w:space="0" w:color="auto"/>
              <w:right w:val="single" w:sz="4" w:space="0" w:color="auto"/>
            </w:tcBorders>
            <w:shd w:val="clear" w:color="auto" w:fill="auto"/>
            <w:hideMark/>
          </w:tcPr>
          <w:p w14:paraId="431E0EDF"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of total TLDs before and after expansion.</w:t>
            </w:r>
          </w:p>
        </w:tc>
        <w:tc>
          <w:tcPr>
            <w:tcW w:w="1594" w:type="dxa"/>
            <w:tcBorders>
              <w:top w:val="nil"/>
              <w:left w:val="nil"/>
              <w:bottom w:val="single" w:sz="4" w:space="0" w:color="auto"/>
              <w:right w:val="single" w:sz="4" w:space="0" w:color="auto"/>
            </w:tcBorders>
          </w:tcPr>
          <w:p w14:paraId="732D6C8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2C2136E5"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74137262" w14:textId="77777777" w:rsidR="00130C5E" w:rsidRPr="004803A8" w:rsidRDefault="004721D5" w:rsidP="00C93AD7">
            <w:pPr>
              <w:jc w:val="right"/>
              <w:rPr>
                <w:rFonts w:ascii="Times New Roman" w:eastAsia="Times New Roman" w:hAnsi="Times New Roman" w:cs="Times New Roman"/>
              </w:rPr>
            </w:pPr>
            <w:hyperlink r:id="rId45" w:history="1">
              <w:r w:rsidR="00130C5E" w:rsidRPr="004803A8">
                <w:rPr>
                  <w:rFonts w:ascii="Times New Roman" w:eastAsia="Times New Roman" w:hAnsi="Times New Roman" w:cs="Times New Roman"/>
                </w:rPr>
                <w:t>3.2</w:t>
              </w:r>
            </w:hyperlink>
          </w:p>
        </w:tc>
        <w:tc>
          <w:tcPr>
            <w:tcW w:w="6526" w:type="dxa"/>
            <w:tcBorders>
              <w:top w:val="nil"/>
              <w:left w:val="nil"/>
              <w:bottom w:val="single" w:sz="4" w:space="0" w:color="auto"/>
              <w:right w:val="single" w:sz="4" w:space="0" w:color="auto"/>
            </w:tcBorders>
            <w:shd w:val="clear" w:color="auto" w:fill="auto"/>
            <w:hideMark/>
          </w:tcPr>
          <w:p w14:paraId="29180174"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of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before and after expansion.</w:t>
            </w:r>
          </w:p>
        </w:tc>
        <w:tc>
          <w:tcPr>
            <w:tcW w:w="1594" w:type="dxa"/>
            <w:tcBorders>
              <w:top w:val="nil"/>
              <w:left w:val="nil"/>
              <w:bottom w:val="single" w:sz="4" w:space="0" w:color="auto"/>
              <w:right w:val="single" w:sz="4" w:space="0" w:color="auto"/>
            </w:tcBorders>
          </w:tcPr>
          <w:p w14:paraId="18FC8FB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239F810E"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1143AE82" w14:textId="77777777" w:rsidR="00130C5E" w:rsidRPr="004803A8" w:rsidRDefault="004721D5" w:rsidP="00C93AD7">
            <w:pPr>
              <w:jc w:val="right"/>
              <w:rPr>
                <w:rFonts w:ascii="Times New Roman" w:eastAsia="Times New Roman" w:hAnsi="Times New Roman" w:cs="Times New Roman"/>
              </w:rPr>
            </w:pPr>
            <w:hyperlink r:id="rId46" w:history="1">
              <w:r w:rsidR="00130C5E" w:rsidRPr="004803A8">
                <w:rPr>
                  <w:rFonts w:ascii="Times New Roman" w:eastAsia="Times New Roman" w:hAnsi="Times New Roman" w:cs="Times New Roman"/>
                </w:rPr>
                <w:t>3.3</w:t>
              </w:r>
            </w:hyperlink>
          </w:p>
        </w:tc>
        <w:tc>
          <w:tcPr>
            <w:tcW w:w="6526" w:type="dxa"/>
            <w:tcBorders>
              <w:top w:val="nil"/>
              <w:left w:val="nil"/>
              <w:bottom w:val="single" w:sz="4" w:space="0" w:color="auto"/>
              <w:right w:val="single" w:sz="4" w:space="0" w:color="auto"/>
            </w:tcBorders>
            <w:shd w:val="clear" w:color="auto" w:fill="auto"/>
            <w:hideMark/>
          </w:tcPr>
          <w:p w14:paraId="6C8A775B"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of unique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Registry Operators before and after expansion.</w:t>
            </w:r>
          </w:p>
        </w:tc>
        <w:tc>
          <w:tcPr>
            <w:tcW w:w="1594" w:type="dxa"/>
            <w:tcBorders>
              <w:top w:val="nil"/>
              <w:left w:val="nil"/>
              <w:bottom w:val="single" w:sz="4" w:space="0" w:color="auto"/>
              <w:right w:val="single" w:sz="4" w:space="0" w:color="auto"/>
            </w:tcBorders>
          </w:tcPr>
          <w:p w14:paraId="1711DEDD"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367CDBA7"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3926B57A" w14:textId="77777777" w:rsidR="00130C5E" w:rsidRPr="004803A8" w:rsidRDefault="004721D5" w:rsidP="00C93AD7">
            <w:pPr>
              <w:jc w:val="right"/>
              <w:rPr>
                <w:rFonts w:ascii="Times New Roman" w:eastAsia="Times New Roman" w:hAnsi="Times New Roman" w:cs="Times New Roman"/>
              </w:rPr>
            </w:pPr>
            <w:hyperlink r:id="rId47" w:history="1">
              <w:r w:rsidR="00130C5E" w:rsidRPr="004803A8">
                <w:rPr>
                  <w:rFonts w:ascii="Times New Roman" w:eastAsia="Times New Roman" w:hAnsi="Times New Roman" w:cs="Times New Roman"/>
                </w:rPr>
                <w:t>3.4</w:t>
              </w:r>
            </w:hyperlink>
          </w:p>
        </w:tc>
        <w:tc>
          <w:tcPr>
            <w:tcW w:w="6526" w:type="dxa"/>
            <w:tcBorders>
              <w:top w:val="nil"/>
              <w:left w:val="nil"/>
              <w:bottom w:val="single" w:sz="4" w:space="0" w:color="auto"/>
              <w:right w:val="single" w:sz="4" w:space="0" w:color="auto"/>
            </w:tcBorders>
            <w:shd w:val="clear" w:color="auto" w:fill="auto"/>
            <w:hideMark/>
          </w:tcPr>
          <w:p w14:paraId="1D0CD66D"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of unique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Registry Service Providers before and after expansion.</w:t>
            </w:r>
          </w:p>
        </w:tc>
        <w:tc>
          <w:tcPr>
            <w:tcW w:w="1594" w:type="dxa"/>
            <w:tcBorders>
              <w:top w:val="nil"/>
              <w:left w:val="nil"/>
              <w:bottom w:val="single" w:sz="4" w:space="0" w:color="auto"/>
              <w:right w:val="single" w:sz="4" w:space="0" w:color="auto"/>
            </w:tcBorders>
          </w:tcPr>
          <w:p w14:paraId="108AC38E"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6F2ECCEF"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6F0370EE" w14:textId="77777777" w:rsidR="00130C5E" w:rsidRPr="004803A8" w:rsidRDefault="004721D5" w:rsidP="00C93AD7">
            <w:pPr>
              <w:jc w:val="right"/>
              <w:rPr>
                <w:rFonts w:ascii="Times New Roman" w:eastAsia="Times New Roman" w:hAnsi="Times New Roman" w:cs="Times New Roman"/>
              </w:rPr>
            </w:pPr>
            <w:hyperlink r:id="rId48" w:history="1">
              <w:r w:rsidR="00130C5E" w:rsidRPr="004803A8">
                <w:rPr>
                  <w:rFonts w:ascii="Times New Roman" w:eastAsia="Times New Roman" w:hAnsi="Times New Roman" w:cs="Times New Roman"/>
                </w:rPr>
                <w:t>3.5</w:t>
              </w:r>
            </w:hyperlink>
          </w:p>
        </w:tc>
        <w:tc>
          <w:tcPr>
            <w:tcW w:w="6526" w:type="dxa"/>
            <w:tcBorders>
              <w:top w:val="nil"/>
              <w:left w:val="nil"/>
              <w:bottom w:val="single" w:sz="4" w:space="0" w:color="auto"/>
              <w:right w:val="single" w:sz="4" w:space="0" w:color="auto"/>
            </w:tcBorders>
            <w:shd w:val="clear" w:color="auto" w:fill="auto"/>
            <w:hideMark/>
          </w:tcPr>
          <w:p w14:paraId="72103D70"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Quantity of Registrar</w:t>
            </w:r>
            <w:r>
              <w:rPr>
                <w:rFonts w:ascii="Times New Roman" w:eastAsia="Times New Roman" w:hAnsi="Times New Roman" w:cs="Times New Roman"/>
              </w:rPr>
              <w:t>s</w:t>
            </w:r>
            <w:r w:rsidRPr="004803A8">
              <w:rPr>
                <w:rFonts w:ascii="Times New Roman" w:eastAsia="Times New Roman" w:hAnsi="Times New Roman" w:cs="Times New Roman"/>
              </w:rPr>
              <w:t xml:space="preserve"> before and after expansion, along with indication of country where Registrar is based.  This measure should count only registrars distributing Open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w:t>
            </w:r>
          </w:p>
        </w:tc>
        <w:tc>
          <w:tcPr>
            <w:tcW w:w="1594" w:type="dxa"/>
            <w:tcBorders>
              <w:top w:val="nil"/>
              <w:left w:val="nil"/>
              <w:bottom w:val="single" w:sz="4" w:space="0" w:color="auto"/>
              <w:right w:val="single" w:sz="4" w:space="0" w:color="auto"/>
            </w:tcBorders>
          </w:tcPr>
          <w:p w14:paraId="7411EFF0"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6A67FAD9" w14:textId="77777777" w:rsidTr="00130C5E">
        <w:trPr>
          <w:trHeight w:val="1405"/>
        </w:trPr>
        <w:tc>
          <w:tcPr>
            <w:tcW w:w="1121" w:type="dxa"/>
            <w:tcBorders>
              <w:top w:val="nil"/>
              <w:left w:val="single" w:sz="4" w:space="0" w:color="auto"/>
              <w:bottom w:val="single" w:sz="4" w:space="0" w:color="auto"/>
              <w:right w:val="single" w:sz="4" w:space="0" w:color="auto"/>
            </w:tcBorders>
            <w:shd w:val="clear" w:color="auto" w:fill="auto"/>
            <w:noWrap/>
            <w:hideMark/>
          </w:tcPr>
          <w:p w14:paraId="7178EBAD" w14:textId="77777777" w:rsidR="00130C5E" w:rsidRPr="004803A8" w:rsidRDefault="004721D5" w:rsidP="00C93AD7">
            <w:pPr>
              <w:jc w:val="right"/>
              <w:rPr>
                <w:rFonts w:ascii="Times New Roman" w:eastAsia="Times New Roman" w:hAnsi="Times New Roman" w:cs="Times New Roman"/>
              </w:rPr>
            </w:pPr>
            <w:hyperlink r:id="rId49" w:history="1">
              <w:r w:rsidR="00130C5E" w:rsidRPr="004803A8">
                <w:rPr>
                  <w:rFonts w:ascii="Times New Roman" w:eastAsia="Times New Roman" w:hAnsi="Times New Roman" w:cs="Times New Roman"/>
                </w:rPr>
                <w:t>3.6</w:t>
              </w:r>
            </w:hyperlink>
          </w:p>
        </w:tc>
        <w:tc>
          <w:tcPr>
            <w:tcW w:w="6526" w:type="dxa"/>
            <w:tcBorders>
              <w:top w:val="nil"/>
              <w:left w:val="nil"/>
              <w:bottom w:val="single" w:sz="4" w:space="0" w:color="auto"/>
              <w:right w:val="single" w:sz="4" w:space="0" w:color="auto"/>
            </w:tcBorders>
            <w:shd w:val="clear" w:color="auto" w:fill="auto"/>
            <w:hideMark/>
          </w:tcPr>
          <w:p w14:paraId="46F6399E"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Relative share of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registrations held by “new entrants”.  For purposes of this measure, “new entrants” are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run by Registry Operators that did not operate a legacy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A "new entrant" is one whose ownership is not among owners of legacy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registries.  </w:t>
            </w:r>
          </w:p>
        </w:tc>
        <w:tc>
          <w:tcPr>
            <w:tcW w:w="1594" w:type="dxa"/>
            <w:tcBorders>
              <w:top w:val="nil"/>
              <w:left w:val="nil"/>
              <w:bottom w:val="single" w:sz="4" w:space="0" w:color="auto"/>
              <w:right w:val="single" w:sz="4" w:space="0" w:color="auto"/>
            </w:tcBorders>
          </w:tcPr>
          <w:p w14:paraId="6F0D404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18E1A26E" w14:textId="77777777" w:rsidTr="00130C5E">
        <w:trPr>
          <w:trHeight w:val="1405"/>
        </w:trPr>
        <w:tc>
          <w:tcPr>
            <w:tcW w:w="1121" w:type="dxa"/>
            <w:tcBorders>
              <w:top w:val="nil"/>
              <w:left w:val="single" w:sz="4" w:space="0" w:color="auto"/>
              <w:bottom w:val="single" w:sz="4" w:space="0" w:color="auto"/>
              <w:right w:val="single" w:sz="4" w:space="0" w:color="auto"/>
            </w:tcBorders>
            <w:shd w:val="clear" w:color="auto" w:fill="auto"/>
            <w:noWrap/>
            <w:hideMark/>
          </w:tcPr>
          <w:p w14:paraId="320F37DE" w14:textId="77777777" w:rsidR="00130C5E" w:rsidRPr="004803A8" w:rsidRDefault="004721D5" w:rsidP="00C93AD7">
            <w:pPr>
              <w:jc w:val="right"/>
              <w:rPr>
                <w:rFonts w:ascii="Times New Roman" w:eastAsia="Times New Roman" w:hAnsi="Times New Roman" w:cs="Times New Roman"/>
              </w:rPr>
            </w:pPr>
            <w:hyperlink r:id="rId50" w:history="1">
              <w:r w:rsidR="00130C5E" w:rsidRPr="004803A8">
                <w:rPr>
                  <w:rFonts w:ascii="Times New Roman" w:eastAsia="Times New Roman" w:hAnsi="Times New Roman" w:cs="Times New Roman"/>
                </w:rPr>
                <w:t>3.7</w:t>
              </w:r>
            </w:hyperlink>
          </w:p>
        </w:tc>
        <w:tc>
          <w:tcPr>
            <w:tcW w:w="6526" w:type="dxa"/>
            <w:tcBorders>
              <w:top w:val="nil"/>
              <w:left w:val="nil"/>
              <w:bottom w:val="single" w:sz="4" w:space="0" w:color="auto"/>
              <w:right w:val="single" w:sz="4" w:space="0" w:color="auto"/>
            </w:tcBorders>
            <w:shd w:val="clear" w:color="auto" w:fill="auto"/>
            <w:hideMark/>
          </w:tcPr>
          <w:p w14:paraId="0CDEFBBF"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To assess competitive impact of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measure the quantity of second level registrations per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and </w:t>
            </w:r>
            <w:proofErr w:type="spellStart"/>
            <w:r w:rsidRPr="004803A8">
              <w:rPr>
                <w:rFonts w:ascii="Times New Roman" w:eastAsia="Times New Roman" w:hAnsi="Times New Roman" w:cs="Times New Roman"/>
              </w:rPr>
              <w:t>ccTLD</w:t>
            </w:r>
            <w:proofErr w:type="spellEnd"/>
            <w:r w:rsidRPr="004803A8">
              <w:rPr>
                <w:rFonts w:ascii="Times New Roman" w:eastAsia="Times New Roman" w:hAnsi="Times New Roman" w:cs="Times New Roman"/>
              </w:rPr>
              <w:t xml:space="preserve"> on a weekly or other interval. TLD attributes should be noted with the data (i.e. open TLDs, closed keyword TLDs, registration, country of operations, single registrant, etc.).  </w:t>
            </w:r>
          </w:p>
        </w:tc>
        <w:tc>
          <w:tcPr>
            <w:tcW w:w="1594" w:type="dxa"/>
            <w:tcBorders>
              <w:top w:val="nil"/>
              <w:left w:val="nil"/>
              <w:bottom w:val="single" w:sz="4" w:space="0" w:color="auto"/>
              <w:right w:val="single" w:sz="4" w:space="0" w:color="auto"/>
            </w:tcBorders>
          </w:tcPr>
          <w:p w14:paraId="616C756C"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2D151822" w14:textId="77777777" w:rsidTr="00130C5E">
        <w:trPr>
          <w:trHeight w:val="1405"/>
        </w:trPr>
        <w:tc>
          <w:tcPr>
            <w:tcW w:w="1121" w:type="dxa"/>
            <w:tcBorders>
              <w:top w:val="nil"/>
              <w:left w:val="single" w:sz="4" w:space="0" w:color="auto"/>
              <w:bottom w:val="single" w:sz="4" w:space="0" w:color="auto"/>
              <w:right w:val="single" w:sz="4" w:space="0" w:color="auto"/>
            </w:tcBorders>
            <w:shd w:val="clear" w:color="auto" w:fill="auto"/>
            <w:noWrap/>
            <w:hideMark/>
          </w:tcPr>
          <w:p w14:paraId="2321028C" w14:textId="77777777" w:rsidR="00130C5E" w:rsidRPr="004803A8" w:rsidRDefault="004721D5" w:rsidP="00C93AD7">
            <w:pPr>
              <w:jc w:val="right"/>
              <w:rPr>
                <w:rFonts w:ascii="Times New Roman" w:eastAsia="Times New Roman" w:hAnsi="Times New Roman" w:cs="Times New Roman"/>
              </w:rPr>
            </w:pPr>
            <w:hyperlink r:id="rId51" w:history="1">
              <w:r w:rsidR="00130C5E" w:rsidRPr="004803A8">
                <w:rPr>
                  <w:rFonts w:ascii="Times New Roman" w:eastAsia="Times New Roman" w:hAnsi="Times New Roman" w:cs="Times New Roman"/>
                </w:rPr>
                <w:t>3.8</w:t>
              </w:r>
            </w:hyperlink>
          </w:p>
        </w:tc>
        <w:tc>
          <w:tcPr>
            <w:tcW w:w="6526" w:type="dxa"/>
            <w:tcBorders>
              <w:top w:val="nil"/>
              <w:left w:val="nil"/>
              <w:bottom w:val="single" w:sz="4" w:space="0" w:color="auto"/>
              <w:right w:val="single" w:sz="4" w:space="0" w:color="auto"/>
            </w:tcBorders>
            <w:shd w:val="clear" w:color="auto" w:fill="auto"/>
            <w:hideMark/>
          </w:tcPr>
          <w:p w14:paraId="446B6B42"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Quantity of “unique” second level registrations in the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space where that same string does not appear as a registration in any other TLD on a weekly or other interval basis (data analyzed in conjunction with website traffic identified in Choice).  Open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only.</w:t>
            </w:r>
          </w:p>
        </w:tc>
        <w:tc>
          <w:tcPr>
            <w:tcW w:w="1594" w:type="dxa"/>
            <w:tcBorders>
              <w:top w:val="nil"/>
              <w:left w:val="nil"/>
              <w:bottom w:val="single" w:sz="4" w:space="0" w:color="auto"/>
              <w:right w:val="single" w:sz="4" w:space="0" w:color="auto"/>
            </w:tcBorders>
          </w:tcPr>
          <w:p w14:paraId="67FE97DE"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1BED5EBF"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1D4BAD31" w14:textId="77777777" w:rsidR="00130C5E" w:rsidRPr="004803A8" w:rsidRDefault="004721D5" w:rsidP="00C93AD7">
            <w:pPr>
              <w:jc w:val="right"/>
              <w:rPr>
                <w:rFonts w:ascii="Times New Roman" w:eastAsia="Times New Roman" w:hAnsi="Times New Roman" w:cs="Times New Roman"/>
              </w:rPr>
            </w:pPr>
            <w:hyperlink r:id="rId52" w:history="1">
              <w:r w:rsidR="00130C5E" w:rsidRPr="004803A8">
                <w:rPr>
                  <w:rFonts w:ascii="Times New Roman" w:eastAsia="Times New Roman" w:hAnsi="Times New Roman" w:cs="Times New Roman"/>
                </w:rPr>
                <w:t>3.9</w:t>
              </w:r>
            </w:hyperlink>
          </w:p>
        </w:tc>
        <w:tc>
          <w:tcPr>
            <w:tcW w:w="6526" w:type="dxa"/>
            <w:tcBorders>
              <w:top w:val="nil"/>
              <w:left w:val="nil"/>
              <w:bottom w:val="single" w:sz="4" w:space="0" w:color="auto"/>
              <w:right w:val="single" w:sz="4" w:space="0" w:color="auto"/>
            </w:tcBorders>
            <w:shd w:val="clear" w:color="auto" w:fill="auto"/>
            <w:hideMark/>
          </w:tcPr>
          <w:p w14:paraId="7B3FE64C"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Wholesale price of domains in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domains offered to the general public.   TLD attributes should be noted with the data (i.e. open TLDs, closed keyword TLDs, country of operations, single registrant, etc.).</w:t>
            </w:r>
          </w:p>
        </w:tc>
        <w:tc>
          <w:tcPr>
            <w:tcW w:w="1594" w:type="dxa"/>
            <w:tcBorders>
              <w:top w:val="nil"/>
              <w:left w:val="nil"/>
              <w:bottom w:val="single" w:sz="4" w:space="0" w:color="auto"/>
              <w:right w:val="single" w:sz="4" w:space="0" w:color="auto"/>
            </w:tcBorders>
          </w:tcPr>
          <w:p w14:paraId="5D72E5F9"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4D40FE97"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7C587E54" w14:textId="77777777" w:rsidR="00130C5E" w:rsidRPr="004803A8" w:rsidRDefault="004721D5" w:rsidP="00C93AD7">
            <w:pPr>
              <w:jc w:val="right"/>
              <w:rPr>
                <w:rFonts w:ascii="Times New Roman" w:eastAsia="Times New Roman" w:hAnsi="Times New Roman" w:cs="Times New Roman"/>
              </w:rPr>
            </w:pPr>
            <w:hyperlink r:id="rId53" w:history="1">
              <w:r w:rsidR="00130C5E" w:rsidRPr="004803A8">
                <w:rPr>
                  <w:rFonts w:ascii="Times New Roman" w:eastAsia="Times New Roman" w:hAnsi="Times New Roman" w:cs="Times New Roman"/>
                </w:rPr>
                <w:t>3.10</w:t>
              </w:r>
            </w:hyperlink>
          </w:p>
        </w:tc>
        <w:tc>
          <w:tcPr>
            <w:tcW w:w="6526" w:type="dxa"/>
            <w:tcBorders>
              <w:top w:val="nil"/>
              <w:left w:val="nil"/>
              <w:bottom w:val="single" w:sz="4" w:space="0" w:color="auto"/>
              <w:right w:val="single" w:sz="4" w:space="0" w:color="auto"/>
            </w:tcBorders>
            <w:shd w:val="clear" w:color="auto" w:fill="auto"/>
            <w:hideMark/>
          </w:tcPr>
          <w:p w14:paraId="69F35E84"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Retail price of domains in new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domains offered to the general public.   TLD attributes should be noted with the data (i.e. open TLDs, closed keyword TLDs, country of operations, single registrant, etc.).</w:t>
            </w:r>
          </w:p>
        </w:tc>
        <w:tc>
          <w:tcPr>
            <w:tcW w:w="1594" w:type="dxa"/>
            <w:tcBorders>
              <w:top w:val="nil"/>
              <w:left w:val="nil"/>
              <w:bottom w:val="single" w:sz="4" w:space="0" w:color="auto"/>
              <w:right w:val="single" w:sz="4" w:space="0" w:color="auto"/>
            </w:tcBorders>
          </w:tcPr>
          <w:p w14:paraId="387DCD7D"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5DDCDCD4"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5173B9F3" w14:textId="77777777" w:rsidR="00130C5E" w:rsidRPr="004803A8" w:rsidRDefault="004721D5" w:rsidP="00C93AD7">
            <w:pPr>
              <w:jc w:val="right"/>
              <w:rPr>
                <w:rFonts w:ascii="Times New Roman" w:eastAsia="Times New Roman" w:hAnsi="Times New Roman" w:cs="Times New Roman"/>
              </w:rPr>
            </w:pPr>
            <w:hyperlink r:id="rId54" w:history="1">
              <w:r w:rsidR="00130C5E" w:rsidRPr="004803A8">
                <w:rPr>
                  <w:rFonts w:ascii="Times New Roman" w:eastAsia="Times New Roman" w:hAnsi="Times New Roman" w:cs="Times New Roman"/>
                </w:rPr>
                <w:t>3.11</w:t>
              </w:r>
            </w:hyperlink>
          </w:p>
        </w:tc>
        <w:tc>
          <w:tcPr>
            <w:tcW w:w="6526" w:type="dxa"/>
            <w:tcBorders>
              <w:top w:val="nil"/>
              <w:left w:val="nil"/>
              <w:bottom w:val="single" w:sz="4" w:space="0" w:color="auto"/>
              <w:right w:val="single" w:sz="4" w:space="0" w:color="auto"/>
            </w:tcBorders>
            <w:shd w:val="clear" w:color="auto" w:fill="auto"/>
            <w:hideMark/>
          </w:tcPr>
          <w:p w14:paraId="5FB189F9"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Qualitative assessment of non-price indicia of competition through innovations that benefit registrants and users, particularly for new markets served.</w:t>
            </w:r>
          </w:p>
        </w:tc>
        <w:tc>
          <w:tcPr>
            <w:tcW w:w="1594" w:type="dxa"/>
            <w:tcBorders>
              <w:top w:val="nil"/>
              <w:left w:val="nil"/>
              <w:bottom w:val="single" w:sz="4" w:space="0" w:color="auto"/>
              <w:right w:val="single" w:sz="4" w:space="0" w:color="auto"/>
            </w:tcBorders>
          </w:tcPr>
          <w:p w14:paraId="39070879"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Competition</w:t>
            </w:r>
          </w:p>
        </w:tc>
      </w:tr>
      <w:tr w:rsidR="00130C5E" w:rsidRPr="00AC6630" w14:paraId="38631F01"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7D1086CE" w14:textId="77777777" w:rsidR="00130C5E" w:rsidRPr="004803A8" w:rsidRDefault="004721D5" w:rsidP="00C93AD7">
            <w:pPr>
              <w:jc w:val="right"/>
              <w:rPr>
                <w:rFonts w:ascii="Times New Roman" w:eastAsia="Times New Roman" w:hAnsi="Times New Roman" w:cs="Times New Roman"/>
              </w:rPr>
            </w:pPr>
            <w:hyperlink r:id="rId55" w:history="1">
              <w:r w:rsidR="00130C5E" w:rsidRPr="004803A8">
                <w:rPr>
                  <w:rFonts w:ascii="Times New Roman" w:eastAsia="Times New Roman" w:hAnsi="Times New Roman" w:cs="Times New Roman"/>
                </w:rPr>
                <w:t>4.1</w:t>
              </w:r>
            </w:hyperlink>
          </w:p>
        </w:tc>
        <w:tc>
          <w:tcPr>
            <w:tcW w:w="6526" w:type="dxa"/>
            <w:tcBorders>
              <w:top w:val="nil"/>
              <w:left w:val="nil"/>
              <w:bottom w:val="single" w:sz="4" w:space="0" w:color="auto"/>
              <w:right w:val="single" w:sz="4" w:space="0" w:color="auto"/>
            </w:tcBorders>
            <w:shd w:val="clear" w:color="auto" w:fill="auto"/>
            <w:hideMark/>
          </w:tcPr>
          <w:p w14:paraId="7E108C3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Frequency of success in reaching the intended information supplier through direct entry of domain names</w:t>
            </w:r>
          </w:p>
        </w:tc>
        <w:tc>
          <w:tcPr>
            <w:tcW w:w="1594" w:type="dxa"/>
            <w:tcBorders>
              <w:top w:val="nil"/>
              <w:left w:val="nil"/>
              <w:bottom w:val="single" w:sz="4" w:space="0" w:color="auto"/>
              <w:right w:val="single" w:sz="4" w:space="0" w:color="auto"/>
            </w:tcBorders>
          </w:tcPr>
          <w:p w14:paraId="5BDFEBBA"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68F783E4"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4DA93A6F" w14:textId="77777777" w:rsidR="00130C5E" w:rsidRPr="004803A8" w:rsidRDefault="004721D5" w:rsidP="00C93AD7">
            <w:pPr>
              <w:jc w:val="right"/>
              <w:rPr>
                <w:rFonts w:ascii="Times New Roman" w:eastAsia="Times New Roman" w:hAnsi="Times New Roman" w:cs="Times New Roman"/>
              </w:rPr>
            </w:pPr>
            <w:hyperlink r:id="rId56" w:history="1">
              <w:r w:rsidR="00130C5E" w:rsidRPr="004803A8">
                <w:rPr>
                  <w:rFonts w:ascii="Times New Roman" w:eastAsia="Times New Roman" w:hAnsi="Times New Roman" w:cs="Times New Roman"/>
                </w:rPr>
                <w:t>4.2</w:t>
              </w:r>
            </w:hyperlink>
          </w:p>
        </w:tc>
        <w:tc>
          <w:tcPr>
            <w:tcW w:w="6526" w:type="dxa"/>
            <w:tcBorders>
              <w:top w:val="nil"/>
              <w:left w:val="nil"/>
              <w:bottom w:val="single" w:sz="4" w:space="0" w:color="auto"/>
              <w:right w:val="single" w:sz="4" w:space="0" w:color="auto"/>
            </w:tcBorders>
            <w:shd w:val="clear" w:color="auto" w:fill="auto"/>
            <w:hideMark/>
          </w:tcPr>
          <w:p w14:paraId="7033A2B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Frequency of landing at unintended destinations</w:t>
            </w:r>
          </w:p>
        </w:tc>
        <w:tc>
          <w:tcPr>
            <w:tcW w:w="1594" w:type="dxa"/>
            <w:tcBorders>
              <w:top w:val="nil"/>
              <w:left w:val="nil"/>
              <w:bottom w:val="single" w:sz="4" w:space="0" w:color="auto"/>
              <w:right w:val="single" w:sz="4" w:space="0" w:color="auto"/>
            </w:tcBorders>
          </w:tcPr>
          <w:p w14:paraId="07F54F80"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1468948B"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7A8BA9FA" w14:textId="77777777" w:rsidR="00130C5E" w:rsidRPr="004803A8" w:rsidRDefault="004721D5" w:rsidP="00C93AD7">
            <w:pPr>
              <w:jc w:val="right"/>
              <w:rPr>
                <w:rFonts w:ascii="Times New Roman" w:eastAsia="Times New Roman" w:hAnsi="Times New Roman" w:cs="Times New Roman"/>
              </w:rPr>
            </w:pPr>
            <w:hyperlink r:id="rId57" w:history="1">
              <w:r w:rsidR="00130C5E" w:rsidRPr="004803A8">
                <w:rPr>
                  <w:rFonts w:ascii="Times New Roman" w:eastAsia="Times New Roman" w:hAnsi="Times New Roman" w:cs="Times New Roman"/>
                </w:rPr>
                <w:t>4.3</w:t>
              </w:r>
            </w:hyperlink>
          </w:p>
        </w:tc>
        <w:tc>
          <w:tcPr>
            <w:tcW w:w="6526" w:type="dxa"/>
            <w:tcBorders>
              <w:top w:val="nil"/>
              <w:left w:val="nil"/>
              <w:bottom w:val="single" w:sz="4" w:space="0" w:color="auto"/>
              <w:right w:val="single" w:sz="4" w:space="0" w:color="auto"/>
            </w:tcBorders>
            <w:shd w:val="clear" w:color="auto" w:fill="auto"/>
            <w:hideMark/>
          </w:tcPr>
          <w:p w14:paraId="5B04C817"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Frequency of redundant or defensive domains (i</w:t>
            </w:r>
            <w:r>
              <w:rPr>
                <w:rFonts w:ascii="Times New Roman" w:eastAsia="Times New Roman" w:hAnsi="Times New Roman" w:cs="Times New Roman"/>
              </w:rPr>
              <w:t>.</w:t>
            </w:r>
            <w:r w:rsidRPr="004803A8">
              <w:rPr>
                <w:rFonts w:ascii="Times New Roman" w:eastAsia="Times New Roman" w:hAnsi="Times New Roman" w:cs="Times New Roman"/>
              </w:rPr>
              <w:t>e</w:t>
            </w:r>
            <w:r>
              <w:rPr>
                <w:rFonts w:ascii="Times New Roman" w:eastAsia="Times New Roman" w:hAnsi="Times New Roman" w:cs="Times New Roman"/>
              </w:rPr>
              <w:t>.</w:t>
            </w:r>
            <w:r w:rsidRPr="004803A8">
              <w:rPr>
                <w:rFonts w:ascii="Times New Roman" w:eastAsia="Times New Roman" w:hAnsi="Times New Roman" w:cs="Times New Roman"/>
              </w:rPr>
              <w:t>, multiple domains pointing to the same destination)</w:t>
            </w:r>
          </w:p>
        </w:tc>
        <w:tc>
          <w:tcPr>
            <w:tcW w:w="1594" w:type="dxa"/>
            <w:tcBorders>
              <w:top w:val="nil"/>
              <w:left w:val="nil"/>
              <w:bottom w:val="single" w:sz="4" w:space="0" w:color="auto"/>
              <w:right w:val="single" w:sz="4" w:space="0" w:color="auto"/>
            </w:tcBorders>
          </w:tcPr>
          <w:p w14:paraId="617D0653"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7E05FEA6"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0B174BAD" w14:textId="77777777" w:rsidR="00130C5E" w:rsidRPr="004803A8" w:rsidRDefault="004721D5" w:rsidP="00C93AD7">
            <w:pPr>
              <w:jc w:val="right"/>
              <w:rPr>
                <w:rFonts w:ascii="Times New Roman" w:eastAsia="Times New Roman" w:hAnsi="Times New Roman" w:cs="Times New Roman"/>
              </w:rPr>
            </w:pPr>
            <w:hyperlink r:id="rId58" w:history="1">
              <w:r w:rsidR="00130C5E" w:rsidRPr="004803A8">
                <w:rPr>
                  <w:rFonts w:ascii="Times New Roman" w:eastAsia="Times New Roman" w:hAnsi="Times New Roman" w:cs="Times New Roman"/>
                </w:rPr>
                <w:t>4.4</w:t>
              </w:r>
            </w:hyperlink>
          </w:p>
        </w:tc>
        <w:tc>
          <w:tcPr>
            <w:tcW w:w="6526" w:type="dxa"/>
            <w:tcBorders>
              <w:top w:val="nil"/>
              <w:left w:val="nil"/>
              <w:bottom w:val="single" w:sz="4" w:space="0" w:color="auto"/>
              <w:right w:val="single" w:sz="4" w:space="0" w:color="auto"/>
            </w:tcBorders>
            <w:shd w:val="clear" w:color="auto" w:fill="auto"/>
            <w:hideMark/>
          </w:tcPr>
          <w:p w14:paraId="17BEE1A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Frequency of dead-end domains (registered but do not resolve)</w:t>
            </w:r>
          </w:p>
        </w:tc>
        <w:tc>
          <w:tcPr>
            <w:tcW w:w="1594" w:type="dxa"/>
            <w:tcBorders>
              <w:top w:val="nil"/>
              <w:left w:val="nil"/>
              <w:bottom w:val="single" w:sz="4" w:space="0" w:color="auto"/>
              <w:right w:val="single" w:sz="4" w:space="0" w:color="auto"/>
            </w:tcBorders>
          </w:tcPr>
          <w:p w14:paraId="10E360D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12D2F62F"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47072682" w14:textId="77777777" w:rsidR="00130C5E" w:rsidRPr="004803A8" w:rsidRDefault="004721D5" w:rsidP="00C93AD7">
            <w:pPr>
              <w:jc w:val="right"/>
              <w:rPr>
                <w:rFonts w:ascii="Times New Roman" w:eastAsia="Times New Roman" w:hAnsi="Times New Roman" w:cs="Times New Roman"/>
              </w:rPr>
            </w:pPr>
            <w:hyperlink r:id="rId59" w:history="1">
              <w:r w:rsidR="00130C5E" w:rsidRPr="004803A8">
                <w:rPr>
                  <w:rFonts w:ascii="Times New Roman" w:eastAsia="Times New Roman" w:hAnsi="Times New Roman" w:cs="Times New Roman"/>
                </w:rPr>
                <w:t>4.5</w:t>
              </w:r>
            </w:hyperlink>
          </w:p>
        </w:tc>
        <w:tc>
          <w:tcPr>
            <w:tcW w:w="6526" w:type="dxa"/>
            <w:tcBorders>
              <w:top w:val="nil"/>
              <w:left w:val="nil"/>
              <w:bottom w:val="single" w:sz="4" w:space="0" w:color="auto"/>
              <w:right w:val="single" w:sz="4" w:space="0" w:color="auto"/>
            </w:tcBorders>
            <w:shd w:val="clear" w:color="auto" w:fill="auto"/>
            <w:hideMark/>
          </w:tcPr>
          <w:p w14:paraId="785D1AF8"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Numbers of complaints received by ICANN regarding improper use of domains</w:t>
            </w:r>
          </w:p>
        </w:tc>
        <w:tc>
          <w:tcPr>
            <w:tcW w:w="1594" w:type="dxa"/>
            <w:tcBorders>
              <w:top w:val="nil"/>
              <w:left w:val="nil"/>
              <w:bottom w:val="single" w:sz="4" w:space="0" w:color="auto"/>
              <w:right w:val="single" w:sz="4" w:space="0" w:color="auto"/>
            </w:tcBorders>
          </w:tcPr>
          <w:p w14:paraId="26E0A2D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7DBEE2F5"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23B1CC6" w14:textId="77777777" w:rsidR="00130C5E" w:rsidRPr="004803A8" w:rsidRDefault="004721D5" w:rsidP="00C93AD7">
            <w:pPr>
              <w:jc w:val="right"/>
              <w:rPr>
                <w:rFonts w:ascii="Times New Roman" w:eastAsia="Times New Roman" w:hAnsi="Times New Roman" w:cs="Times New Roman"/>
              </w:rPr>
            </w:pPr>
            <w:hyperlink r:id="rId60" w:history="1">
              <w:r w:rsidR="00130C5E" w:rsidRPr="004803A8">
                <w:rPr>
                  <w:rFonts w:ascii="Times New Roman" w:eastAsia="Times New Roman" w:hAnsi="Times New Roman" w:cs="Times New Roman"/>
                </w:rPr>
                <w:t>5.1</w:t>
              </w:r>
            </w:hyperlink>
          </w:p>
        </w:tc>
        <w:tc>
          <w:tcPr>
            <w:tcW w:w="6526" w:type="dxa"/>
            <w:tcBorders>
              <w:top w:val="nil"/>
              <w:left w:val="nil"/>
              <w:bottom w:val="single" w:sz="4" w:space="0" w:color="auto"/>
              <w:right w:val="single" w:sz="4" w:space="0" w:color="auto"/>
            </w:tcBorders>
            <w:shd w:val="clear" w:color="auto" w:fill="auto"/>
            <w:hideMark/>
          </w:tcPr>
          <w:p w14:paraId="70CBBE8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Relative preference of explicit use of domain names versus search engines for end-user general Internet use</w:t>
            </w:r>
          </w:p>
        </w:tc>
        <w:tc>
          <w:tcPr>
            <w:tcW w:w="1594" w:type="dxa"/>
            <w:tcBorders>
              <w:top w:val="nil"/>
              <w:left w:val="nil"/>
              <w:bottom w:val="single" w:sz="4" w:space="0" w:color="auto"/>
              <w:right w:val="single" w:sz="4" w:space="0" w:color="auto"/>
            </w:tcBorders>
          </w:tcPr>
          <w:p w14:paraId="53584E41"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1FD4E286"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1F15DEEC" w14:textId="77777777" w:rsidR="00130C5E" w:rsidRPr="004803A8" w:rsidRDefault="004721D5" w:rsidP="00C93AD7">
            <w:pPr>
              <w:jc w:val="right"/>
              <w:rPr>
                <w:rFonts w:ascii="Times New Roman" w:eastAsia="Times New Roman" w:hAnsi="Times New Roman" w:cs="Times New Roman"/>
              </w:rPr>
            </w:pPr>
            <w:hyperlink r:id="rId61" w:history="1">
              <w:r w:rsidR="00130C5E" w:rsidRPr="004803A8">
                <w:rPr>
                  <w:rFonts w:ascii="Times New Roman" w:eastAsia="Times New Roman" w:hAnsi="Times New Roman" w:cs="Times New Roman"/>
                </w:rPr>
                <w:t>5.2</w:t>
              </w:r>
            </w:hyperlink>
          </w:p>
        </w:tc>
        <w:tc>
          <w:tcPr>
            <w:tcW w:w="6526" w:type="dxa"/>
            <w:tcBorders>
              <w:top w:val="nil"/>
              <w:left w:val="nil"/>
              <w:bottom w:val="single" w:sz="4" w:space="0" w:color="auto"/>
              <w:right w:val="single" w:sz="4" w:space="0" w:color="auto"/>
            </w:tcBorders>
            <w:shd w:val="clear" w:color="auto" w:fill="auto"/>
            <w:hideMark/>
          </w:tcPr>
          <w:p w14:paraId="2515B869"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Growth in use of hosted pages for organizations (such as Facebook or Google+)</w:t>
            </w:r>
          </w:p>
        </w:tc>
        <w:tc>
          <w:tcPr>
            <w:tcW w:w="1594" w:type="dxa"/>
            <w:tcBorders>
              <w:top w:val="nil"/>
              <w:left w:val="nil"/>
              <w:bottom w:val="single" w:sz="4" w:space="0" w:color="auto"/>
              <w:right w:val="single" w:sz="4" w:space="0" w:color="auto"/>
            </w:tcBorders>
          </w:tcPr>
          <w:p w14:paraId="4D50623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5827CEFD"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450302E6" w14:textId="77777777" w:rsidR="00130C5E" w:rsidRPr="004803A8" w:rsidRDefault="004721D5" w:rsidP="00C93AD7">
            <w:pPr>
              <w:jc w:val="right"/>
              <w:rPr>
                <w:rFonts w:ascii="Times New Roman" w:eastAsia="Times New Roman" w:hAnsi="Times New Roman" w:cs="Times New Roman"/>
              </w:rPr>
            </w:pPr>
            <w:hyperlink r:id="rId62" w:history="1">
              <w:r w:rsidR="00130C5E" w:rsidRPr="004803A8">
                <w:rPr>
                  <w:rFonts w:ascii="Times New Roman" w:eastAsia="Times New Roman" w:hAnsi="Times New Roman" w:cs="Times New Roman"/>
                </w:rPr>
                <w:t>5.3</w:t>
              </w:r>
            </w:hyperlink>
          </w:p>
        </w:tc>
        <w:tc>
          <w:tcPr>
            <w:tcW w:w="6526" w:type="dxa"/>
            <w:tcBorders>
              <w:top w:val="nil"/>
              <w:left w:val="nil"/>
              <w:bottom w:val="single" w:sz="4" w:space="0" w:color="auto"/>
              <w:right w:val="single" w:sz="4" w:space="0" w:color="auto"/>
            </w:tcBorders>
            <w:shd w:val="clear" w:color="auto" w:fill="auto"/>
            <w:hideMark/>
          </w:tcPr>
          <w:p w14:paraId="1F9311B1"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Growth in use of QR codes</w:t>
            </w:r>
          </w:p>
        </w:tc>
        <w:tc>
          <w:tcPr>
            <w:tcW w:w="1594" w:type="dxa"/>
            <w:tcBorders>
              <w:top w:val="nil"/>
              <w:left w:val="nil"/>
              <w:bottom w:val="single" w:sz="4" w:space="0" w:color="auto"/>
              <w:right w:val="single" w:sz="4" w:space="0" w:color="auto"/>
            </w:tcBorders>
          </w:tcPr>
          <w:p w14:paraId="681A687F"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4B94216"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0A3CAD9C" w14:textId="77777777" w:rsidR="00130C5E" w:rsidRPr="004803A8" w:rsidRDefault="004721D5" w:rsidP="00C93AD7">
            <w:pPr>
              <w:jc w:val="right"/>
              <w:rPr>
                <w:rFonts w:ascii="Times New Roman" w:eastAsia="Times New Roman" w:hAnsi="Times New Roman" w:cs="Times New Roman"/>
              </w:rPr>
            </w:pPr>
            <w:hyperlink r:id="rId63" w:history="1">
              <w:r w:rsidR="00130C5E" w:rsidRPr="004803A8">
                <w:rPr>
                  <w:rFonts w:ascii="Times New Roman" w:eastAsia="Times New Roman" w:hAnsi="Times New Roman" w:cs="Times New Roman"/>
                </w:rPr>
                <w:t>5.4</w:t>
              </w:r>
            </w:hyperlink>
          </w:p>
        </w:tc>
        <w:tc>
          <w:tcPr>
            <w:tcW w:w="6526" w:type="dxa"/>
            <w:tcBorders>
              <w:top w:val="nil"/>
              <w:left w:val="nil"/>
              <w:bottom w:val="single" w:sz="4" w:space="0" w:color="auto"/>
              <w:right w:val="single" w:sz="4" w:space="0" w:color="auto"/>
            </w:tcBorders>
            <w:shd w:val="clear" w:color="auto" w:fill="auto"/>
            <w:hideMark/>
          </w:tcPr>
          <w:p w14:paraId="54DCEA2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Growth in use of URL shortening services</w:t>
            </w:r>
          </w:p>
        </w:tc>
        <w:tc>
          <w:tcPr>
            <w:tcW w:w="1594" w:type="dxa"/>
            <w:tcBorders>
              <w:top w:val="nil"/>
              <w:left w:val="nil"/>
              <w:bottom w:val="single" w:sz="4" w:space="0" w:color="auto"/>
              <w:right w:val="single" w:sz="4" w:space="0" w:color="auto"/>
            </w:tcBorders>
          </w:tcPr>
          <w:p w14:paraId="3A0FA1A6"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7950AC7"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5229053B" w14:textId="77777777" w:rsidR="00130C5E" w:rsidRPr="004803A8" w:rsidRDefault="004721D5" w:rsidP="00C93AD7">
            <w:pPr>
              <w:jc w:val="right"/>
              <w:rPr>
                <w:rFonts w:ascii="Times New Roman" w:eastAsia="Times New Roman" w:hAnsi="Times New Roman" w:cs="Times New Roman"/>
              </w:rPr>
            </w:pPr>
            <w:hyperlink r:id="rId64" w:history="1">
              <w:r w:rsidR="00130C5E" w:rsidRPr="004803A8">
                <w:rPr>
                  <w:rFonts w:ascii="Times New Roman" w:eastAsia="Times New Roman" w:hAnsi="Times New Roman" w:cs="Times New Roman"/>
                </w:rPr>
                <w:t>5.5</w:t>
              </w:r>
            </w:hyperlink>
          </w:p>
        </w:tc>
        <w:tc>
          <w:tcPr>
            <w:tcW w:w="6526" w:type="dxa"/>
            <w:tcBorders>
              <w:top w:val="nil"/>
              <w:left w:val="nil"/>
              <w:bottom w:val="single" w:sz="4" w:space="0" w:color="auto"/>
              <w:right w:val="single" w:sz="4" w:space="0" w:color="auto"/>
            </w:tcBorders>
            <w:shd w:val="clear" w:color="auto" w:fill="auto"/>
            <w:hideMark/>
          </w:tcPr>
          <w:p w14:paraId="0ABA8DF7"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Growth in registrations in </w:t>
            </w:r>
            <w:proofErr w:type="spellStart"/>
            <w:r w:rsidRPr="004803A8">
              <w:rPr>
                <w:rFonts w:ascii="Times New Roman" w:eastAsia="Times New Roman" w:hAnsi="Times New Roman" w:cs="Times New Roman"/>
              </w:rPr>
              <w:t>ccTLDs</w:t>
            </w:r>
            <w:proofErr w:type="spellEnd"/>
            <w:r w:rsidRPr="004803A8">
              <w:rPr>
                <w:rFonts w:ascii="Times New Roman" w:eastAsia="Times New Roman" w:hAnsi="Times New Roman" w:cs="Times New Roman"/>
              </w:rPr>
              <w:t xml:space="preserve"> relative to </w:t>
            </w:r>
            <w:proofErr w:type="spellStart"/>
            <w:r w:rsidRPr="004803A8">
              <w:rPr>
                <w:rFonts w:ascii="Times New Roman" w:eastAsia="Times New Roman" w:hAnsi="Times New Roman" w:cs="Times New Roman"/>
              </w:rPr>
              <w:t>gTLDs</w:t>
            </w:r>
            <w:proofErr w:type="spellEnd"/>
          </w:p>
        </w:tc>
        <w:tc>
          <w:tcPr>
            <w:tcW w:w="1594" w:type="dxa"/>
            <w:tcBorders>
              <w:top w:val="nil"/>
              <w:left w:val="nil"/>
              <w:bottom w:val="single" w:sz="4" w:space="0" w:color="auto"/>
              <w:right w:val="single" w:sz="4" w:space="0" w:color="auto"/>
            </w:tcBorders>
          </w:tcPr>
          <w:p w14:paraId="31E4F4EE"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8E89920"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6BCB5699" w14:textId="77777777" w:rsidR="00130C5E" w:rsidRPr="000F16C2" w:rsidRDefault="004721D5" w:rsidP="00C93AD7">
            <w:pPr>
              <w:jc w:val="right"/>
              <w:rPr>
                <w:rFonts w:ascii="Times New Roman" w:eastAsia="Times New Roman" w:hAnsi="Times New Roman" w:cs="Times New Roman"/>
              </w:rPr>
            </w:pPr>
            <w:hyperlink r:id="rId65" w:history="1">
              <w:r w:rsidR="00130C5E" w:rsidRPr="000F16C2">
                <w:rPr>
                  <w:rFonts w:ascii="Times New Roman" w:eastAsia="Times New Roman" w:hAnsi="Times New Roman" w:cs="Times New Roman"/>
                </w:rPr>
                <w:t>5.6</w:t>
              </w:r>
            </w:hyperlink>
          </w:p>
        </w:tc>
        <w:tc>
          <w:tcPr>
            <w:tcW w:w="6526" w:type="dxa"/>
            <w:tcBorders>
              <w:top w:val="nil"/>
              <w:left w:val="nil"/>
              <w:bottom w:val="single" w:sz="4" w:space="0" w:color="auto"/>
              <w:right w:val="single" w:sz="4" w:space="0" w:color="auto"/>
            </w:tcBorders>
            <w:shd w:val="clear" w:color="auto" w:fill="auto"/>
            <w:hideMark/>
          </w:tcPr>
          <w:p w14:paraId="72C61168"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Growth of Software Defined Networking (SDN) as alternative to the DNS</w:t>
            </w:r>
          </w:p>
        </w:tc>
        <w:tc>
          <w:tcPr>
            <w:tcW w:w="1594" w:type="dxa"/>
            <w:tcBorders>
              <w:top w:val="nil"/>
              <w:left w:val="nil"/>
              <w:bottom w:val="single" w:sz="4" w:space="0" w:color="auto"/>
              <w:right w:val="single" w:sz="4" w:space="0" w:color="auto"/>
            </w:tcBorders>
          </w:tcPr>
          <w:p w14:paraId="3396BD4A"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Choice</w:t>
            </w:r>
          </w:p>
        </w:tc>
      </w:tr>
      <w:tr w:rsidR="00130C5E" w:rsidRPr="00AC6630" w14:paraId="62AC82C7"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E4720EA" w14:textId="77777777" w:rsidR="00130C5E" w:rsidRPr="000F16C2" w:rsidRDefault="004721D5" w:rsidP="00C93AD7">
            <w:pPr>
              <w:jc w:val="right"/>
              <w:rPr>
                <w:rFonts w:ascii="Times New Roman" w:eastAsia="Times New Roman" w:hAnsi="Times New Roman" w:cs="Times New Roman"/>
              </w:rPr>
            </w:pPr>
            <w:hyperlink r:id="rId66" w:history="1">
              <w:r w:rsidR="00130C5E" w:rsidRPr="000F16C2">
                <w:rPr>
                  <w:rFonts w:ascii="Times New Roman" w:eastAsia="Times New Roman" w:hAnsi="Times New Roman" w:cs="Times New Roman"/>
                </w:rPr>
                <w:t>6.1</w:t>
              </w:r>
            </w:hyperlink>
          </w:p>
        </w:tc>
        <w:tc>
          <w:tcPr>
            <w:tcW w:w="6526" w:type="dxa"/>
            <w:tcBorders>
              <w:top w:val="nil"/>
              <w:left w:val="nil"/>
              <w:bottom w:val="single" w:sz="4" w:space="0" w:color="auto"/>
              <w:right w:val="single" w:sz="4" w:space="0" w:color="auto"/>
            </w:tcBorders>
            <w:shd w:val="clear" w:color="auto" w:fill="auto"/>
            <w:hideMark/>
          </w:tcPr>
          <w:p w14:paraId="19C68501"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Number of consumer complaints to government agencies related to confusing or misleading domain names</w:t>
            </w:r>
          </w:p>
        </w:tc>
        <w:tc>
          <w:tcPr>
            <w:tcW w:w="1594" w:type="dxa"/>
            <w:tcBorders>
              <w:top w:val="nil"/>
              <w:left w:val="nil"/>
              <w:bottom w:val="single" w:sz="4" w:space="0" w:color="auto"/>
              <w:right w:val="single" w:sz="4" w:space="0" w:color="auto"/>
            </w:tcBorders>
          </w:tcPr>
          <w:p w14:paraId="6FE94297"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Trust</w:t>
            </w:r>
          </w:p>
        </w:tc>
      </w:tr>
      <w:tr w:rsidR="00130C5E" w:rsidRPr="00AC6630" w14:paraId="12BDAB98"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0F220A1A" w14:textId="77777777" w:rsidR="00130C5E" w:rsidRPr="004803A8" w:rsidRDefault="004721D5" w:rsidP="00C93AD7">
            <w:pPr>
              <w:jc w:val="right"/>
              <w:rPr>
                <w:rFonts w:ascii="Times New Roman" w:eastAsia="Times New Roman" w:hAnsi="Times New Roman" w:cs="Times New Roman"/>
              </w:rPr>
            </w:pPr>
            <w:hyperlink r:id="rId67" w:history="1">
              <w:r w:rsidR="00130C5E" w:rsidRPr="004803A8">
                <w:rPr>
                  <w:rFonts w:ascii="Times New Roman" w:eastAsia="Times New Roman" w:hAnsi="Times New Roman" w:cs="Times New Roman"/>
                </w:rPr>
                <w:t>6.2</w:t>
              </w:r>
            </w:hyperlink>
          </w:p>
        </w:tc>
        <w:tc>
          <w:tcPr>
            <w:tcW w:w="6526" w:type="dxa"/>
            <w:tcBorders>
              <w:top w:val="nil"/>
              <w:left w:val="nil"/>
              <w:bottom w:val="single" w:sz="4" w:space="0" w:color="auto"/>
              <w:right w:val="single" w:sz="4" w:space="0" w:color="auto"/>
            </w:tcBorders>
            <w:shd w:val="clear" w:color="auto" w:fill="auto"/>
            <w:hideMark/>
          </w:tcPr>
          <w:p w14:paraId="27EA39F3"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Number of complaints to police agencies alleging fraud or misrepresentation based on – or traced to – domain names</w:t>
            </w:r>
          </w:p>
        </w:tc>
        <w:tc>
          <w:tcPr>
            <w:tcW w:w="1594" w:type="dxa"/>
            <w:tcBorders>
              <w:top w:val="nil"/>
              <w:left w:val="nil"/>
              <w:bottom w:val="single" w:sz="4" w:space="0" w:color="auto"/>
              <w:right w:val="single" w:sz="4" w:space="0" w:color="auto"/>
            </w:tcBorders>
          </w:tcPr>
          <w:p w14:paraId="5FBDE316"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4E20C749"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116CAF94" w14:textId="77777777" w:rsidR="00130C5E" w:rsidRPr="000F16C2" w:rsidRDefault="004721D5" w:rsidP="00C93AD7">
            <w:pPr>
              <w:jc w:val="right"/>
              <w:rPr>
                <w:rFonts w:ascii="Times New Roman" w:eastAsia="Times New Roman" w:hAnsi="Times New Roman" w:cs="Times New Roman"/>
              </w:rPr>
            </w:pPr>
            <w:hyperlink r:id="rId68" w:history="1">
              <w:r w:rsidR="00130C5E" w:rsidRPr="000F16C2">
                <w:rPr>
                  <w:rFonts w:ascii="Times New Roman" w:eastAsia="Times New Roman" w:hAnsi="Times New Roman" w:cs="Times New Roman"/>
                </w:rPr>
                <w:t>6.3</w:t>
              </w:r>
            </w:hyperlink>
          </w:p>
        </w:tc>
        <w:tc>
          <w:tcPr>
            <w:tcW w:w="6526" w:type="dxa"/>
            <w:tcBorders>
              <w:top w:val="nil"/>
              <w:left w:val="nil"/>
              <w:bottom w:val="single" w:sz="4" w:space="0" w:color="auto"/>
              <w:right w:val="single" w:sz="4" w:space="0" w:color="auto"/>
            </w:tcBorders>
            <w:shd w:val="clear" w:color="auto" w:fill="auto"/>
            <w:hideMark/>
          </w:tcPr>
          <w:p w14:paraId="11986D93"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Number of fraud investigations where WHOIS information positively assisted investigation and identification of offending parties</w:t>
            </w:r>
          </w:p>
        </w:tc>
        <w:tc>
          <w:tcPr>
            <w:tcW w:w="1594" w:type="dxa"/>
            <w:tcBorders>
              <w:top w:val="nil"/>
              <w:left w:val="nil"/>
              <w:bottom w:val="single" w:sz="4" w:space="0" w:color="auto"/>
              <w:right w:val="single" w:sz="4" w:space="0" w:color="auto"/>
            </w:tcBorders>
          </w:tcPr>
          <w:p w14:paraId="1FB06BB5"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Trust</w:t>
            </w:r>
          </w:p>
        </w:tc>
      </w:tr>
      <w:tr w:rsidR="00130C5E" w:rsidRPr="00AC6630" w14:paraId="4427F4A1"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5A8A0EC3" w14:textId="77777777" w:rsidR="00130C5E" w:rsidRPr="004803A8" w:rsidRDefault="004721D5" w:rsidP="00C93AD7">
            <w:pPr>
              <w:jc w:val="right"/>
              <w:rPr>
                <w:rFonts w:ascii="Times New Roman" w:eastAsia="Times New Roman" w:hAnsi="Times New Roman" w:cs="Times New Roman"/>
              </w:rPr>
            </w:pPr>
            <w:hyperlink r:id="rId69" w:history="1">
              <w:r w:rsidR="00130C5E" w:rsidRPr="004803A8">
                <w:rPr>
                  <w:rFonts w:ascii="Times New Roman" w:eastAsia="Times New Roman" w:hAnsi="Times New Roman" w:cs="Times New Roman"/>
                </w:rPr>
                <w:t>7.1</w:t>
              </w:r>
            </w:hyperlink>
          </w:p>
        </w:tc>
        <w:tc>
          <w:tcPr>
            <w:tcW w:w="6526" w:type="dxa"/>
            <w:tcBorders>
              <w:top w:val="nil"/>
              <w:left w:val="nil"/>
              <w:bottom w:val="single" w:sz="4" w:space="0" w:color="auto"/>
              <w:right w:val="single" w:sz="4" w:space="0" w:color="auto"/>
            </w:tcBorders>
            <w:shd w:val="clear" w:color="auto" w:fill="auto"/>
            <w:hideMark/>
          </w:tcPr>
          <w:p w14:paraId="7D654779"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How many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registries have privacy policies which are clearly and easily accessible by end users</w:t>
            </w:r>
          </w:p>
        </w:tc>
        <w:tc>
          <w:tcPr>
            <w:tcW w:w="1594" w:type="dxa"/>
            <w:tcBorders>
              <w:top w:val="nil"/>
              <w:left w:val="nil"/>
              <w:bottom w:val="single" w:sz="4" w:space="0" w:color="auto"/>
              <w:right w:val="single" w:sz="4" w:space="0" w:color="auto"/>
            </w:tcBorders>
          </w:tcPr>
          <w:p w14:paraId="3173D7B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718B818" w14:textId="77777777" w:rsidTr="00130C5E">
        <w:trPr>
          <w:trHeight w:val="1053"/>
        </w:trPr>
        <w:tc>
          <w:tcPr>
            <w:tcW w:w="1121" w:type="dxa"/>
            <w:tcBorders>
              <w:top w:val="nil"/>
              <w:left w:val="single" w:sz="4" w:space="0" w:color="auto"/>
              <w:bottom w:val="single" w:sz="4" w:space="0" w:color="auto"/>
              <w:right w:val="single" w:sz="4" w:space="0" w:color="auto"/>
            </w:tcBorders>
            <w:shd w:val="clear" w:color="auto" w:fill="auto"/>
            <w:noWrap/>
            <w:hideMark/>
          </w:tcPr>
          <w:p w14:paraId="4BE09A35" w14:textId="77777777" w:rsidR="00130C5E" w:rsidRPr="004803A8" w:rsidRDefault="004721D5" w:rsidP="00C93AD7">
            <w:pPr>
              <w:jc w:val="right"/>
              <w:rPr>
                <w:rFonts w:ascii="Times New Roman" w:eastAsia="Times New Roman" w:hAnsi="Times New Roman" w:cs="Times New Roman"/>
              </w:rPr>
            </w:pPr>
            <w:hyperlink r:id="rId70" w:history="1">
              <w:r w:rsidR="00130C5E" w:rsidRPr="004803A8">
                <w:rPr>
                  <w:rFonts w:ascii="Times New Roman" w:eastAsia="Times New Roman" w:hAnsi="Times New Roman" w:cs="Times New Roman"/>
                </w:rPr>
                <w:t>7.2</w:t>
              </w:r>
            </w:hyperlink>
          </w:p>
        </w:tc>
        <w:tc>
          <w:tcPr>
            <w:tcW w:w="6526" w:type="dxa"/>
            <w:tcBorders>
              <w:top w:val="nil"/>
              <w:left w:val="nil"/>
              <w:bottom w:val="single" w:sz="4" w:space="0" w:color="auto"/>
              <w:right w:val="single" w:sz="4" w:space="0" w:color="auto"/>
            </w:tcBorders>
            <w:shd w:val="clear" w:color="auto" w:fill="auto"/>
            <w:hideMark/>
          </w:tcPr>
          <w:p w14:paraId="0288B54E"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How many </w:t>
            </w:r>
            <w:proofErr w:type="spellStart"/>
            <w:r w:rsidRPr="004803A8">
              <w:rPr>
                <w:rFonts w:ascii="Times New Roman" w:eastAsia="Times New Roman" w:hAnsi="Times New Roman" w:cs="Times New Roman"/>
              </w:rPr>
              <w:t>gTLD</w:t>
            </w:r>
            <w:proofErr w:type="spellEnd"/>
            <w:r w:rsidRPr="004803A8">
              <w:rPr>
                <w:rFonts w:ascii="Times New Roman" w:eastAsia="Times New Roman" w:hAnsi="Times New Roman" w:cs="Times New Roman"/>
              </w:rPr>
              <w:t xml:space="preserve"> registries have allocation policies which are clearly and easily accessible by end users, even if those policies simply restrict or prohibit public availability</w:t>
            </w:r>
          </w:p>
        </w:tc>
        <w:tc>
          <w:tcPr>
            <w:tcW w:w="1594" w:type="dxa"/>
            <w:tcBorders>
              <w:top w:val="nil"/>
              <w:left w:val="nil"/>
              <w:bottom w:val="single" w:sz="4" w:space="0" w:color="auto"/>
              <w:right w:val="single" w:sz="4" w:space="0" w:color="auto"/>
            </w:tcBorders>
          </w:tcPr>
          <w:p w14:paraId="51A020D7"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565F1DD9"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5A5B2EFC" w14:textId="77777777" w:rsidR="00130C5E" w:rsidRPr="004803A8" w:rsidRDefault="004721D5" w:rsidP="00C93AD7">
            <w:pPr>
              <w:jc w:val="right"/>
              <w:rPr>
                <w:rFonts w:ascii="Times New Roman" w:eastAsia="Times New Roman" w:hAnsi="Times New Roman" w:cs="Times New Roman"/>
              </w:rPr>
            </w:pPr>
            <w:hyperlink r:id="rId71" w:history="1">
              <w:r w:rsidR="00130C5E" w:rsidRPr="004803A8">
                <w:rPr>
                  <w:rFonts w:ascii="Times New Roman" w:eastAsia="Times New Roman" w:hAnsi="Times New Roman" w:cs="Times New Roman"/>
                </w:rPr>
                <w:t>7.3</w:t>
              </w:r>
            </w:hyperlink>
          </w:p>
        </w:tc>
        <w:tc>
          <w:tcPr>
            <w:tcW w:w="6526" w:type="dxa"/>
            <w:tcBorders>
              <w:top w:val="nil"/>
              <w:left w:val="nil"/>
              <w:bottom w:val="single" w:sz="4" w:space="0" w:color="auto"/>
              <w:right w:val="single" w:sz="4" w:space="0" w:color="auto"/>
            </w:tcBorders>
            <w:shd w:val="clear" w:color="auto" w:fill="auto"/>
            <w:hideMark/>
          </w:tcPr>
          <w:p w14:paraId="7726513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How many registries disclose end-user information regarding their codes of conduct for sub-domain owner/operators</w:t>
            </w:r>
          </w:p>
        </w:tc>
        <w:tc>
          <w:tcPr>
            <w:tcW w:w="1594" w:type="dxa"/>
            <w:tcBorders>
              <w:top w:val="nil"/>
              <w:left w:val="nil"/>
              <w:bottom w:val="single" w:sz="4" w:space="0" w:color="auto"/>
              <w:right w:val="single" w:sz="4" w:space="0" w:color="auto"/>
            </w:tcBorders>
          </w:tcPr>
          <w:p w14:paraId="14067264"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3E07AFCE"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1A08FE87" w14:textId="77777777" w:rsidR="00130C5E" w:rsidRPr="004803A8" w:rsidRDefault="004721D5" w:rsidP="00C93AD7">
            <w:pPr>
              <w:jc w:val="right"/>
              <w:rPr>
                <w:rFonts w:ascii="Times New Roman" w:eastAsia="Times New Roman" w:hAnsi="Times New Roman" w:cs="Times New Roman"/>
              </w:rPr>
            </w:pPr>
            <w:hyperlink r:id="rId72" w:history="1">
              <w:r w:rsidR="00130C5E" w:rsidRPr="004803A8">
                <w:rPr>
                  <w:rFonts w:ascii="Times New Roman" w:eastAsia="Times New Roman" w:hAnsi="Times New Roman" w:cs="Times New Roman"/>
                </w:rPr>
                <w:t>8.1</w:t>
              </w:r>
            </w:hyperlink>
          </w:p>
        </w:tc>
        <w:tc>
          <w:tcPr>
            <w:tcW w:w="6526" w:type="dxa"/>
            <w:tcBorders>
              <w:top w:val="nil"/>
              <w:left w:val="nil"/>
              <w:bottom w:val="single" w:sz="4" w:space="0" w:color="auto"/>
              <w:right w:val="single" w:sz="4" w:space="0" w:color="auto"/>
            </w:tcBorders>
            <w:shd w:val="clear" w:color="auto" w:fill="auto"/>
            <w:hideMark/>
          </w:tcPr>
          <w:p w14:paraId="66193BB6"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How many complaints are received by ICANN related to confusion or misunderstanding of TLD functions</w:t>
            </w:r>
          </w:p>
        </w:tc>
        <w:tc>
          <w:tcPr>
            <w:tcW w:w="1594" w:type="dxa"/>
            <w:tcBorders>
              <w:top w:val="nil"/>
              <w:left w:val="nil"/>
              <w:bottom w:val="single" w:sz="4" w:space="0" w:color="auto"/>
              <w:right w:val="single" w:sz="4" w:space="0" w:color="auto"/>
            </w:tcBorders>
          </w:tcPr>
          <w:p w14:paraId="71149792"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0F229845"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7F03DBD" w14:textId="77777777" w:rsidR="00130C5E" w:rsidRPr="000F16C2" w:rsidRDefault="004721D5" w:rsidP="00C93AD7">
            <w:pPr>
              <w:jc w:val="right"/>
              <w:rPr>
                <w:rFonts w:ascii="Times New Roman" w:eastAsia="Times New Roman" w:hAnsi="Times New Roman" w:cs="Times New Roman"/>
              </w:rPr>
            </w:pPr>
            <w:hyperlink r:id="rId73" w:history="1">
              <w:r w:rsidR="00130C5E" w:rsidRPr="000F16C2">
                <w:rPr>
                  <w:rFonts w:ascii="Times New Roman" w:eastAsia="Times New Roman" w:hAnsi="Times New Roman" w:cs="Times New Roman"/>
                </w:rPr>
                <w:t>8.2</w:t>
              </w:r>
            </w:hyperlink>
          </w:p>
        </w:tc>
        <w:tc>
          <w:tcPr>
            <w:tcW w:w="6526" w:type="dxa"/>
            <w:tcBorders>
              <w:top w:val="nil"/>
              <w:left w:val="nil"/>
              <w:bottom w:val="single" w:sz="4" w:space="0" w:color="auto"/>
              <w:right w:val="single" w:sz="4" w:space="0" w:color="auto"/>
            </w:tcBorders>
            <w:shd w:val="clear" w:color="auto" w:fill="auto"/>
            <w:hideMark/>
          </w:tcPr>
          <w:p w14:paraId="667D5592"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 xml:space="preserve">How many registries are subject to Compliance activity based on reported breaches of RAA? </w:t>
            </w:r>
          </w:p>
        </w:tc>
        <w:tc>
          <w:tcPr>
            <w:tcW w:w="1594" w:type="dxa"/>
            <w:tcBorders>
              <w:top w:val="nil"/>
              <w:left w:val="nil"/>
              <w:bottom w:val="single" w:sz="4" w:space="0" w:color="auto"/>
              <w:right w:val="single" w:sz="4" w:space="0" w:color="auto"/>
            </w:tcBorders>
          </w:tcPr>
          <w:p w14:paraId="7148C10A" w14:textId="77777777" w:rsidR="00130C5E" w:rsidRPr="000F16C2" w:rsidRDefault="00130C5E" w:rsidP="00C93AD7">
            <w:pPr>
              <w:rPr>
                <w:rFonts w:ascii="Times New Roman" w:eastAsia="Times New Roman" w:hAnsi="Times New Roman" w:cs="Times New Roman"/>
              </w:rPr>
            </w:pPr>
            <w:r w:rsidRPr="000F16C2">
              <w:rPr>
                <w:rFonts w:ascii="Times New Roman" w:eastAsia="Times New Roman" w:hAnsi="Times New Roman" w:cs="Times New Roman"/>
              </w:rPr>
              <w:t>Trust</w:t>
            </w:r>
          </w:p>
        </w:tc>
      </w:tr>
      <w:tr w:rsidR="00130C5E" w:rsidRPr="00AC6630" w14:paraId="70B5C24E"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3D383774" w14:textId="77777777" w:rsidR="00130C5E" w:rsidRPr="004803A8" w:rsidRDefault="004721D5" w:rsidP="00C93AD7">
            <w:pPr>
              <w:jc w:val="right"/>
              <w:rPr>
                <w:rFonts w:ascii="Times New Roman" w:eastAsia="Times New Roman" w:hAnsi="Times New Roman" w:cs="Times New Roman"/>
              </w:rPr>
            </w:pPr>
            <w:hyperlink r:id="rId74" w:history="1">
              <w:r w:rsidR="00130C5E" w:rsidRPr="004803A8">
                <w:rPr>
                  <w:rFonts w:ascii="Times New Roman" w:eastAsia="Times New Roman" w:hAnsi="Times New Roman" w:cs="Times New Roman"/>
                </w:rPr>
                <w:t>8.3</w:t>
              </w:r>
            </w:hyperlink>
          </w:p>
        </w:tc>
        <w:tc>
          <w:tcPr>
            <w:tcW w:w="6526" w:type="dxa"/>
            <w:tcBorders>
              <w:top w:val="nil"/>
              <w:left w:val="nil"/>
              <w:bottom w:val="single" w:sz="4" w:space="0" w:color="auto"/>
              <w:right w:val="single" w:sz="4" w:space="0" w:color="auto"/>
            </w:tcBorders>
            <w:shd w:val="clear" w:color="auto" w:fill="auto"/>
            <w:hideMark/>
          </w:tcPr>
          <w:p w14:paraId="30B4334F"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How many registries have been the subject of complaints related to their Public Interest Commitments (PICs)</w:t>
            </w:r>
          </w:p>
        </w:tc>
        <w:tc>
          <w:tcPr>
            <w:tcW w:w="1594" w:type="dxa"/>
            <w:tcBorders>
              <w:top w:val="nil"/>
              <w:left w:val="nil"/>
              <w:bottom w:val="single" w:sz="4" w:space="0" w:color="auto"/>
              <w:right w:val="single" w:sz="4" w:space="0" w:color="auto"/>
            </w:tcBorders>
          </w:tcPr>
          <w:p w14:paraId="0C213332"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4DCCF914" w14:textId="77777777" w:rsidTr="00130C5E">
        <w:trPr>
          <w:trHeight w:val="351"/>
        </w:trPr>
        <w:tc>
          <w:tcPr>
            <w:tcW w:w="1121" w:type="dxa"/>
            <w:tcBorders>
              <w:top w:val="nil"/>
              <w:left w:val="single" w:sz="4" w:space="0" w:color="auto"/>
              <w:bottom w:val="single" w:sz="4" w:space="0" w:color="auto"/>
              <w:right w:val="single" w:sz="4" w:space="0" w:color="auto"/>
            </w:tcBorders>
            <w:shd w:val="clear" w:color="auto" w:fill="auto"/>
            <w:noWrap/>
            <w:hideMark/>
          </w:tcPr>
          <w:p w14:paraId="07EC0C92" w14:textId="77777777" w:rsidR="00130C5E" w:rsidRPr="004803A8" w:rsidRDefault="004721D5" w:rsidP="00C93AD7">
            <w:pPr>
              <w:jc w:val="right"/>
              <w:rPr>
                <w:rFonts w:ascii="Times New Roman" w:eastAsia="Times New Roman" w:hAnsi="Times New Roman" w:cs="Times New Roman"/>
              </w:rPr>
            </w:pPr>
            <w:hyperlink r:id="rId75" w:history="1">
              <w:r w:rsidR="00130C5E" w:rsidRPr="004803A8">
                <w:rPr>
                  <w:rFonts w:ascii="Times New Roman" w:eastAsia="Times New Roman" w:hAnsi="Times New Roman" w:cs="Times New Roman"/>
                </w:rPr>
                <w:t>8.4</w:t>
              </w:r>
            </w:hyperlink>
          </w:p>
        </w:tc>
        <w:tc>
          <w:tcPr>
            <w:tcW w:w="6526" w:type="dxa"/>
            <w:tcBorders>
              <w:top w:val="nil"/>
              <w:left w:val="nil"/>
              <w:bottom w:val="single" w:sz="4" w:space="0" w:color="auto"/>
              <w:right w:val="single" w:sz="4" w:space="0" w:color="auto"/>
            </w:tcBorders>
            <w:shd w:val="clear" w:color="auto" w:fill="auto"/>
            <w:hideMark/>
          </w:tcPr>
          <w:p w14:paraId="05AAF59D"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How many registries have lost a dispute resolution process related to their PICs</w:t>
            </w:r>
          </w:p>
        </w:tc>
        <w:tc>
          <w:tcPr>
            <w:tcW w:w="1594" w:type="dxa"/>
            <w:tcBorders>
              <w:top w:val="nil"/>
              <w:left w:val="nil"/>
              <w:bottom w:val="single" w:sz="4" w:space="0" w:color="auto"/>
              <w:right w:val="single" w:sz="4" w:space="0" w:color="auto"/>
            </w:tcBorders>
          </w:tcPr>
          <w:p w14:paraId="0A9D40D6"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7306CFC9"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4B7C5BF7" w14:textId="77777777" w:rsidR="00130C5E" w:rsidRPr="004803A8" w:rsidRDefault="004721D5" w:rsidP="00C93AD7">
            <w:pPr>
              <w:jc w:val="right"/>
              <w:rPr>
                <w:rFonts w:ascii="Times New Roman" w:eastAsia="Times New Roman" w:hAnsi="Times New Roman" w:cs="Times New Roman"/>
              </w:rPr>
            </w:pPr>
            <w:hyperlink r:id="rId76" w:history="1">
              <w:r w:rsidR="00130C5E" w:rsidRPr="004803A8">
                <w:rPr>
                  <w:rFonts w:ascii="Times New Roman" w:eastAsia="Times New Roman" w:hAnsi="Times New Roman" w:cs="Times New Roman"/>
                </w:rPr>
                <w:t>9.1</w:t>
              </w:r>
            </w:hyperlink>
          </w:p>
        </w:tc>
        <w:tc>
          <w:tcPr>
            <w:tcW w:w="6526" w:type="dxa"/>
            <w:tcBorders>
              <w:top w:val="nil"/>
              <w:left w:val="nil"/>
              <w:bottom w:val="single" w:sz="4" w:space="0" w:color="auto"/>
              <w:right w:val="single" w:sz="4" w:space="0" w:color="auto"/>
            </w:tcBorders>
            <w:shd w:val="clear" w:color="auto" w:fill="auto"/>
            <w:hideMark/>
          </w:tcPr>
          <w:p w14:paraId="7CE0FB8D"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Are end-user software applications capable of implementing all of the new </w:t>
            </w:r>
            <w:proofErr w:type="spellStart"/>
            <w:r w:rsidRPr="004803A8">
              <w:rPr>
                <w:rFonts w:ascii="Times New Roman" w:eastAsia="Times New Roman" w:hAnsi="Times New Roman" w:cs="Times New Roman"/>
              </w:rPr>
              <w:t>gTLDs</w:t>
            </w:r>
            <w:proofErr w:type="spellEnd"/>
            <w:r w:rsidRPr="004803A8">
              <w:rPr>
                <w:rFonts w:ascii="Times New Roman" w:eastAsia="Times New Roman" w:hAnsi="Times New Roman" w:cs="Times New Roman"/>
              </w:rPr>
              <w:t xml:space="preserve">; Can browsers and DNS clients in end-user systems resolve all new </w:t>
            </w:r>
            <w:proofErr w:type="spellStart"/>
            <w:r w:rsidRPr="004803A8">
              <w:rPr>
                <w:rFonts w:ascii="Times New Roman" w:eastAsia="Times New Roman" w:hAnsi="Times New Roman" w:cs="Times New Roman"/>
              </w:rPr>
              <w:t>gTLDs</w:t>
            </w:r>
            <w:proofErr w:type="spellEnd"/>
          </w:p>
        </w:tc>
        <w:tc>
          <w:tcPr>
            <w:tcW w:w="1594" w:type="dxa"/>
            <w:tcBorders>
              <w:top w:val="nil"/>
              <w:left w:val="nil"/>
              <w:bottom w:val="single" w:sz="4" w:space="0" w:color="auto"/>
              <w:right w:val="single" w:sz="4" w:space="0" w:color="auto"/>
            </w:tcBorders>
          </w:tcPr>
          <w:p w14:paraId="5E1F54D8"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r w:rsidR="00130C5E" w:rsidRPr="00AC6630" w14:paraId="6FDF63E9" w14:textId="77777777" w:rsidTr="00130C5E">
        <w:trPr>
          <w:trHeight w:val="702"/>
        </w:trPr>
        <w:tc>
          <w:tcPr>
            <w:tcW w:w="1121" w:type="dxa"/>
            <w:tcBorders>
              <w:top w:val="nil"/>
              <w:left w:val="single" w:sz="4" w:space="0" w:color="auto"/>
              <w:bottom w:val="single" w:sz="4" w:space="0" w:color="auto"/>
              <w:right w:val="single" w:sz="4" w:space="0" w:color="auto"/>
            </w:tcBorders>
            <w:shd w:val="clear" w:color="auto" w:fill="auto"/>
            <w:noWrap/>
            <w:hideMark/>
          </w:tcPr>
          <w:p w14:paraId="675E52BF" w14:textId="77777777" w:rsidR="00130C5E" w:rsidRPr="004803A8" w:rsidRDefault="004721D5" w:rsidP="00C93AD7">
            <w:pPr>
              <w:jc w:val="right"/>
              <w:rPr>
                <w:rFonts w:ascii="Times New Roman" w:eastAsia="Times New Roman" w:hAnsi="Times New Roman" w:cs="Times New Roman"/>
              </w:rPr>
            </w:pPr>
            <w:hyperlink r:id="rId77" w:history="1">
              <w:r w:rsidR="00130C5E" w:rsidRPr="004803A8">
                <w:rPr>
                  <w:rFonts w:ascii="Times New Roman" w:eastAsia="Times New Roman" w:hAnsi="Times New Roman" w:cs="Times New Roman"/>
                </w:rPr>
                <w:t>9.2</w:t>
              </w:r>
            </w:hyperlink>
          </w:p>
        </w:tc>
        <w:tc>
          <w:tcPr>
            <w:tcW w:w="6526" w:type="dxa"/>
            <w:tcBorders>
              <w:top w:val="nil"/>
              <w:left w:val="nil"/>
              <w:bottom w:val="single" w:sz="4" w:space="0" w:color="auto"/>
              <w:right w:val="single" w:sz="4" w:space="0" w:color="auto"/>
            </w:tcBorders>
            <w:shd w:val="clear" w:color="auto" w:fill="auto"/>
            <w:hideMark/>
          </w:tcPr>
          <w:p w14:paraId="289945A0" w14:textId="77777777" w:rsidR="00130C5E" w:rsidRPr="004803A8" w:rsidRDefault="00130C5E" w:rsidP="00C93AD7">
            <w:pPr>
              <w:rPr>
                <w:rFonts w:ascii="Times New Roman" w:eastAsia="Times New Roman" w:hAnsi="Times New Roman" w:cs="Times New Roman"/>
              </w:rPr>
            </w:pPr>
            <w:r w:rsidRPr="004803A8">
              <w:rPr>
                <w:rFonts w:ascii="Times New Roman" w:eastAsia="Times New Roman" w:hAnsi="Times New Roman" w:cs="Times New Roman"/>
              </w:rPr>
              <w:t xml:space="preserve">Which browsers or other end-user applications require plugins or user-installed enhancements in order to use new </w:t>
            </w:r>
            <w:proofErr w:type="spellStart"/>
            <w:r w:rsidRPr="004803A8">
              <w:rPr>
                <w:rFonts w:ascii="Times New Roman" w:eastAsia="Times New Roman" w:hAnsi="Times New Roman" w:cs="Times New Roman"/>
              </w:rPr>
              <w:t>gTLDs</w:t>
            </w:r>
            <w:proofErr w:type="spellEnd"/>
          </w:p>
        </w:tc>
        <w:tc>
          <w:tcPr>
            <w:tcW w:w="1594" w:type="dxa"/>
            <w:tcBorders>
              <w:top w:val="nil"/>
              <w:left w:val="nil"/>
              <w:bottom w:val="single" w:sz="4" w:space="0" w:color="auto"/>
              <w:right w:val="single" w:sz="4" w:space="0" w:color="auto"/>
            </w:tcBorders>
          </w:tcPr>
          <w:p w14:paraId="1B10D59B" w14:textId="77777777" w:rsidR="00130C5E" w:rsidRPr="004803A8" w:rsidRDefault="00130C5E" w:rsidP="00C93AD7">
            <w:pPr>
              <w:rPr>
                <w:rFonts w:ascii="Times New Roman" w:eastAsia="Times New Roman" w:hAnsi="Times New Roman" w:cs="Times New Roman"/>
              </w:rPr>
            </w:pPr>
            <w:r>
              <w:rPr>
                <w:rFonts w:ascii="Times New Roman" w:eastAsia="Times New Roman" w:hAnsi="Times New Roman" w:cs="Times New Roman"/>
              </w:rPr>
              <w:t>Trust</w:t>
            </w:r>
          </w:p>
        </w:tc>
      </w:tr>
    </w:tbl>
    <w:p w14:paraId="6808E238" w14:textId="77777777" w:rsidR="00130C5E" w:rsidRPr="004803A8" w:rsidRDefault="00130C5E" w:rsidP="00130C5E">
      <w:pPr>
        <w:rPr>
          <w:rFonts w:ascii="Times New Roman" w:hAnsi="Times New Roman" w:cs="Times New Roman"/>
          <w:b/>
        </w:rPr>
      </w:pPr>
    </w:p>
    <w:p w14:paraId="3123BDDA" w14:textId="77777777" w:rsidR="00130C5E" w:rsidRDefault="00130C5E">
      <w:pPr>
        <w:rPr>
          <w:rFonts w:asciiTheme="majorHAnsi" w:eastAsiaTheme="majorEastAsia" w:hAnsiTheme="majorHAnsi" w:cstheme="majorBidi"/>
          <w:color w:val="2E74B5" w:themeColor="accent1" w:themeShade="BF"/>
          <w:sz w:val="32"/>
          <w:szCs w:val="32"/>
        </w:rPr>
      </w:pPr>
      <w:r>
        <w:br w:type="page"/>
      </w:r>
    </w:p>
    <w:p w14:paraId="574B74A0" w14:textId="38A10F64" w:rsidR="00C462A4" w:rsidRPr="00C462A4" w:rsidRDefault="00C462A4" w:rsidP="00C462A4">
      <w:pPr>
        <w:pStyle w:val="Heading1"/>
      </w:pPr>
      <w:bookmarkStart w:id="20" w:name="_Toc399424511"/>
      <w:r>
        <w:lastRenderedPageBreak/>
        <w:t xml:space="preserve">Appendix </w:t>
      </w:r>
      <w:r w:rsidR="006A1495">
        <w:t>2</w:t>
      </w:r>
      <w:r>
        <w:t xml:space="preserve">: Recommended </w:t>
      </w:r>
      <w:r w:rsidR="007440F7">
        <w:t xml:space="preserve">metrics, </w:t>
      </w:r>
      <w:r>
        <w:t>reorganization</w:t>
      </w:r>
      <w:r w:rsidR="007440F7">
        <w:t>, and data collection phases</w:t>
      </w:r>
      <w:bookmarkEnd w:id="20"/>
    </w:p>
    <w:p w14:paraId="33927CE6" w14:textId="77777777" w:rsidR="00183FC6" w:rsidRDefault="007440F7" w:rsidP="00183FC6">
      <w:r>
        <w:t xml:space="preserve">Working together with ICANN staff, the IAG-CCT came to a consensus on reorganizing the metrics to better represent the various categories of data that will be collected. Each category of data would then be examined on the axes of choice, competition and trust. </w:t>
      </w:r>
      <w:r w:rsidR="00183FC6">
        <w:t xml:space="preserve">As such, the group proposes the following structure for the eventual review team report: </w:t>
      </w:r>
    </w:p>
    <w:p w14:paraId="15CE6484"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Technical metrics</w:t>
      </w:r>
    </w:p>
    <w:p w14:paraId="29F2D114"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Registration data</w:t>
      </w:r>
    </w:p>
    <w:p w14:paraId="634BBDC9"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Law enforcement/domain abuse</w:t>
      </w:r>
    </w:p>
    <w:p w14:paraId="6BBCB9D5"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DNS use/choice</w:t>
      </w:r>
    </w:p>
    <w:p w14:paraId="42321D36"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Compliance</w:t>
      </w:r>
    </w:p>
    <w:p w14:paraId="17976BC6"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Global consumer survey</w:t>
      </w:r>
    </w:p>
    <w:p w14:paraId="270E4587" w14:textId="77777777" w:rsidR="00183FC6" w:rsidRPr="007440F7" w:rsidRDefault="00183FC6" w:rsidP="00183FC6">
      <w:pPr>
        <w:pStyle w:val="ListParagraph"/>
        <w:numPr>
          <w:ilvl w:val="0"/>
          <w:numId w:val="9"/>
        </w:numPr>
        <w:rPr>
          <w:rFonts w:asciiTheme="majorHAnsi" w:eastAsiaTheme="majorEastAsia" w:hAnsiTheme="majorHAnsi" w:cstheme="majorBidi"/>
          <w:color w:val="2E74B5" w:themeColor="accent1" w:themeShade="BF"/>
          <w:sz w:val="32"/>
          <w:szCs w:val="32"/>
        </w:rPr>
      </w:pPr>
      <w:r>
        <w:t>Qualitative studies</w:t>
      </w:r>
    </w:p>
    <w:p w14:paraId="18AD8162" w14:textId="433F76E5" w:rsidR="00183FC6" w:rsidRDefault="00183FC6">
      <w:r>
        <w:t xml:space="preserve">Also included below are the recommended phases for data collection. Phases were broken down to account for metrics that required a baseline, as well as collection to begin one year after new </w:t>
      </w:r>
      <w:proofErr w:type="spellStart"/>
      <w:r>
        <w:t>gTLDs</w:t>
      </w:r>
      <w:proofErr w:type="spellEnd"/>
      <w:r>
        <w:t xml:space="preserve"> have been in operation. The phases represent the following time periods: </w:t>
      </w:r>
    </w:p>
    <w:p w14:paraId="3E1A91B2" w14:textId="2C02EF66" w:rsidR="00183FC6" w:rsidRDefault="00183FC6">
      <w:r>
        <w:t>Phase 1: Baseline metrics requiring immediate collection, March-September 2014</w:t>
      </w:r>
    </w:p>
    <w:p w14:paraId="74C105A8" w14:textId="2A316F81" w:rsidR="00183FC6" w:rsidRDefault="00183FC6">
      <w:r>
        <w:t>Phase 2: Baseline metrics that do not require immediate collection, June-September 2014</w:t>
      </w:r>
    </w:p>
    <w:p w14:paraId="07A6EF27" w14:textId="2B75BED3" w:rsidR="00183FC6" w:rsidRDefault="00183FC6">
      <w:r>
        <w:t>Phase 3: Metrics that are readily available in-house, October 2014-until collected</w:t>
      </w:r>
    </w:p>
    <w:p w14:paraId="43EA4A88" w14:textId="0E3A171B" w:rsidR="00906A32" w:rsidRDefault="00906A32">
      <w:r>
        <w:t xml:space="preserve">Phase 4: All metrics that are due to be collected one year after the launch of new </w:t>
      </w:r>
      <w:proofErr w:type="spellStart"/>
      <w:r>
        <w:t>gTLDs</w:t>
      </w:r>
      <w:proofErr w:type="spellEnd"/>
    </w:p>
    <w:p w14:paraId="458F7484" w14:textId="6234406D" w:rsidR="00183FC6" w:rsidRDefault="00183FC6">
      <w:r>
        <w:t>Phase 4A: Technical services and compliance metrics, October-December 2014</w:t>
      </w:r>
    </w:p>
    <w:p w14:paraId="5F267A72" w14:textId="3C81391D" w:rsidR="00183FC6" w:rsidRDefault="00183FC6">
      <w:r>
        <w:t>Phase 4B: Registry and registrar-related metrics, November 2014-January 2015</w:t>
      </w:r>
    </w:p>
    <w:p w14:paraId="09988DB6" w14:textId="4478D7A4" w:rsidR="00183FC6" w:rsidRDefault="00183FC6">
      <w:r>
        <w:t>Phase 4C: Consumer survey, qualitative studies, December 2014-February 2016</w:t>
      </w:r>
    </w:p>
    <w:tbl>
      <w:tblPr>
        <w:tblW w:w="0" w:type="auto"/>
        <w:tblInd w:w="-5" w:type="dxa"/>
        <w:tblLook w:val="04A0" w:firstRow="1" w:lastRow="0" w:firstColumn="1" w:lastColumn="0" w:noHBand="0" w:noVBand="1"/>
      </w:tblPr>
      <w:tblGrid>
        <w:gridCol w:w="935"/>
        <w:gridCol w:w="4762"/>
        <w:gridCol w:w="1331"/>
        <w:gridCol w:w="1058"/>
        <w:gridCol w:w="1274"/>
      </w:tblGrid>
      <w:tr w:rsidR="00A42F65" w:rsidRPr="00A42F65" w14:paraId="1E245C25" w14:textId="77777777" w:rsidTr="000F16C2">
        <w:trPr>
          <w:trHeight w:val="300"/>
        </w:trPr>
        <w:tc>
          <w:tcPr>
            <w:tcW w:w="0" w:type="auto"/>
            <w:gridSpan w:val="5"/>
            <w:tcBorders>
              <w:top w:val="nil"/>
              <w:left w:val="single" w:sz="4" w:space="0" w:color="auto"/>
              <w:bottom w:val="nil"/>
              <w:right w:val="nil"/>
            </w:tcBorders>
            <w:shd w:val="clear" w:color="auto" w:fill="auto"/>
            <w:noWrap/>
            <w:vAlign w:val="bottom"/>
            <w:hideMark/>
          </w:tcPr>
          <w:p w14:paraId="4B7D39EF" w14:textId="77777777" w:rsidR="00A42F65" w:rsidRPr="00A42F65" w:rsidRDefault="00A42F65" w:rsidP="00A42F65">
            <w:pPr>
              <w:spacing w:after="0" w:line="240" w:lineRule="auto"/>
              <w:rPr>
                <w:rFonts w:ascii="Calibri" w:eastAsia="Times New Roman" w:hAnsi="Calibri" w:cs="Times New Roman"/>
                <w:b/>
                <w:bCs/>
                <w:i/>
                <w:iCs/>
                <w:color w:val="000000"/>
              </w:rPr>
            </w:pPr>
            <w:r w:rsidRPr="00A42F65">
              <w:rPr>
                <w:rFonts w:ascii="Calibri" w:eastAsia="Times New Roman" w:hAnsi="Calibri" w:cs="Times New Roman"/>
                <w:b/>
                <w:bCs/>
                <w:i/>
                <w:iCs/>
                <w:color w:val="000000"/>
              </w:rPr>
              <w:t>Technical metrics</w:t>
            </w:r>
          </w:p>
        </w:tc>
      </w:tr>
      <w:tr w:rsidR="000A5ACE" w:rsidRPr="00A42F65" w14:paraId="4435D8FE" w14:textId="77777777" w:rsidTr="000F16C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EFB481" w14:textId="77777777" w:rsidR="00A42F65" w:rsidRPr="000F16C2" w:rsidRDefault="00A42F65" w:rsidP="00A42F65">
            <w:pPr>
              <w:spacing w:after="0" w:line="240" w:lineRule="auto"/>
              <w:rPr>
                <w:rFonts w:ascii="Calibri" w:eastAsia="Times New Roman" w:hAnsi="Calibri" w:cs="Times New Roman"/>
                <w:b/>
                <w:color w:val="000000"/>
              </w:rPr>
            </w:pPr>
            <w:r w:rsidRPr="000F16C2">
              <w:rPr>
                <w:rFonts w:ascii="Calibri" w:eastAsia="Times New Roman" w:hAnsi="Calibri" w:cs="Times New Roman"/>
                <w:b/>
                <w:color w:val="000000"/>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ECBA7D" w14:textId="77777777" w:rsidR="00A42F65" w:rsidRPr="000F16C2" w:rsidRDefault="00A42F65" w:rsidP="00A42F65">
            <w:pPr>
              <w:spacing w:after="0" w:line="240" w:lineRule="auto"/>
              <w:rPr>
                <w:rFonts w:ascii="Calibri" w:eastAsia="Times New Roman" w:hAnsi="Calibri" w:cs="Times New Roman"/>
                <w:b/>
                <w:color w:val="000000"/>
              </w:rPr>
            </w:pPr>
            <w:r w:rsidRPr="000F16C2">
              <w:rPr>
                <w:rFonts w:ascii="Calibri" w:eastAsia="Times New Roman" w:hAnsi="Calibri" w:cs="Times New Roman"/>
                <w:b/>
                <w:color w:val="000000"/>
              </w:rPr>
              <w:t>Description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DBB308B" w14:textId="77777777" w:rsidR="00A42F65" w:rsidRPr="000F16C2" w:rsidRDefault="00A42F65" w:rsidP="00A42F65">
            <w:pPr>
              <w:spacing w:after="0" w:line="240" w:lineRule="auto"/>
              <w:rPr>
                <w:rFonts w:ascii="Calibri" w:eastAsia="Times New Roman" w:hAnsi="Calibri" w:cs="Times New Roman"/>
                <w:b/>
                <w:color w:val="000000"/>
              </w:rPr>
            </w:pPr>
            <w:r w:rsidRPr="000F16C2">
              <w:rPr>
                <w:rFonts w:ascii="Calibri" w:eastAsia="Times New Roman" w:hAnsi="Calibri" w:cs="Times New Roman"/>
                <w:b/>
                <w:color w:val="000000"/>
              </w:rPr>
              <w:t>Category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4203E2" w14:textId="77777777" w:rsidR="00A42F65" w:rsidRPr="000F16C2" w:rsidRDefault="00A42F65" w:rsidP="00A42F65">
            <w:pPr>
              <w:spacing w:after="0" w:line="240" w:lineRule="auto"/>
              <w:rPr>
                <w:rFonts w:ascii="Calibri" w:eastAsia="Times New Roman" w:hAnsi="Calibri" w:cs="Times New Roman"/>
                <w:b/>
                <w:color w:val="000000"/>
              </w:rPr>
            </w:pPr>
            <w:r w:rsidRPr="000F16C2">
              <w:rPr>
                <w:rFonts w:ascii="Calibri" w:eastAsia="Times New Roman" w:hAnsi="Calibri" w:cs="Times New Roman"/>
                <w:b/>
                <w:color w:val="000000"/>
              </w:rPr>
              <w:t>Baseline phase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C9BE891" w14:textId="77777777" w:rsidR="00A42F65" w:rsidRPr="000F16C2" w:rsidRDefault="00A42F65" w:rsidP="00A42F65">
            <w:pPr>
              <w:spacing w:after="0" w:line="240" w:lineRule="auto"/>
              <w:rPr>
                <w:rFonts w:ascii="Calibri" w:eastAsia="Times New Roman" w:hAnsi="Calibri" w:cs="Times New Roman"/>
                <w:b/>
                <w:color w:val="000000"/>
              </w:rPr>
            </w:pPr>
            <w:r w:rsidRPr="000F16C2">
              <w:rPr>
                <w:rFonts w:ascii="Calibri" w:eastAsia="Times New Roman" w:hAnsi="Calibri" w:cs="Times New Roman"/>
                <w:b/>
                <w:color w:val="000000"/>
              </w:rPr>
              <w:t>General collection phase</w:t>
            </w:r>
          </w:p>
        </w:tc>
      </w:tr>
      <w:tr w:rsidR="000A5ACE" w:rsidRPr="00A42F65" w14:paraId="400589F4" w14:textId="77777777" w:rsidTr="000F16C2">
        <w:trPr>
          <w:trHeight w:val="332"/>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0D26BB4"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000000" w:fill="F2F2F2"/>
            <w:hideMark/>
          </w:tcPr>
          <w:p w14:paraId="037AB3A8"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DNS Service Availability (present SLA is 100%).</w:t>
            </w:r>
          </w:p>
        </w:tc>
        <w:tc>
          <w:tcPr>
            <w:tcW w:w="0" w:type="auto"/>
            <w:tcBorders>
              <w:top w:val="nil"/>
              <w:left w:val="nil"/>
              <w:bottom w:val="single" w:sz="4" w:space="0" w:color="auto"/>
              <w:right w:val="single" w:sz="4" w:space="0" w:color="auto"/>
            </w:tcBorders>
            <w:shd w:val="clear" w:color="000000" w:fill="F2F2F2"/>
            <w:noWrap/>
            <w:vAlign w:val="bottom"/>
            <w:hideMark/>
          </w:tcPr>
          <w:p w14:paraId="154AF0A7"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76FEE81E"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2C1BC29B"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3</w:t>
            </w:r>
          </w:p>
        </w:tc>
      </w:tr>
      <w:tr w:rsidR="000A5ACE" w:rsidRPr="00A42F65" w14:paraId="2510C14F" w14:textId="77777777" w:rsidTr="000F16C2">
        <w:trPr>
          <w:trHeight w:val="53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F8A20B8"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000000" w:fill="F2F2F2"/>
            <w:hideMark/>
          </w:tcPr>
          <w:p w14:paraId="61160CD5"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Availability for Registration Data Directory Services (RDDS).   (SLA is 98%).</w:t>
            </w:r>
          </w:p>
        </w:tc>
        <w:tc>
          <w:tcPr>
            <w:tcW w:w="0" w:type="auto"/>
            <w:tcBorders>
              <w:top w:val="nil"/>
              <w:left w:val="nil"/>
              <w:bottom w:val="single" w:sz="4" w:space="0" w:color="auto"/>
              <w:right w:val="single" w:sz="4" w:space="0" w:color="auto"/>
            </w:tcBorders>
            <w:shd w:val="clear" w:color="000000" w:fill="F2F2F2"/>
            <w:noWrap/>
            <w:vAlign w:val="bottom"/>
            <w:hideMark/>
          </w:tcPr>
          <w:p w14:paraId="25F726FD"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159F890F"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2459D36D"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3</w:t>
            </w:r>
          </w:p>
        </w:tc>
      </w:tr>
      <w:tr w:rsidR="000A5ACE" w:rsidRPr="00A42F65" w14:paraId="0C074DA1" w14:textId="77777777" w:rsidTr="000F16C2">
        <w:trPr>
          <w:trHeight w:val="170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ED4BCD5"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000000" w:fill="F2F2F2"/>
            <w:hideMark/>
          </w:tcPr>
          <w:p w14:paraId="125CF5A6"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of Service Availability for Shared Registration Services (SRS, using EPP).  (SLA is 98%).  Open TLDs only</w:t>
            </w:r>
          </w:p>
        </w:tc>
        <w:tc>
          <w:tcPr>
            <w:tcW w:w="0" w:type="auto"/>
            <w:tcBorders>
              <w:top w:val="nil"/>
              <w:left w:val="nil"/>
              <w:bottom w:val="single" w:sz="4" w:space="0" w:color="auto"/>
              <w:right w:val="single" w:sz="4" w:space="0" w:color="auto"/>
            </w:tcBorders>
            <w:shd w:val="clear" w:color="000000" w:fill="F2F2F2"/>
            <w:noWrap/>
            <w:vAlign w:val="bottom"/>
            <w:hideMark/>
          </w:tcPr>
          <w:p w14:paraId="1348929C"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622D3214"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7AE70713"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3</w:t>
            </w:r>
          </w:p>
        </w:tc>
      </w:tr>
      <w:tr w:rsidR="000A5ACE" w:rsidRPr="00A42F65" w14:paraId="6BFDD373" w14:textId="77777777" w:rsidTr="000F16C2">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F39D85B"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lastRenderedPageBreak/>
              <w:t>1.5</w:t>
            </w:r>
          </w:p>
        </w:tc>
        <w:tc>
          <w:tcPr>
            <w:tcW w:w="0" w:type="auto"/>
            <w:tcBorders>
              <w:top w:val="nil"/>
              <w:left w:val="nil"/>
              <w:bottom w:val="single" w:sz="4" w:space="0" w:color="auto"/>
              <w:right w:val="single" w:sz="4" w:space="0" w:color="auto"/>
            </w:tcBorders>
            <w:shd w:val="clear" w:color="000000" w:fill="F2F2F2"/>
            <w:hideMark/>
          </w:tcPr>
          <w:p w14:paraId="392DDDBF"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Uptime for Registrar services such as WHOIS, contact info, and complaints, assuming that SLAs are established for these measures in the new RAA.</w:t>
            </w:r>
          </w:p>
        </w:tc>
        <w:tc>
          <w:tcPr>
            <w:tcW w:w="0" w:type="auto"/>
            <w:tcBorders>
              <w:top w:val="nil"/>
              <w:left w:val="nil"/>
              <w:bottom w:val="single" w:sz="4" w:space="0" w:color="auto"/>
              <w:right w:val="single" w:sz="4" w:space="0" w:color="auto"/>
            </w:tcBorders>
            <w:shd w:val="clear" w:color="000000" w:fill="F2F2F2"/>
            <w:noWrap/>
            <w:vAlign w:val="bottom"/>
            <w:hideMark/>
          </w:tcPr>
          <w:p w14:paraId="2FA0B531"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4353D33F"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01DBE571"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4B</w:t>
            </w:r>
          </w:p>
        </w:tc>
      </w:tr>
      <w:tr w:rsidR="000A5ACE" w:rsidRPr="00A42F65" w14:paraId="646DC680" w14:textId="77777777" w:rsidTr="000F16C2">
        <w:trPr>
          <w:trHeight w:val="35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3A5D3DA"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1.21</w:t>
            </w:r>
          </w:p>
        </w:tc>
        <w:tc>
          <w:tcPr>
            <w:tcW w:w="0" w:type="auto"/>
            <w:tcBorders>
              <w:top w:val="nil"/>
              <w:left w:val="nil"/>
              <w:bottom w:val="single" w:sz="4" w:space="0" w:color="auto"/>
              <w:right w:val="single" w:sz="4" w:space="0" w:color="auto"/>
            </w:tcBorders>
            <w:shd w:val="clear" w:color="000000" w:fill="F2F2F2"/>
            <w:hideMark/>
          </w:tcPr>
          <w:p w14:paraId="0BBCF9FC"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xml:space="preserve">Relative incidence of errors in new </w:t>
            </w:r>
            <w:proofErr w:type="spellStart"/>
            <w:r w:rsidRPr="00A42F65">
              <w:rPr>
                <w:rFonts w:ascii="Calibri" w:eastAsia="Times New Roman" w:hAnsi="Calibri" w:cs="Times New Roman"/>
              </w:rPr>
              <w:t>gTLD</w:t>
            </w:r>
            <w:proofErr w:type="spellEnd"/>
            <w:r w:rsidRPr="00A42F65">
              <w:rPr>
                <w:rFonts w:ascii="Calibri" w:eastAsia="Times New Roman" w:hAnsi="Calibri" w:cs="Times New Roman"/>
              </w:rPr>
              <w:t xml:space="preserve"> zones. </w:t>
            </w:r>
          </w:p>
        </w:tc>
        <w:tc>
          <w:tcPr>
            <w:tcW w:w="0" w:type="auto"/>
            <w:tcBorders>
              <w:top w:val="nil"/>
              <w:left w:val="nil"/>
              <w:bottom w:val="single" w:sz="4" w:space="0" w:color="auto"/>
              <w:right w:val="single" w:sz="4" w:space="0" w:color="auto"/>
            </w:tcBorders>
            <w:shd w:val="clear" w:color="000000" w:fill="F2F2F2"/>
            <w:noWrap/>
            <w:vAlign w:val="bottom"/>
            <w:hideMark/>
          </w:tcPr>
          <w:p w14:paraId="6BCEFD54"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7ED975F9"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778FD866"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4A</w:t>
            </w:r>
          </w:p>
        </w:tc>
      </w:tr>
      <w:tr w:rsidR="000A5ACE" w:rsidRPr="00A42F65" w14:paraId="16ED556A" w14:textId="77777777" w:rsidTr="000F16C2">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26509AB"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2.10</w:t>
            </w:r>
          </w:p>
        </w:tc>
        <w:tc>
          <w:tcPr>
            <w:tcW w:w="0" w:type="auto"/>
            <w:tcBorders>
              <w:top w:val="nil"/>
              <w:left w:val="nil"/>
              <w:bottom w:val="single" w:sz="4" w:space="0" w:color="auto"/>
              <w:right w:val="single" w:sz="4" w:space="0" w:color="auto"/>
            </w:tcBorders>
            <w:shd w:val="clear" w:color="000000" w:fill="F2F2F2"/>
            <w:hideMark/>
          </w:tcPr>
          <w:p w14:paraId="5930D7E9"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xml:space="preserve">Automated analysis or online survey to determine the number of “duplicate” registrations in new </w:t>
            </w:r>
            <w:proofErr w:type="spellStart"/>
            <w:r w:rsidRPr="00A42F65">
              <w:rPr>
                <w:rFonts w:ascii="Calibri" w:eastAsia="Times New Roman" w:hAnsi="Calibri" w:cs="Times New Roman"/>
              </w:rPr>
              <w:t>gTLDs</w:t>
            </w:r>
            <w:proofErr w:type="spellEnd"/>
            <w:r w:rsidRPr="00A42F65">
              <w:rPr>
                <w:rFonts w:ascii="Calibri" w:eastAsia="Times New Roman" w:hAnsi="Calibri" w:cs="Times New Roman"/>
              </w:rPr>
              <w:t xml:space="preserve">. </w:t>
            </w:r>
          </w:p>
        </w:tc>
        <w:tc>
          <w:tcPr>
            <w:tcW w:w="0" w:type="auto"/>
            <w:tcBorders>
              <w:top w:val="nil"/>
              <w:left w:val="nil"/>
              <w:bottom w:val="single" w:sz="4" w:space="0" w:color="auto"/>
              <w:right w:val="single" w:sz="4" w:space="0" w:color="auto"/>
            </w:tcBorders>
            <w:shd w:val="clear" w:color="000000" w:fill="F2F2F2"/>
            <w:noWrap/>
            <w:vAlign w:val="bottom"/>
            <w:hideMark/>
          </w:tcPr>
          <w:p w14:paraId="41D7E9F9"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1337D79E"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605779ED"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4B</w:t>
            </w:r>
          </w:p>
        </w:tc>
      </w:tr>
      <w:tr w:rsidR="000A5ACE" w:rsidRPr="00A42F65" w14:paraId="70BFE6C7" w14:textId="77777777" w:rsidTr="000F16C2">
        <w:trPr>
          <w:trHeight w:val="134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9F26E98"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2.14</w:t>
            </w:r>
          </w:p>
        </w:tc>
        <w:tc>
          <w:tcPr>
            <w:tcW w:w="0" w:type="auto"/>
            <w:tcBorders>
              <w:top w:val="nil"/>
              <w:left w:val="nil"/>
              <w:bottom w:val="single" w:sz="4" w:space="0" w:color="auto"/>
              <w:right w:val="single" w:sz="4" w:space="0" w:color="auto"/>
            </w:tcBorders>
            <w:shd w:val="clear" w:color="000000" w:fill="F2F2F2"/>
            <w:hideMark/>
          </w:tcPr>
          <w:p w14:paraId="548981B4"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xml:space="preserve">DNS traffic in new </w:t>
            </w:r>
            <w:proofErr w:type="spellStart"/>
            <w:r w:rsidRPr="00A42F65">
              <w:rPr>
                <w:rFonts w:ascii="Calibri" w:eastAsia="Times New Roman" w:hAnsi="Calibri" w:cs="Times New Roman"/>
              </w:rPr>
              <w:t>gTLDs</w:t>
            </w:r>
            <w:proofErr w:type="spellEnd"/>
            <w:r w:rsidRPr="00A42F65">
              <w:rPr>
                <w:rFonts w:ascii="Calibri" w:eastAsia="Times New Roman" w:hAnsi="Calibri" w:cs="Times New Roman"/>
              </w:rPr>
              <w:t xml:space="preserve"> should be compared to contemporary user traffic in legacy </w:t>
            </w:r>
            <w:proofErr w:type="spellStart"/>
            <w:r w:rsidRPr="00A42F65">
              <w:rPr>
                <w:rFonts w:ascii="Calibri" w:eastAsia="Times New Roman" w:hAnsi="Calibri" w:cs="Times New Roman"/>
              </w:rPr>
              <w:t>gTLDs</w:t>
            </w:r>
            <w:proofErr w:type="spellEnd"/>
            <w:r w:rsidRPr="00A42F65">
              <w:rPr>
                <w:rFonts w:ascii="Calibri" w:eastAsia="Times New Roman" w:hAnsi="Calibri" w:cs="Times New Roman"/>
              </w:rPr>
              <w:t xml:space="preserve">. DNS traffic is an indicator of trust, choice, and competition. If comprehensive traffic data is not available, sampling should be used. </w:t>
            </w:r>
          </w:p>
        </w:tc>
        <w:tc>
          <w:tcPr>
            <w:tcW w:w="0" w:type="auto"/>
            <w:tcBorders>
              <w:top w:val="nil"/>
              <w:left w:val="nil"/>
              <w:bottom w:val="single" w:sz="4" w:space="0" w:color="auto"/>
              <w:right w:val="single" w:sz="4" w:space="0" w:color="auto"/>
            </w:tcBorders>
            <w:shd w:val="clear" w:color="000000" w:fill="F2F2F2"/>
            <w:noWrap/>
            <w:vAlign w:val="bottom"/>
            <w:hideMark/>
          </w:tcPr>
          <w:p w14:paraId="3A41B0FB"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052F57D1"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04489D1C"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4A</w:t>
            </w:r>
          </w:p>
        </w:tc>
      </w:tr>
      <w:tr w:rsidR="000A5ACE" w:rsidRPr="00A42F65" w14:paraId="6FD43D9B" w14:textId="77777777" w:rsidTr="000F16C2">
        <w:trPr>
          <w:trHeight w:val="61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D05558F"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4.4</w:t>
            </w:r>
          </w:p>
        </w:tc>
        <w:tc>
          <w:tcPr>
            <w:tcW w:w="0" w:type="auto"/>
            <w:tcBorders>
              <w:top w:val="nil"/>
              <w:left w:val="nil"/>
              <w:bottom w:val="single" w:sz="4" w:space="0" w:color="auto"/>
              <w:right w:val="single" w:sz="4" w:space="0" w:color="auto"/>
            </w:tcBorders>
            <w:shd w:val="clear" w:color="000000" w:fill="F2F2F2"/>
            <w:hideMark/>
          </w:tcPr>
          <w:p w14:paraId="20B00CC4"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Frequency of dead-end domains (registered but do not resolve)</w:t>
            </w:r>
          </w:p>
        </w:tc>
        <w:tc>
          <w:tcPr>
            <w:tcW w:w="0" w:type="auto"/>
            <w:tcBorders>
              <w:top w:val="nil"/>
              <w:left w:val="nil"/>
              <w:bottom w:val="single" w:sz="4" w:space="0" w:color="auto"/>
              <w:right w:val="single" w:sz="4" w:space="0" w:color="auto"/>
            </w:tcBorders>
            <w:shd w:val="clear" w:color="000000" w:fill="F2F2F2"/>
            <w:noWrap/>
            <w:vAlign w:val="bottom"/>
            <w:hideMark/>
          </w:tcPr>
          <w:p w14:paraId="1CE68F6D"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5419025E"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5E7CABB6"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r>
      <w:tr w:rsidR="000A5ACE" w:rsidRPr="00A42F65" w14:paraId="548A9B43" w14:textId="77777777" w:rsidTr="000F16C2">
        <w:trPr>
          <w:trHeight w:val="116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3C4C5101"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9.1</w:t>
            </w:r>
          </w:p>
        </w:tc>
        <w:tc>
          <w:tcPr>
            <w:tcW w:w="0" w:type="auto"/>
            <w:tcBorders>
              <w:top w:val="nil"/>
              <w:left w:val="nil"/>
              <w:bottom w:val="single" w:sz="4" w:space="0" w:color="auto"/>
              <w:right w:val="single" w:sz="4" w:space="0" w:color="auto"/>
            </w:tcBorders>
            <w:shd w:val="clear" w:color="000000" w:fill="F2F2F2"/>
            <w:hideMark/>
          </w:tcPr>
          <w:p w14:paraId="56CC6A34"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xml:space="preserve">Are end-user software applications capable of implementing all of the new </w:t>
            </w:r>
            <w:proofErr w:type="spellStart"/>
            <w:r w:rsidRPr="00A42F65">
              <w:rPr>
                <w:rFonts w:ascii="Calibri" w:eastAsia="Times New Roman" w:hAnsi="Calibri" w:cs="Times New Roman"/>
              </w:rPr>
              <w:t>gTLDs</w:t>
            </w:r>
            <w:proofErr w:type="spellEnd"/>
            <w:r w:rsidRPr="00A42F65">
              <w:rPr>
                <w:rFonts w:ascii="Calibri" w:eastAsia="Times New Roman" w:hAnsi="Calibri" w:cs="Times New Roman"/>
              </w:rPr>
              <w:t xml:space="preserve">; Can browsers and DNS clients in end-user systems resolve all new </w:t>
            </w:r>
            <w:proofErr w:type="spellStart"/>
            <w:r w:rsidRPr="00A42F65">
              <w:rPr>
                <w:rFonts w:ascii="Calibri" w:eastAsia="Times New Roman" w:hAnsi="Calibri" w:cs="Times New Roman"/>
              </w:rPr>
              <w:t>gTLDs</w:t>
            </w:r>
            <w:proofErr w:type="spellEnd"/>
          </w:p>
        </w:tc>
        <w:tc>
          <w:tcPr>
            <w:tcW w:w="0" w:type="auto"/>
            <w:tcBorders>
              <w:top w:val="nil"/>
              <w:left w:val="nil"/>
              <w:bottom w:val="single" w:sz="4" w:space="0" w:color="auto"/>
              <w:right w:val="single" w:sz="4" w:space="0" w:color="auto"/>
            </w:tcBorders>
            <w:shd w:val="clear" w:color="000000" w:fill="F2F2F2"/>
            <w:noWrap/>
            <w:vAlign w:val="bottom"/>
            <w:hideMark/>
          </w:tcPr>
          <w:p w14:paraId="7B133ABB"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BC12314"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2B6B7595"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4A</w:t>
            </w:r>
          </w:p>
        </w:tc>
      </w:tr>
      <w:tr w:rsidR="000A5ACE" w:rsidRPr="00A42F65" w14:paraId="300E35D8" w14:textId="77777777" w:rsidTr="000F16C2">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47333C7" w14:textId="77777777" w:rsidR="00A42F65" w:rsidRPr="00A42F65" w:rsidRDefault="00A42F65" w:rsidP="00A42F65">
            <w:pPr>
              <w:spacing w:after="0" w:line="240" w:lineRule="auto"/>
              <w:jc w:val="right"/>
              <w:rPr>
                <w:rFonts w:ascii="Calibri" w:eastAsia="Times New Roman" w:hAnsi="Calibri" w:cs="Times New Roman"/>
                <w:color w:val="000000"/>
              </w:rPr>
            </w:pPr>
            <w:r w:rsidRPr="00A42F65">
              <w:rPr>
                <w:rFonts w:ascii="Calibri" w:eastAsia="Times New Roman" w:hAnsi="Calibri" w:cs="Times New Roman"/>
                <w:color w:val="000000"/>
              </w:rPr>
              <w:t>9.2</w:t>
            </w:r>
          </w:p>
        </w:tc>
        <w:tc>
          <w:tcPr>
            <w:tcW w:w="0" w:type="auto"/>
            <w:tcBorders>
              <w:top w:val="nil"/>
              <w:left w:val="nil"/>
              <w:bottom w:val="single" w:sz="4" w:space="0" w:color="auto"/>
              <w:right w:val="single" w:sz="4" w:space="0" w:color="auto"/>
            </w:tcBorders>
            <w:shd w:val="clear" w:color="000000" w:fill="F2F2F2"/>
            <w:hideMark/>
          </w:tcPr>
          <w:p w14:paraId="32963C59" w14:textId="715601EA"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 xml:space="preserve">Which browsers or other end-user applications require plugins or user-installed enhancements in order to use new </w:t>
            </w:r>
            <w:proofErr w:type="spellStart"/>
            <w:r w:rsidRPr="00A42F65">
              <w:rPr>
                <w:rFonts w:ascii="Calibri" w:eastAsia="Times New Roman" w:hAnsi="Calibri" w:cs="Times New Roman"/>
              </w:rPr>
              <w:t>gTL</w:t>
            </w:r>
            <w:r>
              <w:rPr>
                <w:rFonts w:ascii="Calibri" w:eastAsia="Times New Roman" w:hAnsi="Calibri" w:cs="Times New Roman"/>
              </w:rPr>
              <w:t>Ds</w:t>
            </w:r>
            <w:proofErr w:type="spellEnd"/>
          </w:p>
        </w:tc>
        <w:tc>
          <w:tcPr>
            <w:tcW w:w="0" w:type="auto"/>
            <w:tcBorders>
              <w:top w:val="nil"/>
              <w:left w:val="nil"/>
              <w:bottom w:val="single" w:sz="4" w:space="0" w:color="auto"/>
              <w:right w:val="single" w:sz="4" w:space="0" w:color="auto"/>
            </w:tcBorders>
            <w:shd w:val="clear" w:color="000000" w:fill="F2F2F2"/>
            <w:noWrap/>
            <w:vAlign w:val="bottom"/>
            <w:hideMark/>
          </w:tcPr>
          <w:p w14:paraId="4896011E"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3DB5AD1F"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7DBF5433"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4A</w:t>
            </w:r>
          </w:p>
        </w:tc>
      </w:tr>
      <w:tr w:rsidR="000A5ACE" w:rsidRPr="00A42F65" w14:paraId="2DB63D3E" w14:textId="77777777" w:rsidTr="000F16C2">
        <w:trPr>
          <w:trHeight w:val="26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C346920" w14:textId="2B9751BD" w:rsidR="00A42F65" w:rsidRPr="00A42F65" w:rsidRDefault="00A42F65" w:rsidP="00A42F65">
            <w:pPr>
              <w:spacing w:after="0" w:line="240" w:lineRule="auto"/>
              <w:ind w:firstLineChars="200" w:firstLine="440"/>
              <w:rPr>
                <w:rFonts w:ascii="Calibri" w:eastAsia="Times New Roman" w:hAnsi="Calibri" w:cs="Times New Roman"/>
                <w:color w:val="000000"/>
              </w:rPr>
            </w:pPr>
            <w:r w:rsidRPr="00A42F65">
              <w:rPr>
                <w:rFonts w:ascii="Calibri" w:eastAsia="Times New Roman" w:hAnsi="Calibri" w:cs="Times New Roman"/>
                <w:color w:val="000000"/>
              </w:rPr>
              <w:t>9.3</w:t>
            </w:r>
          </w:p>
        </w:tc>
        <w:tc>
          <w:tcPr>
            <w:tcW w:w="0" w:type="auto"/>
            <w:tcBorders>
              <w:top w:val="nil"/>
              <w:left w:val="nil"/>
              <w:bottom w:val="single" w:sz="4" w:space="0" w:color="auto"/>
              <w:right w:val="single" w:sz="4" w:space="0" w:color="auto"/>
            </w:tcBorders>
            <w:shd w:val="clear" w:color="000000" w:fill="F2F2F2"/>
            <w:hideMark/>
          </w:tcPr>
          <w:p w14:paraId="71B1B94E" w14:textId="77777777" w:rsidR="00A42F65" w:rsidRPr="00A42F65" w:rsidRDefault="00A42F65" w:rsidP="00A42F65">
            <w:pPr>
              <w:spacing w:after="0" w:line="240" w:lineRule="auto"/>
              <w:rPr>
                <w:rFonts w:ascii="Calibri" w:eastAsia="Times New Roman" w:hAnsi="Calibri" w:cs="Times New Roman"/>
              </w:rPr>
            </w:pPr>
            <w:r w:rsidRPr="00A42F65">
              <w:rPr>
                <w:rFonts w:ascii="Calibri" w:eastAsia="Times New Roman" w:hAnsi="Calibri" w:cs="Times New Roman"/>
              </w:rPr>
              <w:t>Number of reports of name collisions</w:t>
            </w:r>
          </w:p>
        </w:tc>
        <w:tc>
          <w:tcPr>
            <w:tcW w:w="0" w:type="auto"/>
            <w:tcBorders>
              <w:top w:val="nil"/>
              <w:left w:val="nil"/>
              <w:bottom w:val="single" w:sz="4" w:space="0" w:color="auto"/>
              <w:right w:val="single" w:sz="4" w:space="0" w:color="auto"/>
            </w:tcBorders>
            <w:shd w:val="clear" w:color="000000" w:fill="F2F2F2"/>
            <w:noWrap/>
            <w:vAlign w:val="bottom"/>
            <w:hideMark/>
          </w:tcPr>
          <w:p w14:paraId="4A1EC685"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19B2A66C"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75A7495C" w14:textId="77777777" w:rsidR="00A42F65" w:rsidRPr="00A42F65" w:rsidRDefault="00A42F65" w:rsidP="00A42F65">
            <w:pPr>
              <w:spacing w:after="0" w:line="240" w:lineRule="auto"/>
              <w:rPr>
                <w:rFonts w:ascii="Calibri" w:eastAsia="Times New Roman" w:hAnsi="Calibri" w:cs="Times New Roman"/>
                <w:color w:val="000000"/>
              </w:rPr>
            </w:pPr>
            <w:r w:rsidRPr="00A42F65">
              <w:rPr>
                <w:rFonts w:ascii="Calibri" w:eastAsia="Times New Roman" w:hAnsi="Calibri" w:cs="Times New Roman"/>
                <w:color w:val="000000"/>
              </w:rPr>
              <w:t>4A</w:t>
            </w:r>
          </w:p>
        </w:tc>
      </w:tr>
      <w:tr w:rsidR="00E62660" w:rsidRPr="00E62660" w14:paraId="36B80BB3" w14:textId="77777777" w:rsidTr="000F16C2">
        <w:trPr>
          <w:trHeight w:val="300"/>
        </w:trPr>
        <w:tc>
          <w:tcPr>
            <w:tcW w:w="0" w:type="auto"/>
            <w:gridSpan w:val="5"/>
            <w:tcBorders>
              <w:top w:val="nil"/>
              <w:left w:val="nil"/>
              <w:bottom w:val="nil"/>
              <w:right w:val="nil"/>
            </w:tcBorders>
            <w:shd w:val="clear" w:color="auto" w:fill="auto"/>
            <w:noWrap/>
            <w:vAlign w:val="bottom"/>
            <w:hideMark/>
          </w:tcPr>
          <w:p w14:paraId="49331141" w14:textId="77777777" w:rsidR="000F16C2" w:rsidRDefault="000F16C2" w:rsidP="00E62660">
            <w:pPr>
              <w:spacing w:after="0" w:line="240" w:lineRule="auto"/>
              <w:rPr>
                <w:rFonts w:ascii="Calibri" w:eastAsia="Times New Roman" w:hAnsi="Calibri" w:cs="Times New Roman"/>
                <w:b/>
                <w:bCs/>
                <w:i/>
                <w:iCs/>
                <w:color w:val="000000"/>
              </w:rPr>
            </w:pPr>
          </w:p>
          <w:p w14:paraId="2C2586FB" w14:textId="77777777" w:rsidR="00E62660" w:rsidRPr="00E62660" w:rsidRDefault="00E62660" w:rsidP="00E62660">
            <w:pPr>
              <w:spacing w:after="0" w:line="240" w:lineRule="auto"/>
              <w:rPr>
                <w:rFonts w:ascii="Calibri" w:eastAsia="Times New Roman" w:hAnsi="Calibri" w:cs="Times New Roman"/>
                <w:b/>
                <w:bCs/>
                <w:i/>
                <w:iCs/>
                <w:color w:val="000000"/>
              </w:rPr>
            </w:pPr>
            <w:r w:rsidRPr="00E62660">
              <w:rPr>
                <w:rFonts w:ascii="Calibri" w:eastAsia="Times New Roman" w:hAnsi="Calibri" w:cs="Times New Roman"/>
                <w:b/>
                <w:bCs/>
                <w:i/>
                <w:iCs/>
                <w:color w:val="000000"/>
              </w:rPr>
              <w:t>Registration data</w:t>
            </w:r>
          </w:p>
        </w:tc>
      </w:tr>
      <w:tr w:rsidR="00E62660" w:rsidRPr="00E62660" w14:paraId="249BD1A1" w14:textId="77777777" w:rsidTr="000F16C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A59490"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4413D8A"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Description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5E2C02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Category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6F397E0"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Baseline phase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A164D2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General collection phase</w:t>
            </w:r>
          </w:p>
        </w:tc>
      </w:tr>
      <w:tr w:rsidR="00E62660" w:rsidRPr="00E62660" w14:paraId="4CA0BAC4" w14:textId="77777777" w:rsidTr="000F16C2">
        <w:trPr>
          <w:trHeight w:val="872"/>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8C5C0E5"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2.11</w:t>
            </w:r>
          </w:p>
        </w:tc>
        <w:tc>
          <w:tcPr>
            <w:tcW w:w="0" w:type="auto"/>
            <w:tcBorders>
              <w:top w:val="nil"/>
              <w:left w:val="nil"/>
              <w:bottom w:val="single" w:sz="4" w:space="0" w:color="auto"/>
              <w:right w:val="single" w:sz="4" w:space="0" w:color="auto"/>
            </w:tcBorders>
            <w:shd w:val="clear" w:color="000000" w:fill="F2F2F2"/>
            <w:hideMark/>
          </w:tcPr>
          <w:p w14:paraId="2585B589"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Measure the increased geographic diversity of registrants across all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as indication of new choices created by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expansion. </w:t>
            </w:r>
          </w:p>
        </w:tc>
        <w:tc>
          <w:tcPr>
            <w:tcW w:w="0" w:type="auto"/>
            <w:tcBorders>
              <w:top w:val="nil"/>
              <w:left w:val="nil"/>
              <w:bottom w:val="single" w:sz="4" w:space="0" w:color="auto"/>
              <w:right w:val="single" w:sz="4" w:space="0" w:color="auto"/>
            </w:tcBorders>
            <w:shd w:val="clear" w:color="000000" w:fill="F2F2F2"/>
            <w:noWrap/>
            <w:vAlign w:val="bottom"/>
            <w:hideMark/>
          </w:tcPr>
          <w:p w14:paraId="1591FFE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1D13A83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162961F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4E330ABB" w14:textId="77777777" w:rsidTr="000F16C2">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D29D03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2.4</w:t>
            </w:r>
          </w:p>
        </w:tc>
        <w:tc>
          <w:tcPr>
            <w:tcW w:w="0" w:type="auto"/>
            <w:tcBorders>
              <w:top w:val="nil"/>
              <w:left w:val="nil"/>
              <w:bottom w:val="single" w:sz="4" w:space="0" w:color="auto"/>
              <w:right w:val="single" w:sz="4" w:space="0" w:color="auto"/>
            </w:tcBorders>
            <w:shd w:val="clear" w:color="000000" w:fill="F2F2F2"/>
            <w:hideMark/>
          </w:tcPr>
          <w:p w14:paraId="58258DBE"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Quantity of TLDs using IDN scripts or languages other than English.</w:t>
            </w:r>
          </w:p>
        </w:tc>
        <w:tc>
          <w:tcPr>
            <w:tcW w:w="0" w:type="auto"/>
            <w:tcBorders>
              <w:top w:val="nil"/>
              <w:left w:val="nil"/>
              <w:bottom w:val="single" w:sz="4" w:space="0" w:color="auto"/>
              <w:right w:val="single" w:sz="4" w:space="0" w:color="auto"/>
            </w:tcBorders>
            <w:shd w:val="clear" w:color="000000" w:fill="F2F2F2"/>
            <w:noWrap/>
            <w:vAlign w:val="bottom"/>
            <w:hideMark/>
          </w:tcPr>
          <w:p w14:paraId="33BBA1F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404168C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285E8C2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3B4477D5" w14:textId="77777777" w:rsidTr="000F16C2">
        <w:trPr>
          <w:trHeight w:val="62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72F96FB"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2.5</w:t>
            </w:r>
          </w:p>
        </w:tc>
        <w:tc>
          <w:tcPr>
            <w:tcW w:w="0" w:type="auto"/>
            <w:tcBorders>
              <w:top w:val="nil"/>
              <w:left w:val="nil"/>
              <w:bottom w:val="single" w:sz="4" w:space="0" w:color="auto"/>
              <w:right w:val="single" w:sz="4" w:space="0" w:color="auto"/>
            </w:tcBorders>
            <w:shd w:val="clear" w:color="000000" w:fill="F2F2F2"/>
            <w:hideMark/>
          </w:tcPr>
          <w:p w14:paraId="17BFD601"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Quantity of Registrar websites offering IDN scripts or languages other than English.</w:t>
            </w:r>
          </w:p>
        </w:tc>
        <w:tc>
          <w:tcPr>
            <w:tcW w:w="0" w:type="auto"/>
            <w:tcBorders>
              <w:top w:val="nil"/>
              <w:left w:val="nil"/>
              <w:bottom w:val="single" w:sz="4" w:space="0" w:color="auto"/>
              <w:right w:val="single" w:sz="4" w:space="0" w:color="auto"/>
            </w:tcBorders>
            <w:shd w:val="clear" w:color="000000" w:fill="F2F2F2"/>
            <w:noWrap/>
            <w:vAlign w:val="bottom"/>
            <w:hideMark/>
          </w:tcPr>
          <w:p w14:paraId="3581AE65"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4B0C1DD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2AE200C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0D065F8A" w14:textId="77777777" w:rsidTr="000F16C2">
        <w:trPr>
          <w:trHeight w:val="8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CB6004B"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2.6</w:t>
            </w:r>
          </w:p>
        </w:tc>
        <w:tc>
          <w:tcPr>
            <w:tcW w:w="0" w:type="auto"/>
            <w:tcBorders>
              <w:top w:val="nil"/>
              <w:left w:val="nil"/>
              <w:bottom w:val="single" w:sz="4" w:space="0" w:color="auto"/>
              <w:right w:val="single" w:sz="4" w:space="0" w:color="auto"/>
            </w:tcBorders>
            <w:shd w:val="clear" w:color="000000" w:fill="F2F2F2"/>
            <w:hideMark/>
          </w:tcPr>
          <w:p w14:paraId="7D3615E2"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The number of registrations in IDN TLDs as compared to the total number of registrations in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Measure growth over time.</w:t>
            </w:r>
          </w:p>
        </w:tc>
        <w:tc>
          <w:tcPr>
            <w:tcW w:w="0" w:type="auto"/>
            <w:tcBorders>
              <w:top w:val="nil"/>
              <w:left w:val="nil"/>
              <w:bottom w:val="single" w:sz="4" w:space="0" w:color="auto"/>
              <w:right w:val="single" w:sz="4" w:space="0" w:color="auto"/>
            </w:tcBorders>
            <w:shd w:val="clear" w:color="000000" w:fill="F2F2F2"/>
            <w:noWrap/>
            <w:vAlign w:val="bottom"/>
            <w:hideMark/>
          </w:tcPr>
          <w:p w14:paraId="1EF27AB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575B4D0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64A79B8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3C50E05C" w14:textId="77777777" w:rsidTr="000F16C2">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88BEE4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2.7</w:t>
            </w:r>
          </w:p>
        </w:tc>
        <w:tc>
          <w:tcPr>
            <w:tcW w:w="0" w:type="auto"/>
            <w:tcBorders>
              <w:top w:val="nil"/>
              <w:left w:val="nil"/>
              <w:bottom w:val="single" w:sz="4" w:space="0" w:color="auto"/>
              <w:right w:val="single" w:sz="4" w:space="0" w:color="auto"/>
            </w:tcBorders>
            <w:shd w:val="clear" w:color="000000" w:fill="F2F2F2"/>
            <w:hideMark/>
          </w:tcPr>
          <w:p w14:paraId="3B40D5A9"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different national legal regimes where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Registry Operators are based.</w:t>
            </w:r>
          </w:p>
        </w:tc>
        <w:tc>
          <w:tcPr>
            <w:tcW w:w="0" w:type="auto"/>
            <w:tcBorders>
              <w:top w:val="nil"/>
              <w:left w:val="nil"/>
              <w:bottom w:val="single" w:sz="4" w:space="0" w:color="auto"/>
              <w:right w:val="single" w:sz="4" w:space="0" w:color="auto"/>
            </w:tcBorders>
            <w:shd w:val="clear" w:color="000000" w:fill="F2F2F2"/>
            <w:noWrap/>
            <w:vAlign w:val="bottom"/>
            <w:hideMark/>
          </w:tcPr>
          <w:p w14:paraId="4151934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718AFCC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7C113CA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4FE52EBB" w14:textId="77777777" w:rsidTr="000F16C2">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5BBEF7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2.8</w:t>
            </w:r>
          </w:p>
        </w:tc>
        <w:tc>
          <w:tcPr>
            <w:tcW w:w="0" w:type="auto"/>
            <w:tcBorders>
              <w:top w:val="nil"/>
              <w:left w:val="nil"/>
              <w:bottom w:val="single" w:sz="4" w:space="0" w:color="auto"/>
              <w:right w:val="single" w:sz="4" w:space="0" w:color="auto"/>
            </w:tcBorders>
            <w:shd w:val="clear" w:color="000000" w:fill="F2F2F2"/>
            <w:hideMark/>
          </w:tcPr>
          <w:p w14:paraId="15DF1528"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Measure share of Sunrise registrations &amp; domain blocks to total registrations in each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2A3B605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42EBEE61"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24D3F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4A95BF17" w14:textId="77777777" w:rsidTr="000F16C2">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63EA12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lastRenderedPageBreak/>
              <w:t>2.9</w:t>
            </w:r>
          </w:p>
        </w:tc>
        <w:tc>
          <w:tcPr>
            <w:tcW w:w="0" w:type="auto"/>
            <w:tcBorders>
              <w:top w:val="nil"/>
              <w:left w:val="nil"/>
              <w:bottom w:val="single" w:sz="4" w:space="0" w:color="auto"/>
              <w:right w:val="single" w:sz="4" w:space="0" w:color="auto"/>
            </w:tcBorders>
            <w:shd w:val="clear" w:color="000000" w:fill="F2F2F2"/>
            <w:hideMark/>
          </w:tcPr>
          <w:p w14:paraId="4BB98AF2"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Relative share of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registrations already having the same domain in legacy TLDs prior to expansion.</w:t>
            </w:r>
          </w:p>
        </w:tc>
        <w:tc>
          <w:tcPr>
            <w:tcW w:w="0" w:type="auto"/>
            <w:tcBorders>
              <w:top w:val="nil"/>
              <w:left w:val="nil"/>
              <w:bottom w:val="single" w:sz="4" w:space="0" w:color="auto"/>
              <w:right w:val="single" w:sz="4" w:space="0" w:color="auto"/>
            </w:tcBorders>
            <w:shd w:val="clear" w:color="000000" w:fill="F2F2F2"/>
            <w:noWrap/>
            <w:vAlign w:val="bottom"/>
            <w:hideMark/>
          </w:tcPr>
          <w:p w14:paraId="281432B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29EA774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22EF1F70"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5BC87D15" w14:textId="77777777" w:rsidTr="000F16C2">
        <w:trPr>
          <w:trHeight w:val="35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DD0A00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3.1</w:t>
            </w:r>
          </w:p>
        </w:tc>
        <w:tc>
          <w:tcPr>
            <w:tcW w:w="0" w:type="auto"/>
            <w:tcBorders>
              <w:top w:val="nil"/>
              <w:left w:val="nil"/>
              <w:bottom w:val="single" w:sz="4" w:space="0" w:color="auto"/>
              <w:right w:val="single" w:sz="4" w:space="0" w:color="auto"/>
            </w:tcBorders>
            <w:shd w:val="clear" w:color="000000" w:fill="F2F2F2"/>
            <w:hideMark/>
          </w:tcPr>
          <w:p w14:paraId="77993CF5"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Quantity of total TLDs before and after expansion.</w:t>
            </w:r>
          </w:p>
        </w:tc>
        <w:tc>
          <w:tcPr>
            <w:tcW w:w="0" w:type="auto"/>
            <w:tcBorders>
              <w:top w:val="nil"/>
              <w:left w:val="nil"/>
              <w:bottom w:val="single" w:sz="4" w:space="0" w:color="auto"/>
              <w:right w:val="single" w:sz="4" w:space="0" w:color="auto"/>
            </w:tcBorders>
            <w:shd w:val="clear" w:color="000000" w:fill="F2F2F2"/>
            <w:noWrap/>
            <w:vAlign w:val="bottom"/>
            <w:hideMark/>
          </w:tcPr>
          <w:p w14:paraId="4CC4773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281E6EB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328963D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r>
      <w:tr w:rsidR="00E62660" w:rsidRPr="00E62660" w14:paraId="5EFDF749" w14:textId="77777777" w:rsidTr="000F16C2">
        <w:trPr>
          <w:trHeight w:val="34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35737522"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3.2</w:t>
            </w:r>
          </w:p>
        </w:tc>
        <w:tc>
          <w:tcPr>
            <w:tcW w:w="0" w:type="auto"/>
            <w:tcBorders>
              <w:top w:val="nil"/>
              <w:left w:val="nil"/>
              <w:bottom w:val="single" w:sz="4" w:space="0" w:color="auto"/>
              <w:right w:val="single" w:sz="4" w:space="0" w:color="auto"/>
            </w:tcBorders>
            <w:shd w:val="clear" w:color="000000" w:fill="F2F2F2"/>
            <w:hideMark/>
          </w:tcPr>
          <w:p w14:paraId="29615F69"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before and after expansion.</w:t>
            </w:r>
          </w:p>
        </w:tc>
        <w:tc>
          <w:tcPr>
            <w:tcW w:w="0" w:type="auto"/>
            <w:tcBorders>
              <w:top w:val="nil"/>
              <w:left w:val="nil"/>
              <w:bottom w:val="single" w:sz="4" w:space="0" w:color="auto"/>
              <w:right w:val="single" w:sz="4" w:space="0" w:color="auto"/>
            </w:tcBorders>
            <w:shd w:val="clear" w:color="000000" w:fill="F2F2F2"/>
            <w:noWrap/>
            <w:vAlign w:val="bottom"/>
            <w:hideMark/>
          </w:tcPr>
          <w:p w14:paraId="1796129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7354F835"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1DC30E0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55174350" w14:textId="77777777" w:rsidTr="000F16C2">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0049611"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3.3</w:t>
            </w:r>
          </w:p>
        </w:tc>
        <w:tc>
          <w:tcPr>
            <w:tcW w:w="0" w:type="auto"/>
            <w:tcBorders>
              <w:top w:val="nil"/>
              <w:left w:val="nil"/>
              <w:bottom w:val="single" w:sz="4" w:space="0" w:color="auto"/>
              <w:right w:val="single" w:sz="4" w:space="0" w:color="auto"/>
            </w:tcBorders>
            <w:shd w:val="clear" w:color="000000" w:fill="F2F2F2"/>
            <w:hideMark/>
          </w:tcPr>
          <w:p w14:paraId="5AFDEF41"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unique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Registry Operators before and after expansion.</w:t>
            </w:r>
          </w:p>
        </w:tc>
        <w:tc>
          <w:tcPr>
            <w:tcW w:w="0" w:type="auto"/>
            <w:tcBorders>
              <w:top w:val="nil"/>
              <w:left w:val="nil"/>
              <w:bottom w:val="single" w:sz="4" w:space="0" w:color="auto"/>
              <w:right w:val="single" w:sz="4" w:space="0" w:color="auto"/>
            </w:tcBorders>
            <w:shd w:val="clear" w:color="000000" w:fill="F2F2F2"/>
            <w:noWrap/>
            <w:vAlign w:val="bottom"/>
            <w:hideMark/>
          </w:tcPr>
          <w:p w14:paraId="5AD06BBA"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08C1939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0548CE1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67F81399" w14:textId="77777777" w:rsidTr="000F16C2">
        <w:trPr>
          <w:trHeight w:val="53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87E30A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3.4</w:t>
            </w:r>
          </w:p>
        </w:tc>
        <w:tc>
          <w:tcPr>
            <w:tcW w:w="0" w:type="auto"/>
            <w:tcBorders>
              <w:top w:val="nil"/>
              <w:left w:val="nil"/>
              <w:bottom w:val="single" w:sz="4" w:space="0" w:color="auto"/>
              <w:right w:val="single" w:sz="4" w:space="0" w:color="auto"/>
            </w:tcBorders>
            <w:shd w:val="clear" w:color="000000" w:fill="F2F2F2"/>
            <w:hideMark/>
          </w:tcPr>
          <w:p w14:paraId="1C1E23CF"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unique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Registry Service Providers before and after expansion.</w:t>
            </w:r>
          </w:p>
        </w:tc>
        <w:tc>
          <w:tcPr>
            <w:tcW w:w="0" w:type="auto"/>
            <w:tcBorders>
              <w:top w:val="nil"/>
              <w:left w:val="nil"/>
              <w:bottom w:val="single" w:sz="4" w:space="0" w:color="auto"/>
              <w:right w:val="single" w:sz="4" w:space="0" w:color="auto"/>
            </w:tcBorders>
            <w:shd w:val="clear" w:color="000000" w:fill="F2F2F2"/>
            <w:noWrap/>
            <w:vAlign w:val="bottom"/>
            <w:hideMark/>
          </w:tcPr>
          <w:p w14:paraId="4B50704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67F0107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7FB543D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68C0F7F3" w14:textId="77777777" w:rsidTr="000F16C2">
        <w:trPr>
          <w:trHeight w:val="107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3314D0E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3.5</w:t>
            </w:r>
          </w:p>
        </w:tc>
        <w:tc>
          <w:tcPr>
            <w:tcW w:w="0" w:type="auto"/>
            <w:tcBorders>
              <w:top w:val="nil"/>
              <w:left w:val="nil"/>
              <w:bottom w:val="single" w:sz="4" w:space="0" w:color="auto"/>
              <w:right w:val="single" w:sz="4" w:space="0" w:color="auto"/>
            </w:tcBorders>
            <w:shd w:val="clear" w:color="000000" w:fill="F2F2F2"/>
            <w:hideMark/>
          </w:tcPr>
          <w:p w14:paraId="409E7B6B"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Registrars5 before and after expansion, along with indication of country where Registrar is based.  This measure should count only registrars distributing Open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1AF1816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3DFD20F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32E7269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4CC22AA5" w14:textId="77777777" w:rsidTr="000F16C2">
        <w:trPr>
          <w:trHeight w:val="160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DF517D8"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3.6</w:t>
            </w:r>
          </w:p>
        </w:tc>
        <w:tc>
          <w:tcPr>
            <w:tcW w:w="0" w:type="auto"/>
            <w:tcBorders>
              <w:top w:val="nil"/>
              <w:left w:val="nil"/>
              <w:bottom w:val="single" w:sz="4" w:space="0" w:color="auto"/>
              <w:right w:val="single" w:sz="4" w:space="0" w:color="auto"/>
            </w:tcBorders>
            <w:shd w:val="clear" w:color="000000" w:fill="F2F2F2"/>
            <w:hideMark/>
          </w:tcPr>
          <w:p w14:paraId="4EA088E4"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Relative share of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registrations held by “new entrants”.  For purposes of this measure, “new entrants” are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run by Registry Operators that did not operate a legacy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A "new entrant" is one whose ownership is not among owners of legacy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registries.  </w:t>
            </w:r>
          </w:p>
        </w:tc>
        <w:tc>
          <w:tcPr>
            <w:tcW w:w="0" w:type="auto"/>
            <w:tcBorders>
              <w:top w:val="nil"/>
              <w:left w:val="nil"/>
              <w:bottom w:val="single" w:sz="4" w:space="0" w:color="auto"/>
              <w:right w:val="single" w:sz="4" w:space="0" w:color="auto"/>
            </w:tcBorders>
            <w:shd w:val="clear" w:color="000000" w:fill="F2F2F2"/>
            <w:noWrap/>
            <w:vAlign w:val="bottom"/>
            <w:hideMark/>
          </w:tcPr>
          <w:p w14:paraId="7FB0815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315F0A1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2613481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33C30312" w14:textId="77777777" w:rsidTr="000F16C2">
        <w:trPr>
          <w:trHeight w:val="17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FEAD8E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3.7</w:t>
            </w:r>
          </w:p>
        </w:tc>
        <w:tc>
          <w:tcPr>
            <w:tcW w:w="0" w:type="auto"/>
            <w:tcBorders>
              <w:top w:val="nil"/>
              <w:left w:val="nil"/>
              <w:bottom w:val="single" w:sz="4" w:space="0" w:color="auto"/>
              <w:right w:val="single" w:sz="4" w:space="0" w:color="auto"/>
            </w:tcBorders>
            <w:shd w:val="clear" w:color="000000" w:fill="F2F2F2"/>
            <w:hideMark/>
          </w:tcPr>
          <w:p w14:paraId="7F90E5E5"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To assess competitive impact of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measure the quantity of second level registrations per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and </w:t>
            </w:r>
            <w:proofErr w:type="spellStart"/>
            <w:r w:rsidRPr="00E62660">
              <w:rPr>
                <w:rFonts w:ascii="Calibri" w:eastAsia="Times New Roman" w:hAnsi="Calibri" w:cs="Times New Roman"/>
              </w:rPr>
              <w:t>ccTLD</w:t>
            </w:r>
            <w:proofErr w:type="spellEnd"/>
            <w:r w:rsidRPr="00E62660">
              <w:rPr>
                <w:rFonts w:ascii="Calibri" w:eastAsia="Times New Roman" w:hAnsi="Calibri" w:cs="Times New Roman"/>
              </w:rPr>
              <w:t xml:space="preserve"> on a weekly or other interval. TLD attributes should be noted with the data (i.e. open TLDs, closed keyword TLDs, registration, country of operations, single registrant, etc.).  </w:t>
            </w:r>
          </w:p>
        </w:tc>
        <w:tc>
          <w:tcPr>
            <w:tcW w:w="0" w:type="auto"/>
            <w:tcBorders>
              <w:top w:val="nil"/>
              <w:left w:val="nil"/>
              <w:bottom w:val="single" w:sz="4" w:space="0" w:color="auto"/>
              <w:right w:val="single" w:sz="4" w:space="0" w:color="auto"/>
            </w:tcBorders>
            <w:shd w:val="clear" w:color="000000" w:fill="F2F2F2"/>
            <w:noWrap/>
            <w:vAlign w:val="bottom"/>
            <w:hideMark/>
          </w:tcPr>
          <w:p w14:paraId="74D06E4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7B24D118"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4E76846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3CD83B75" w14:textId="77777777" w:rsidTr="000F16C2">
        <w:trPr>
          <w:trHeight w:val="17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B59893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3.8</w:t>
            </w:r>
          </w:p>
        </w:tc>
        <w:tc>
          <w:tcPr>
            <w:tcW w:w="0" w:type="auto"/>
            <w:tcBorders>
              <w:top w:val="nil"/>
              <w:left w:val="nil"/>
              <w:bottom w:val="single" w:sz="4" w:space="0" w:color="auto"/>
              <w:right w:val="single" w:sz="4" w:space="0" w:color="auto"/>
            </w:tcBorders>
            <w:shd w:val="clear" w:color="000000" w:fill="F2F2F2"/>
            <w:hideMark/>
          </w:tcPr>
          <w:p w14:paraId="14F25F0C"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“unique” second level registrations in the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space where that same string does not appear as a registration in any other TLD on a weekly or other interval basis (data analyzed in conjunction with website traffic identified in Choice).  Open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only.</w:t>
            </w:r>
          </w:p>
        </w:tc>
        <w:tc>
          <w:tcPr>
            <w:tcW w:w="0" w:type="auto"/>
            <w:tcBorders>
              <w:top w:val="nil"/>
              <w:left w:val="nil"/>
              <w:bottom w:val="single" w:sz="4" w:space="0" w:color="auto"/>
              <w:right w:val="single" w:sz="4" w:space="0" w:color="auto"/>
            </w:tcBorders>
            <w:shd w:val="clear" w:color="000000" w:fill="F2F2F2"/>
            <w:noWrap/>
            <w:vAlign w:val="bottom"/>
            <w:hideMark/>
          </w:tcPr>
          <w:p w14:paraId="3135153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5C7ADDB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991C1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2E22BA8D" w14:textId="77777777" w:rsidTr="000F16C2">
        <w:trPr>
          <w:trHeight w:val="35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E6DD6E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000000" w:fill="F2F2F2"/>
            <w:hideMark/>
          </w:tcPr>
          <w:p w14:paraId="66D9A512"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Growth in registrations in </w:t>
            </w:r>
            <w:proofErr w:type="spellStart"/>
            <w:r w:rsidRPr="00E62660">
              <w:rPr>
                <w:rFonts w:ascii="Calibri" w:eastAsia="Times New Roman" w:hAnsi="Calibri" w:cs="Times New Roman"/>
              </w:rPr>
              <w:t>ccTLDs</w:t>
            </w:r>
            <w:proofErr w:type="spellEnd"/>
            <w:r w:rsidRPr="00E62660">
              <w:rPr>
                <w:rFonts w:ascii="Calibri" w:eastAsia="Times New Roman" w:hAnsi="Calibri" w:cs="Times New Roman"/>
              </w:rPr>
              <w:t xml:space="preserve"> relative to </w:t>
            </w:r>
            <w:proofErr w:type="spellStart"/>
            <w:r w:rsidRPr="00E62660">
              <w:rPr>
                <w:rFonts w:ascii="Calibri" w:eastAsia="Times New Roman" w:hAnsi="Calibri" w:cs="Times New Roman"/>
              </w:rPr>
              <w:t>gTLDs</w:t>
            </w:r>
            <w:proofErr w:type="spellEnd"/>
          </w:p>
        </w:tc>
        <w:tc>
          <w:tcPr>
            <w:tcW w:w="0" w:type="auto"/>
            <w:tcBorders>
              <w:top w:val="nil"/>
              <w:left w:val="nil"/>
              <w:bottom w:val="single" w:sz="4" w:space="0" w:color="auto"/>
              <w:right w:val="single" w:sz="4" w:space="0" w:color="auto"/>
            </w:tcBorders>
            <w:shd w:val="clear" w:color="000000" w:fill="F2F2F2"/>
            <w:noWrap/>
            <w:vAlign w:val="bottom"/>
            <w:hideMark/>
          </w:tcPr>
          <w:p w14:paraId="469E7EE0"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4976415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58B4E0D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160A1E8D" w14:textId="77777777" w:rsidTr="000F16C2">
        <w:trPr>
          <w:trHeight w:val="53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55B854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7.1</w:t>
            </w:r>
          </w:p>
        </w:tc>
        <w:tc>
          <w:tcPr>
            <w:tcW w:w="0" w:type="auto"/>
            <w:tcBorders>
              <w:top w:val="nil"/>
              <w:left w:val="nil"/>
              <w:bottom w:val="single" w:sz="4" w:space="0" w:color="auto"/>
              <w:right w:val="single" w:sz="4" w:space="0" w:color="auto"/>
            </w:tcBorders>
            <w:shd w:val="clear" w:color="000000" w:fill="F2F2F2"/>
            <w:hideMark/>
          </w:tcPr>
          <w:p w14:paraId="23147DF0"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How many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registries have privacy policies which are clearly and easily accessible by end users</w:t>
            </w:r>
          </w:p>
        </w:tc>
        <w:tc>
          <w:tcPr>
            <w:tcW w:w="0" w:type="auto"/>
            <w:tcBorders>
              <w:top w:val="nil"/>
              <w:left w:val="nil"/>
              <w:bottom w:val="single" w:sz="4" w:space="0" w:color="auto"/>
              <w:right w:val="single" w:sz="4" w:space="0" w:color="auto"/>
            </w:tcBorders>
            <w:shd w:val="clear" w:color="000000" w:fill="F2F2F2"/>
            <w:noWrap/>
            <w:vAlign w:val="bottom"/>
            <w:hideMark/>
          </w:tcPr>
          <w:p w14:paraId="643019C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45AE7D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4E7C6A6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137A5DAC" w14:textId="77777777" w:rsidTr="000F16C2">
        <w:trPr>
          <w:trHeight w:val="106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D42BEBF"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7.2</w:t>
            </w:r>
          </w:p>
        </w:tc>
        <w:tc>
          <w:tcPr>
            <w:tcW w:w="0" w:type="auto"/>
            <w:tcBorders>
              <w:top w:val="nil"/>
              <w:left w:val="nil"/>
              <w:bottom w:val="single" w:sz="4" w:space="0" w:color="auto"/>
              <w:right w:val="single" w:sz="4" w:space="0" w:color="auto"/>
            </w:tcBorders>
            <w:shd w:val="clear" w:color="000000" w:fill="F2F2F2"/>
            <w:hideMark/>
          </w:tcPr>
          <w:p w14:paraId="249C6FB8"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How many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registries have allocation policies which are clearly and easily accessible by end users, even if those policies simply restrict or prohibit public availability</w:t>
            </w:r>
          </w:p>
        </w:tc>
        <w:tc>
          <w:tcPr>
            <w:tcW w:w="0" w:type="auto"/>
            <w:tcBorders>
              <w:top w:val="nil"/>
              <w:left w:val="nil"/>
              <w:bottom w:val="single" w:sz="4" w:space="0" w:color="auto"/>
              <w:right w:val="single" w:sz="4" w:space="0" w:color="auto"/>
            </w:tcBorders>
            <w:shd w:val="clear" w:color="000000" w:fill="F2F2F2"/>
            <w:noWrap/>
            <w:vAlign w:val="bottom"/>
            <w:hideMark/>
          </w:tcPr>
          <w:p w14:paraId="2076A08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1F8A40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3ABA2DC3"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0E24CBA3" w14:textId="77777777" w:rsidTr="000F16C2">
        <w:trPr>
          <w:trHeight w:val="79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8685312"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7.3</w:t>
            </w:r>
          </w:p>
        </w:tc>
        <w:tc>
          <w:tcPr>
            <w:tcW w:w="0" w:type="auto"/>
            <w:tcBorders>
              <w:top w:val="nil"/>
              <w:left w:val="nil"/>
              <w:bottom w:val="single" w:sz="4" w:space="0" w:color="auto"/>
              <w:right w:val="single" w:sz="4" w:space="0" w:color="auto"/>
            </w:tcBorders>
            <w:shd w:val="clear" w:color="000000" w:fill="F2F2F2"/>
            <w:hideMark/>
          </w:tcPr>
          <w:p w14:paraId="3547AD3C"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How many registries disclose end-user information regarding their codes of conduct for sub-domain owner/operators</w:t>
            </w:r>
          </w:p>
        </w:tc>
        <w:tc>
          <w:tcPr>
            <w:tcW w:w="0" w:type="auto"/>
            <w:tcBorders>
              <w:top w:val="nil"/>
              <w:left w:val="nil"/>
              <w:bottom w:val="single" w:sz="4" w:space="0" w:color="auto"/>
              <w:right w:val="single" w:sz="4" w:space="0" w:color="auto"/>
            </w:tcBorders>
            <w:shd w:val="clear" w:color="000000" w:fill="F2F2F2"/>
            <w:noWrap/>
            <w:vAlign w:val="bottom"/>
            <w:hideMark/>
          </w:tcPr>
          <w:p w14:paraId="19CDAC8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2601601"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3B38D3D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bl>
    <w:p w14:paraId="46699963" w14:textId="77777777" w:rsidR="00E62660" w:rsidRDefault="00E62660" w:rsidP="00D25832"/>
    <w:p w14:paraId="43A062A9" w14:textId="77777777" w:rsidR="000F16C2" w:rsidRDefault="000F16C2" w:rsidP="00D25832"/>
    <w:tbl>
      <w:tblPr>
        <w:tblW w:w="0" w:type="auto"/>
        <w:tblLook w:val="04A0" w:firstRow="1" w:lastRow="0" w:firstColumn="1" w:lastColumn="0" w:noHBand="0" w:noVBand="1"/>
      </w:tblPr>
      <w:tblGrid>
        <w:gridCol w:w="607"/>
        <w:gridCol w:w="5139"/>
        <w:gridCol w:w="1018"/>
        <w:gridCol w:w="1129"/>
        <w:gridCol w:w="1467"/>
      </w:tblGrid>
      <w:tr w:rsidR="00E62660" w:rsidRPr="00E62660" w14:paraId="71B4ADE0" w14:textId="77777777" w:rsidTr="00E62660">
        <w:trPr>
          <w:trHeight w:val="300"/>
        </w:trPr>
        <w:tc>
          <w:tcPr>
            <w:tcW w:w="0" w:type="auto"/>
            <w:gridSpan w:val="5"/>
            <w:tcBorders>
              <w:top w:val="nil"/>
              <w:left w:val="nil"/>
              <w:bottom w:val="nil"/>
              <w:right w:val="nil"/>
            </w:tcBorders>
            <w:shd w:val="clear" w:color="auto" w:fill="auto"/>
            <w:noWrap/>
            <w:vAlign w:val="bottom"/>
            <w:hideMark/>
          </w:tcPr>
          <w:p w14:paraId="4F6F08E2" w14:textId="77777777" w:rsidR="00E62660" w:rsidRPr="00E62660" w:rsidRDefault="00E62660" w:rsidP="00E62660">
            <w:pPr>
              <w:spacing w:after="0" w:line="240" w:lineRule="auto"/>
              <w:rPr>
                <w:rFonts w:ascii="Calibri" w:eastAsia="Times New Roman" w:hAnsi="Calibri" w:cs="Times New Roman"/>
                <w:b/>
                <w:bCs/>
                <w:i/>
                <w:iCs/>
                <w:color w:val="000000"/>
              </w:rPr>
            </w:pPr>
            <w:r w:rsidRPr="00E62660">
              <w:rPr>
                <w:rFonts w:ascii="Calibri" w:eastAsia="Times New Roman" w:hAnsi="Calibri" w:cs="Times New Roman"/>
                <w:b/>
                <w:bCs/>
                <w:i/>
                <w:iCs/>
                <w:color w:val="000000"/>
              </w:rPr>
              <w:lastRenderedPageBreak/>
              <w:t>Law enforcement/domain abuse</w:t>
            </w:r>
          </w:p>
        </w:tc>
      </w:tr>
      <w:tr w:rsidR="00E62660" w:rsidRPr="00E62660" w14:paraId="19B31383" w14:textId="77777777" w:rsidTr="00E6266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B7F5A2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FB2FDC3"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Description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0BDE90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Category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0A1541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Baseline phase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239FB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General collection phase</w:t>
            </w:r>
          </w:p>
        </w:tc>
      </w:tr>
      <w:tr w:rsidR="00E62660" w:rsidRPr="00E62660" w14:paraId="7D9FA2F1" w14:textId="77777777" w:rsidTr="00E62660">
        <w:trPr>
          <w:trHeight w:val="4076"/>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6005A5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1.11</w:t>
            </w:r>
          </w:p>
        </w:tc>
        <w:tc>
          <w:tcPr>
            <w:tcW w:w="0" w:type="auto"/>
            <w:tcBorders>
              <w:top w:val="nil"/>
              <w:left w:val="nil"/>
              <w:bottom w:val="single" w:sz="4" w:space="0" w:color="auto"/>
              <w:right w:val="single" w:sz="4" w:space="0" w:color="auto"/>
            </w:tcBorders>
            <w:shd w:val="clear" w:color="000000" w:fill="F2F2F2"/>
            <w:hideMark/>
          </w:tcPr>
          <w:p w14:paraId="56967599"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of intellectual property claims and cost of domain name policing relating to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w:t>
            </w:r>
            <w:r w:rsidRPr="00E62660">
              <w:rPr>
                <w:rFonts w:ascii="Calibri" w:eastAsia="Times New Roman" w:hAnsi="Calibri" w:cs="Times New Roman"/>
              </w:rPr>
              <w:br/>
              <w:t>Relative incidence of IP claims made in good faith should be measured in 3 areas:</w:t>
            </w:r>
            <w:r w:rsidRPr="00E62660">
              <w:rPr>
                <w:rFonts w:ascii="Calibri" w:eastAsia="Times New Roman" w:hAnsi="Calibri" w:cs="Times New Roman"/>
              </w:rPr>
              <w:br/>
              <w:t xml:space="preserve">IP claims against registrants regarding second level domains in new </w:t>
            </w:r>
            <w:proofErr w:type="spellStart"/>
            <w:r w:rsidRPr="00E62660">
              <w:rPr>
                <w:rFonts w:ascii="Calibri" w:eastAsia="Times New Roman" w:hAnsi="Calibri" w:cs="Times New Roman"/>
              </w:rPr>
              <w:t>gLTDs</w:t>
            </w:r>
            <w:proofErr w:type="spellEnd"/>
            <w:r w:rsidRPr="00E62660">
              <w:rPr>
                <w:rFonts w:ascii="Calibri" w:eastAsia="Times New Roman" w:hAnsi="Calibri" w:cs="Times New Roman"/>
              </w:rPr>
              <w:t>;</w:t>
            </w:r>
            <w:r w:rsidRPr="00E62660">
              <w:rPr>
                <w:rFonts w:ascii="Calibri" w:eastAsia="Times New Roman" w:hAnsi="Calibri" w:cs="Times New Roman"/>
              </w:rPr>
              <w:br/>
              <w:t xml:space="preserve">IP claims against registrars regarding Second level domains in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w:t>
            </w:r>
            <w:r w:rsidRPr="00E62660">
              <w:rPr>
                <w:rFonts w:ascii="Calibri" w:eastAsia="Times New Roman" w:hAnsi="Calibri" w:cs="Times New Roman"/>
              </w:rPr>
              <w:br/>
              <w:t xml:space="preserve">IP claims against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registries regarding second level domains and TLDs. </w:t>
            </w:r>
            <w:r w:rsidRPr="00E62660">
              <w:rPr>
                <w:rFonts w:ascii="Calibri" w:eastAsia="Times New Roman" w:hAnsi="Calibri" w:cs="Times New Roman"/>
              </w:rPr>
              <w:br/>
              <w:t>Quantity of second level domains acquired because of infringement or other violations of IP rights of acquiring parties; and</w:t>
            </w:r>
            <w:r w:rsidRPr="00E62660">
              <w:rPr>
                <w:rFonts w:ascii="Calibri" w:eastAsia="Times New Roman" w:hAnsi="Calibri" w:cs="Times New Roman"/>
              </w:rPr>
              <w:br/>
              <w:t>Cost of domain name policing and enforcement efforts by IP owners.</w:t>
            </w:r>
          </w:p>
        </w:tc>
        <w:tc>
          <w:tcPr>
            <w:tcW w:w="0" w:type="auto"/>
            <w:tcBorders>
              <w:top w:val="nil"/>
              <w:left w:val="nil"/>
              <w:bottom w:val="single" w:sz="4" w:space="0" w:color="auto"/>
              <w:right w:val="single" w:sz="4" w:space="0" w:color="auto"/>
            </w:tcBorders>
            <w:shd w:val="clear" w:color="000000" w:fill="F2F2F2"/>
            <w:noWrap/>
            <w:vAlign w:val="bottom"/>
            <w:hideMark/>
          </w:tcPr>
          <w:p w14:paraId="652A5F0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58D41D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372410A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7FA0308D" w14:textId="77777777" w:rsidTr="00E62660">
        <w:trPr>
          <w:trHeight w:val="26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03AF44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1.13</w:t>
            </w:r>
          </w:p>
        </w:tc>
        <w:tc>
          <w:tcPr>
            <w:tcW w:w="0" w:type="auto"/>
            <w:tcBorders>
              <w:top w:val="nil"/>
              <w:left w:val="nil"/>
              <w:bottom w:val="single" w:sz="4" w:space="0" w:color="auto"/>
              <w:right w:val="single" w:sz="4" w:space="0" w:color="auto"/>
            </w:tcBorders>
            <w:shd w:val="clear" w:color="000000" w:fill="F2F2F2"/>
            <w:hideMark/>
          </w:tcPr>
          <w:p w14:paraId="20BB3ED0"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Number of reported data security breaches.</w:t>
            </w:r>
          </w:p>
        </w:tc>
        <w:tc>
          <w:tcPr>
            <w:tcW w:w="0" w:type="auto"/>
            <w:tcBorders>
              <w:top w:val="nil"/>
              <w:left w:val="nil"/>
              <w:bottom w:val="single" w:sz="4" w:space="0" w:color="auto"/>
              <w:right w:val="single" w:sz="4" w:space="0" w:color="auto"/>
            </w:tcBorders>
            <w:shd w:val="clear" w:color="000000" w:fill="F2F2F2"/>
            <w:noWrap/>
            <w:vAlign w:val="bottom"/>
            <w:hideMark/>
          </w:tcPr>
          <w:p w14:paraId="4A65696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F88BAC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2B734163"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34F9C581" w14:textId="77777777" w:rsidTr="00E62660">
        <w:trPr>
          <w:trHeight w:val="26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3F739D4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1.14</w:t>
            </w:r>
          </w:p>
        </w:tc>
        <w:tc>
          <w:tcPr>
            <w:tcW w:w="0" w:type="auto"/>
            <w:tcBorders>
              <w:top w:val="nil"/>
              <w:left w:val="nil"/>
              <w:bottom w:val="single" w:sz="4" w:space="0" w:color="auto"/>
              <w:right w:val="single" w:sz="4" w:space="0" w:color="auto"/>
            </w:tcBorders>
            <w:shd w:val="clear" w:color="000000" w:fill="F2F2F2"/>
            <w:hideMark/>
          </w:tcPr>
          <w:p w14:paraId="5164FFE9"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Quantity and relative incidence of Domain Takedowns.</w:t>
            </w:r>
          </w:p>
        </w:tc>
        <w:tc>
          <w:tcPr>
            <w:tcW w:w="0" w:type="auto"/>
            <w:tcBorders>
              <w:top w:val="nil"/>
              <w:left w:val="nil"/>
              <w:bottom w:val="single" w:sz="4" w:space="0" w:color="auto"/>
              <w:right w:val="single" w:sz="4" w:space="0" w:color="auto"/>
            </w:tcBorders>
            <w:shd w:val="clear" w:color="000000" w:fill="F2F2F2"/>
            <w:noWrap/>
            <w:vAlign w:val="bottom"/>
            <w:hideMark/>
          </w:tcPr>
          <w:p w14:paraId="2ABA6F0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4D4324A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23E2203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0CF23830" w14:textId="77777777" w:rsidTr="00E62660">
        <w:trPr>
          <w:trHeight w:val="8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D1AA73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1.15</w:t>
            </w:r>
          </w:p>
        </w:tc>
        <w:tc>
          <w:tcPr>
            <w:tcW w:w="0" w:type="auto"/>
            <w:tcBorders>
              <w:top w:val="nil"/>
              <w:left w:val="nil"/>
              <w:bottom w:val="single" w:sz="4" w:space="0" w:color="auto"/>
              <w:right w:val="single" w:sz="4" w:space="0" w:color="auto"/>
            </w:tcBorders>
            <w:shd w:val="clear" w:color="000000" w:fill="F2F2F2"/>
            <w:hideMark/>
          </w:tcPr>
          <w:p w14:paraId="328D385A"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and relative incidence of spam from domains in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which could be measured via specialized email addresses and methodologies.</w:t>
            </w:r>
          </w:p>
        </w:tc>
        <w:tc>
          <w:tcPr>
            <w:tcW w:w="0" w:type="auto"/>
            <w:tcBorders>
              <w:top w:val="nil"/>
              <w:left w:val="nil"/>
              <w:bottom w:val="single" w:sz="4" w:space="0" w:color="auto"/>
              <w:right w:val="single" w:sz="4" w:space="0" w:color="auto"/>
            </w:tcBorders>
            <w:shd w:val="clear" w:color="000000" w:fill="F2F2F2"/>
            <w:noWrap/>
            <w:vAlign w:val="bottom"/>
            <w:hideMark/>
          </w:tcPr>
          <w:p w14:paraId="6EB7B30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185C07A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1D9F8D0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32BBEBC2" w14:textId="77777777" w:rsidTr="00E62660">
        <w:trPr>
          <w:trHeight w:val="62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362397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1.16</w:t>
            </w:r>
          </w:p>
        </w:tc>
        <w:tc>
          <w:tcPr>
            <w:tcW w:w="0" w:type="auto"/>
            <w:tcBorders>
              <w:top w:val="nil"/>
              <w:left w:val="nil"/>
              <w:bottom w:val="single" w:sz="4" w:space="0" w:color="auto"/>
              <w:right w:val="single" w:sz="4" w:space="0" w:color="auto"/>
            </w:tcBorders>
            <w:shd w:val="clear" w:color="000000" w:fill="F2F2F2"/>
            <w:hideMark/>
          </w:tcPr>
          <w:p w14:paraId="2A4374A1"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and relative incidence of fraudulent transactions caused by phishing sites in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78DE1BA0"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7BD6D2D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7B637CE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2A7B3FF7" w14:textId="77777777" w:rsidTr="00E62660">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E5047B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1.17</w:t>
            </w:r>
          </w:p>
        </w:tc>
        <w:tc>
          <w:tcPr>
            <w:tcW w:w="0" w:type="auto"/>
            <w:tcBorders>
              <w:top w:val="nil"/>
              <w:left w:val="nil"/>
              <w:bottom w:val="single" w:sz="4" w:space="0" w:color="auto"/>
              <w:right w:val="single" w:sz="4" w:space="0" w:color="auto"/>
            </w:tcBorders>
            <w:shd w:val="clear" w:color="000000" w:fill="F2F2F2"/>
            <w:hideMark/>
          </w:tcPr>
          <w:p w14:paraId="18DC3A4F"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and relative incidence of detected phishing sites using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53B5A1D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7A0FB230"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4733D4E5"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5F8DA2CE" w14:textId="77777777" w:rsidTr="00E62660">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551BA59"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1.18</w:t>
            </w:r>
          </w:p>
        </w:tc>
        <w:tc>
          <w:tcPr>
            <w:tcW w:w="0" w:type="auto"/>
            <w:tcBorders>
              <w:top w:val="nil"/>
              <w:left w:val="nil"/>
              <w:bottom w:val="single" w:sz="4" w:space="0" w:color="auto"/>
              <w:right w:val="single" w:sz="4" w:space="0" w:color="auto"/>
            </w:tcBorders>
            <w:shd w:val="clear" w:color="000000" w:fill="F2F2F2"/>
            <w:hideMark/>
          </w:tcPr>
          <w:p w14:paraId="3B66DD72"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and relative incidence of detected botnets and malware distributed using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744A349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5DD00D9F"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11A7705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789157EE" w14:textId="77777777" w:rsidTr="00E62660">
        <w:trPr>
          <w:trHeight w:val="8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7AB939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1.19</w:t>
            </w:r>
          </w:p>
        </w:tc>
        <w:tc>
          <w:tcPr>
            <w:tcW w:w="0" w:type="auto"/>
            <w:tcBorders>
              <w:top w:val="nil"/>
              <w:left w:val="nil"/>
              <w:bottom w:val="single" w:sz="4" w:space="0" w:color="auto"/>
              <w:right w:val="single" w:sz="4" w:space="0" w:color="auto"/>
            </w:tcBorders>
            <w:shd w:val="clear" w:color="000000" w:fill="F2F2F2"/>
            <w:hideMark/>
          </w:tcPr>
          <w:p w14:paraId="6C4946F7"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Quantity and relative incidence of sites found to be dealing in or distributing identities and account information used in identity fraud.</w:t>
            </w:r>
          </w:p>
        </w:tc>
        <w:tc>
          <w:tcPr>
            <w:tcW w:w="0" w:type="auto"/>
            <w:tcBorders>
              <w:top w:val="nil"/>
              <w:left w:val="nil"/>
              <w:bottom w:val="single" w:sz="4" w:space="0" w:color="auto"/>
              <w:right w:val="single" w:sz="4" w:space="0" w:color="auto"/>
            </w:tcBorders>
            <w:shd w:val="clear" w:color="000000" w:fill="F2F2F2"/>
            <w:noWrap/>
            <w:vAlign w:val="bottom"/>
            <w:hideMark/>
          </w:tcPr>
          <w:p w14:paraId="52346665"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3F49037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6F17A13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5D5C2D70" w14:textId="77777777" w:rsidTr="00E62660">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AE73D45"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6.2</w:t>
            </w:r>
          </w:p>
        </w:tc>
        <w:tc>
          <w:tcPr>
            <w:tcW w:w="0" w:type="auto"/>
            <w:tcBorders>
              <w:top w:val="nil"/>
              <w:left w:val="nil"/>
              <w:bottom w:val="single" w:sz="4" w:space="0" w:color="auto"/>
              <w:right w:val="single" w:sz="4" w:space="0" w:color="auto"/>
            </w:tcBorders>
            <w:shd w:val="clear" w:color="000000" w:fill="F2F2F2"/>
            <w:hideMark/>
          </w:tcPr>
          <w:p w14:paraId="14266AFE"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Number of complaints to police agencies alleging fraud or misrepresentation based on – or traced to – domain names</w:t>
            </w:r>
          </w:p>
        </w:tc>
        <w:tc>
          <w:tcPr>
            <w:tcW w:w="0" w:type="auto"/>
            <w:tcBorders>
              <w:top w:val="nil"/>
              <w:left w:val="nil"/>
              <w:bottom w:val="single" w:sz="4" w:space="0" w:color="auto"/>
              <w:right w:val="single" w:sz="4" w:space="0" w:color="auto"/>
            </w:tcBorders>
            <w:shd w:val="clear" w:color="000000" w:fill="F2F2F2"/>
            <w:noWrap/>
            <w:vAlign w:val="bottom"/>
            <w:hideMark/>
          </w:tcPr>
          <w:p w14:paraId="20E34D8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4B229AF9"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09A0154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bl>
    <w:p w14:paraId="7ACC65E1" w14:textId="77777777" w:rsidR="00E62660" w:rsidRDefault="00E62660" w:rsidP="00D25832"/>
    <w:tbl>
      <w:tblPr>
        <w:tblW w:w="0" w:type="auto"/>
        <w:tblLook w:val="04A0" w:firstRow="1" w:lastRow="0" w:firstColumn="1" w:lastColumn="0" w:noHBand="0" w:noVBand="1"/>
      </w:tblPr>
      <w:tblGrid>
        <w:gridCol w:w="495"/>
        <w:gridCol w:w="4718"/>
        <w:gridCol w:w="1018"/>
        <w:gridCol w:w="1291"/>
        <w:gridCol w:w="1838"/>
      </w:tblGrid>
      <w:tr w:rsidR="00E62660" w:rsidRPr="00E62660" w14:paraId="5364F78A" w14:textId="77777777" w:rsidTr="00E62660">
        <w:trPr>
          <w:trHeight w:val="300"/>
        </w:trPr>
        <w:tc>
          <w:tcPr>
            <w:tcW w:w="0" w:type="auto"/>
            <w:gridSpan w:val="5"/>
            <w:tcBorders>
              <w:top w:val="nil"/>
              <w:left w:val="nil"/>
              <w:bottom w:val="single" w:sz="4" w:space="0" w:color="auto"/>
              <w:right w:val="nil"/>
            </w:tcBorders>
            <w:shd w:val="clear" w:color="auto" w:fill="auto"/>
            <w:noWrap/>
            <w:vAlign w:val="bottom"/>
            <w:hideMark/>
          </w:tcPr>
          <w:p w14:paraId="104C1F99" w14:textId="77777777" w:rsidR="00E62660" w:rsidRPr="00E62660" w:rsidRDefault="00E62660" w:rsidP="00E62660">
            <w:pPr>
              <w:spacing w:after="0" w:line="240" w:lineRule="auto"/>
              <w:rPr>
                <w:rFonts w:ascii="Calibri" w:eastAsia="Times New Roman" w:hAnsi="Calibri" w:cs="Times New Roman"/>
                <w:b/>
                <w:bCs/>
                <w:i/>
                <w:iCs/>
                <w:color w:val="000000"/>
              </w:rPr>
            </w:pPr>
            <w:r w:rsidRPr="00E62660">
              <w:rPr>
                <w:rFonts w:ascii="Calibri" w:eastAsia="Times New Roman" w:hAnsi="Calibri" w:cs="Times New Roman"/>
                <w:b/>
                <w:bCs/>
                <w:i/>
                <w:iCs/>
                <w:color w:val="000000"/>
              </w:rPr>
              <w:t>DNS use/choice</w:t>
            </w:r>
          </w:p>
        </w:tc>
      </w:tr>
      <w:tr w:rsidR="00E62660" w:rsidRPr="00E62660" w14:paraId="3AD7A605" w14:textId="77777777" w:rsidTr="00E6266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79437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vAlign w:val="bottom"/>
            <w:hideMark/>
          </w:tcPr>
          <w:p w14:paraId="3E1F3B3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Description</w:t>
            </w:r>
          </w:p>
        </w:tc>
        <w:tc>
          <w:tcPr>
            <w:tcW w:w="0" w:type="auto"/>
            <w:tcBorders>
              <w:top w:val="nil"/>
              <w:left w:val="nil"/>
              <w:bottom w:val="single" w:sz="4" w:space="0" w:color="auto"/>
              <w:right w:val="single" w:sz="4" w:space="0" w:color="auto"/>
            </w:tcBorders>
            <w:shd w:val="clear" w:color="auto" w:fill="auto"/>
            <w:vAlign w:val="bottom"/>
            <w:hideMark/>
          </w:tcPr>
          <w:p w14:paraId="4F2FDC9D"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Category</w:t>
            </w:r>
          </w:p>
        </w:tc>
        <w:tc>
          <w:tcPr>
            <w:tcW w:w="0" w:type="auto"/>
            <w:tcBorders>
              <w:top w:val="nil"/>
              <w:left w:val="nil"/>
              <w:bottom w:val="single" w:sz="4" w:space="0" w:color="auto"/>
              <w:right w:val="single" w:sz="4" w:space="0" w:color="auto"/>
            </w:tcBorders>
            <w:shd w:val="clear" w:color="auto" w:fill="auto"/>
            <w:vAlign w:val="bottom"/>
            <w:hideMark/>
          </w:tcPr>
          <w:p w14:paraId="7A2F43E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Baseline phase</w:t>
            </w:r>
          </w:p>
        </w:tc>
        <w:tc>
          <w:tcPr>
            <w:tcW w:w="0" w:type="auto"/>
            <w:tcBorders>
              <w:top w:val="nil"/>
              <w:left w:val="nil"/>
              <w:bottom w:val="single" w:sz="4" w:space="0" w:color="auto"/>
              <w:right w:val="single" w:sz="4" w:space="0" w:color="auto"/>
            </w:tcBorders>
            <w:shd w:val="clear" w:color="auto" w:fill="auto"/>
            <w:vAlign w:val="bottom"/>
            <w:hideMark/>
          </w:tcPr>
          <w:p w14:paraId="024C0E9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General collection phase</w:t>
            </w:r>
          </w:p>
        </w:tc>
      </w:tr>
      <w:tr w:rsidR="00E62660" w:rsidRPr="00E62660" w14:paraId="060CEBE5" w14:textId="77777777" w:rsidTr="00E62660">
        <w:trPr>
          <w:trHeight w:val="3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E08E362"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5.2</w:t>
            </w:r>
          </w:p>
        </w:tc>
        <w:tc>
          <w:tcPr>
            <w:tcW w:w="0" w:type="auto"/>
            <w:tcBorders>
              <w:top w:val="nil"/>
              <w:left w:val="nil"/>
              <w:bottom w:val="single" w:sz="4" w:space="0" w:color="auto"/>
              <w:right w:val="single" w:sz="4" w:space="0" w:color="auto"/>
            </w:tcBorders>
            <w:shd w:val="clear" w:color="000000" w:fill="F2F2F2"/>
            <w:hideMark/>
          </w:tcPr>
          <w:p w14:paraId="36082814"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Growth in use of hosted pages for organizations (such as Facebook or Google+)</w:t>
            </w:r>
          </w:p>
        </w:tc>
        <w:tc>
          <w:tcPr>
            <w:tcW w:w="0" w:type="auto"/>
            <w:tcBorders>
              <w:top w:val="nil"/>
              <w:left w:val="nil"/>
              <w:bottom w:val="single" w:sz="4" w:space="0" w:color="auto"/>
              <w:right w:val="single" w:sz="4" w:space="0" w:color="auto"/>
            </w:tcBorders>
            <w:shd w:val="clear" w:color="000000" w:fill="F2F2F2"/>
            <w:noWrap/>
            <w:vAlign w:val="bottom"/>
            <w:hideMark/>
          </w:tcPr>
          <w:p w14:paraId="71F65C4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134022C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1E82413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3FA90248" w14:textId="77777777" w:rsidTr="00E62660">
        <w:trPr>
          <w:trHeight w:val="35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38C26EE8"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5.3</w:t>
            </w:r>
          </w:p>
        </w:tc>
        <w:tc>
          <w:tcPr>
            <w:tcW w:w="0" w:type="auto"/>
            <w:tcBorders>
              <w:top w:val="nil"/>
              <w:left w:val="nil"/>
              <w:bottom w:val="single" w:sz="4" w:space="0" w:color="auto"/>
              <w:right w:val="single" w:sz="4" w:space="0" w:color="auto"/>
            </w:tcBorders>
            <w:shd w:val="clear" w:color="000000" w:fill="F2F2F2"/>
            <w:hideMark/>
          </w:tcPr>
          <w:p w14:paraId="16259566"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Growth in use of QR codes</w:t>
            </w:r>
          </w:p>
        </w:tc>
        <w:tc>
          <w:tcPr>
            <w:tcW w:w="0" w:type="auto"/>
            <w:tcBorders>
              <w:top w:val="nil"/>
              <w:left w:val="nil"/>
              <w:bottom w:val="single" w:sz="4" w:space="0" w:color="auto"/>
              <w:right w:val="single" w:sz="4" w:space="0" w:color="auto"/>
            </w:tcBorders>
            <w:shd w:val="clear" w:color="000000" w:fill="F2F2F2"/>
            <w:noWrap/>
            <w:vAlign w:val="bottom"/>
            <w:hideMark/>
          </w:tcPr>
          <w:p w14:paraId="3AE118B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687EC45A"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23FABA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r w:rsidR="00E62660" w:rsidRPr="00E62660" w14:paraId="537761BB" w14:textId="77777777" w:rsidTr="00E62660">
        <w:trPr>
          <w:trHeight w:val="386"/>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1C94B1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lastRenderedPageBreak/>
              <w:t>5.4</w:t>
            </w:r>
          </w:p>
        </w:tc>
        <w:tc>
          <w:tcPr>
            <w:tcW w:w="0" w:type="auto"/>
            <w:tcBorders>
              <w:top w:val="nil"/>
              <w:left w:val="nil"/>
              <w:bottom w:val="single" w:sz="4" w:space="0" w:color="auto"/>
              <w:right w:val="single" w:sz="4" w:space="0" w:color="auto"/>
            </w:tcBorders>
            <w:shd w:val="clear" w:color="000000" w:fill="F2F2F2"/>
            <w:hideMark/>
          </w:tcPr>
          <w:p w14:paraId="325371E6"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Growth in use of URL shortening services</w:t>
            </w:r>
          </w:p>
        </w:tc>
        <w:tc>
          <w:tcPr>
            <w:tcW w:w="0" w:type="auto"/>
            <w:tcBorders>
              <w:top w:val="nil"/>
              <w:left w:val="nil"/>
              <w:bottom w:val="single" w:sz="4" w:space="0" w:color="auto"/>
              <w:right w:val="single" w:sz="4" w:space="0" w:color="auto"/>
            </w:tcBorders>
            <w:shd w:val="clear" w:color="000000" w:fill="F2F2F2"/>
            <w:noWrap/>
            <w:vAlign w:val="bottom"/>
            <w:hideMark/>
          </w:tcPr>
          <w:p w14:paraId="464560A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6E99567B"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0B97A3E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4B</w:t>
            </w:r>
          </w:p>
        </w:tc>
      </w:tr>
    </w:tbl>
    <w:p w14:paraId="16A13E25" w14:textId="77777777" w:rsidR="00E62660" w:rsidRDefault="00E62660" w:rsidP="00D25832"/>
    <w:tbl>
      <w:tblPr>
        <w:tblW w:w="0" w:type="auto"/>
        <w:tblLook w:val="04A0" w:firstRow="1" w:lastRow="0" w:firstColumn="1" w:lastColumn="0" w:noHBand="0" w:noVBand="1"/>
      </w:tblPr>
      <w:tblGrid>
        <w:gridCol w:w="607"/>
        <w:gridCol w:w="5261"/>
        <w:gridCol w:w="1018"/>
        <w:gridCol w:w="1092"/>
        <w:gridCol w:w="1382"/>
      </w:tblGrid>
      <w:tr w:rsidR="00E62660" w:rsidRPr="00E62660" w14:paraId="3B78CB09" w14:textId="77777777" w:rsidTr="00E62660">
        <w:trPr>
          <w:trHeight w:val="300"/>
        </w:trPr>
        <w:tc>
          <w:tcPr>
            <w:tcW w:w="0" w:type="auto"/>
            <w:gridSpan w:val="5"/>
            <w:tcBorders>
              <w:top w:val="nil"/>
              <w:left w:val="nil"/>
              <w:bottom w:val="single" w:sz="4" w:space="0" w:color="auto"/>
              <w:right w:val="nil"/>
            </w:tcBorders>
            <w:shd w:val="clear" w:color="auto" w:fill="auto"/>
            <w:noWrap/>
            <w:vAlign w:val="bottom"/>
            <w:hideMark/>
          </w:tcPr>
          <w:p w14:paraId="4EE4D2D3" w14:textId="77777777" w:rsidR="00E62660" w:rsidRPr="00E62660" w:rsidRDefault="00E62660" w:rsidP="00E62660">
            <w:pPr>
              <w:spacing w:after="0" w:line="240" w:lineRule="auto"/>
              <w:rPr>
                <w:rFonts w:ascii="Calibri" w:eastAsia="Times New Roman" w:hAnsi="Calibri" w:cs="Times New Roman"/>
                <w:b/>
                <w:bCs/>
                <w:i/>
                <w:iCs/>
                <w:color w:val="000000"/>
              </w:rPr>
            </w:pPr>
            <w:r w:rsidRPr="00E62660">
              <w:rPr>
                <w:rFonts w:ascii="Calibri" w:eastAsia="Times New Roman" w:hAnsi="Calibri" w:cs="Times New Roman"/>
                <w:b/>
                <w:bCs/>
                <w:i/>
                <w:iCs/>
                <w:color w:val="000000"/>
              </w:rPr>
              <w:t>Compliance metrics</w:t>
            </w:r>
          </w:p>
        </w:tc>
      </w:tr>
      <w:tr w:rsidR="00E62660" w:rsidRPr="00E62660" w14:paraId="5B57F828" w14:textId="77777777" w:rsidTr="00E6266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11DEB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vAlign w:val="bottom"/>
            <w:hideMark/>
          </w:tcPr>
          <w:p w14:paraId="5C996F5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Description</w:t>
            </w:r>
          </w:p>
        </w:tc>
        <w:tc>
          <w:tcPr>
            <w:tcW w:w="0" w:type="auto"/>
            <w:tcBorders>
              <w:top w:val="nil"/>
              <w:left w:val="nil"/>
              <w:bottom w:val="single" w:sz="4" w:space="0" w:color="auto"/>
              <w:right w:val="single" w:sz="4" w:space="0" w:color="auto"/>
            </w:tcBorders>
            <w:shd w:val="clear" w:color="auto" w:fill="auto"/>
            <w:vAlign w:val="bottom"/>
            <w:hideMark/>
          </w:tcPr>
          <w:p w14:paraId="05512F2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Category</w:t>
            </w:r>
          </w:p>
        </w:tc>
        <w:tc>
          <w:tcPr>
            <w:tcW w:w="0" w:type="auto"/>
            <w:tcBorders>
              <w:top w:val="nil"/>
              <w:left w:val="nil"/>
              <w:bottom w:val="single" w:sz="4" w:space="0" w:color="auto"/>
              <w:right w:val="single" w:sz="4" w:space="0" w:color="auto"/>
            </w:tcBorders>
            <w:shd w:val="clear" w:color="auto" w:fill="auto"/>
            <w:vAlign w:val="bottom"/>
            <w:hideMark/>
          </w:tcPr>
          <w:p w14:paraId="168BB1A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Baseline phase</w:t>
            </w:r>
          </w:p>
        </w:tc>
        <w:tc>
          <w:tcPr>
            <w:tcW w:w="0" w:type="auto"/>
            <w:tcBorders>
              <w:top w:val="nil"/>
              <w:left w:val="nil"/>
              <w:bottom w:val="single" w:sz="4" w:space="0" w:color="auto"/>
              <w:right w:val="single" w:sz="4" w:space="0" w:color="auto"/>
            </w:tcBorders>
            <w:shd w:val="clear" w:color="auto" w:fill="auto"/>
            <w:vAlign w:val="bottom"/>
            <w:hideMark/>
          </w:tcPr>
          <w:p w14:paraId="082A56F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General collection phase</w:t>
            </w:r>
          </w:p>
        </w:tc>
      </w:tr>
      <w:tr w:rsidR="00E62660" w:rsidRPr="00E62660" w14:paraId="77372039" w14:textId="77777777" w:rsidTr="00E62660">
        <w:trPr>
          <w:trHeight w:val="566"/>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8D804F9"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1.6</w:t>
            </w:r>
          </w:p>
        </w:tc>
        <w:tc>
          <w:tcPr>
            <w:tcW w:w="0" w:type="auto"/>
            <w:tcBorders>
              <w:top w:val="nil"/>
              <w:left w:val="nil"/>
              <w:bottom w:val="single" w:sz="4" w:space="0" w:color="auto"/>
              <w:right w:val="single" w:sz="4" w:space="0" w:color="auto"/>
            </w:tcBorders>
            <w:shd w:val="clear" w:color="000000" w:fill="F2F2F2"/>
            <w:hideMark/>
          </w:tcPr>
          <w:p w14:paraId="7243BA9E"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Relative incidence of breach notices issued to Registry operators for contract or policy compliance matters. </w:t>
            </w:r>
          </w:p>
        </w:tc>
        <w:tc>
          <w:tcPr>
            <w:tcW w:w="0" w:type="auto"/>
            <w:tcBorders>
              <w:top w:val="nil"/>
              <w:left w:val="nil"/>
              <w:bottom w:val="single" w:sz="4" w:space="0" w:color="auto"/>
              <w:right w:val="single" w:sz="4" w:space="0" w:color="auto"/>
            </w:tcBorders>
            <w:shd w:val="clear" w:color="000000" w:fill="F2F2F2"/>
            <w:noWrap/>
            <w:vAlign w:val="bottom"/>
            <w:hideMark/>
          </w:tcPr>
          <w:p w14:paraId="2B5B2A6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63764D3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4C7D1FB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1C92C855" w14:textId="77777777" w:rsidTr="00E62660">
        <w:trPr>
          <w:trHeight w:val="53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8DC1C00"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1.7</w:t>
            </w:r>
          </w:p>
        </w:tc>
        <w:tc>
          <w:tcPr>
            <w:tcW w:w="0" w:type="auto"/>
            <w:tcBorders>
              <w:top w:val="nil"/>
              <w:left w:val="nil"/>
              <w:bottom w:val="single" w:sz="4" w:space="0" w:color="auto"/>
              <w:right w:val="single" w:sz="4" w:space="0" w:color="auto"/>
            </w:tcBorders>
            <w:shd w:val="clear" w:color="000000" w:fill="F2F2F2"/>
            <w:hideMark/>
          </w:tcPr>
          <w:p w14:paraId="4F2AF80D"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Relative incidence of breach notices issued to Registrars, for contract or policy compliance matters. </w:t>
            </w:r>
          </w:p>
        </w:tc>
        <w:tc>
          <w:tcPr>
            <w:tcW w:w="0" w:type="auto"/>
            <w:tcBorders>
              <w:top w:val="nil"/>
              <w:left w:val="nil"/>
              <w:bottom w:val="single" w:sz="4" w:space="0" w:color="auto"/>
              <w:right w:val="single" w:sz="4" w:space="0" w:color="auto"/>
            </w:tcBorders>
            <w:shd w:val="clear" w:color="000000" w:fill="F2F2F2"/>
            <w:noWrap/>
            <w:vAlign w:val="bottom"/>
            <w:hideMark/>
          </w:tcPr>
          <w:p w14:paraId="3E7AF293"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DB8C1C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03EFAB7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2793CBE4" w14:textId="77777777" w:rsidTr="00E62660">
        <w:trPr>
          <w:trHeight w:val="593"/>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61C2A4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000000" w:fill="F2F2F2"/>
            <w:hideMark/>
          </w:tcPr>
          <w:p w14:paraId="418E2DD2"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Relative Incidence of Registry &amp; Registrar general complaints submitted to ICANN’s </w:t>
            </w:r>
            <w:proofErr w:type="spellStart"/>
            <w:r w:rsidRPr="00E62660">
              <w:rPr>
                <w:rFonts w:ascii="Calibri" w:eastAsia="Times New Roman" w:hAnsi="Calibri" w:cs="Times New Roman"/>
              </w:rPr>
              <w:t>Internic</w:t>
            </w:r>
            <w:proofErr w:type="spellEnd"/>
            <w:r w:rsidRPr="00E62660">
              <w:rPr>
                <w:rFonts w:ascii="Calibri" w:eastAsia="Times New Roman" w:hAnsi="Calibri" w:cs="Times New Roman"/>
              </w:rPr>
              <w:t xml:space="preserve"> System.</w:t>
            </w:r>
          </w:p>
        </w:tc>
        <w:tc>
          <w:tcPr>
            <w:tcW w:w="0" w:type="auto"/>
            <w:tcBorders>
              <w:top w:val="nil"/>
              <w:left w:val="nil"/>
              <w:bottom w:val="single" w:sz="4" w:space="0" w:color="auto"/>
              <w:right w:val="single" w:sz="4" w:space="0" w:color="auto"/>
            </w:tcBorders>
            <w:shd w:val="clear" w:color="000000" w:fill="F2F2F2"/>
            <w:noWrap/>
            <w:vAlign w:val="bottom"/>
            <w:hideMark/>
          </w:tcPr>
          <w:p w14:paraId="0680B73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1300ADD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1C19DF2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5D462446" w14:textId="77777777" w:rsidTr="00E62660">
        <w:trPr>
          <w:trHeight w:val="1106"/>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C01BE0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000000" w:fill="F2F2F2"/>
            <w:hideMark/>
          </w:tcPr>
          <w:p w14:paraId="19E4B27F"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Relative incidence of combined UDRP and URS Complaints.  URS is required only in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so combined UDRP and URS complaints may be comparable to UDRP complaints in legacy </w:t>
            </w:r>
            <w:proofErr w:type="spellStart"/>
            <w:r w:rsidRPr="00E62660">
              <w:rPr>
                <w:rFonts w:ascii="Calibri" w:eastAsia="Times New Roman" w:hAnsi="Calibri" w:cs="Times New Roman"/>
              </w:rPr>
              <w:t>gTLDs</w:t>
            </w:r>
            <w:proofErr w:type="spellEnd"/>
          </w:p>
        </w:tc>
        <w:tc>
          <w:tcPr>
            <w:tcW w:w="0" w:type="auto"/>
            <w:tcBorders>
              <w:top w:val="nil"/>
              <w:left w:val="nil"/>
              <w:bottom w:val="single" w:sz="4" w:space="0" w:color="auto"/>
              <w:right w:val="single" w:sz="4" w:space="0" w:color="auto"/>
            </w:tcBorders>
            <w:shd w:val="clear" w:color="000000" w:fill="F2F2F2"/>
            <w:noWrap/>
            <w:vAlign w:val="bottom"/>
            <w:hideMark/>
          </w:tcPr>
          <w:p w14:paraId="75A0676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5AC069B"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53862BA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55046F55" w14:textId="77777777" w:rsidTr="00E62660">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6EA7382"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1.10</w:t>
            </w:r>
          </w:p>
        </w:tc>
        <w:tc>
          <w:tcPr>
            <w:tcW w:w="0" w:type="auto"/>
            <w:tcBorders>
              <w:top w:val="nil"/>
              <w:left w:val="nil"/>
              <w:bottom w:val="single" w:sz="4" w:space="0" w:color="auto"/>
              <w:right w:val="single" w:sz="4" w:space="0" w:color="auto"/>
            </w:tcBorders>
            <w:shd w:val="clear" w:color="000000" w:fill="F2F2F2"/>
            <w:hideMark/>
          </w:tcPr>
          <w:p w14:paraId="4B5E3983"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Relative incidence of combined UDRP and URS Decisions against registrants.</w:t>
            </w:r>
          </w:p>
        </w:tc>
        <w:tc>
          <w:tcPr>
            <w:tcW w:w="0" w:type="auto"/>
            <w:tcBorders>
              <w:top w:val="nil"/>
              <w:left w:val="nil"/>
              <w:bottom w:val="single" w:sz="4" w:space="0" w:color="auto"/>
              <w:right w:val="single" w:sz="4" w:space="0" w:color="auto"/>
            </w:tcBorders>
            <w:shd w:val="clear" w:color="000000" w:fill="F2F2F2"/>
            <w:noWrap/>
            <w:vAlign w:val="bottom"/>
            <w:hideMark/>
          </w:tcPr>
          <w:p w14:paraId="78D13705"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D38B241"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531B2FC5"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2FEBEE12" w14:textId="77777777" w:rsidTr="00E62660">
        <w:trPr>
          <w:trHeight w:val="8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62FF6C2"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1.12</w:t>
            </w:r>
          </w:p>
        </w:tc>
        <w:tc>
          <w:tcPr>
            <w:tcW w:w="0" w:type="auto"/>
            <w:tcBorders>
              <w:top w:val="nil"/>
              <w:left w:val="nil"/>
              <w:bottom w:val="single" w:sz="4" w:space="0" w:color="auto"/>
              <w:right w:val="single" w:sz="4" w:space="0" w:color="auto"/>
            </w:tcBorders>
            <w:shd w:val="clear" w:color="000000" w:fill="F2F2F2"/>
            <w:hideMark/>
          </w:tcPr>
          <w:p w14:paraId="191A3304"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Decisions against Registry Operator arising from Registry Restrictions Dispute Resolutions Procedure (RRDRP).</w:t>
            </w:r>
          </w:p>
        </w:tc>
        <w:tc>
          <w:tcPr>
            <w:tcW w:w="0" w:type="auto"/>
            <w:tcBorders>
              <w:top w:val="nil"/>
              <w:left w:val="nil"/>
              <w:bottom w:val="single" w:sz="4" w:space="0" w:color="auto"/>
              <w:right w:val="single" w:sz="4" w:space="0" w:color="auto"/>
            </w:tcBorders>
            <w:shd w:val="clear" w:color="000000" w:fill="F2F2F2"/>
            <w:noWrap/>
            <w:vAlign w:val="bottom"/>
            <w:hideMark/>
          </w:tcPr>
          <w:p w14:paraId="1D23DF5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43B0F7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68CD881F"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r>
      <w:tr w:rsidR="00E62660" w:rsidRPr="00E62660" w14:paraId="04AD883A" w14:textId="77777777" w:rsidTr="00E62660">
        <w:trPr>
          <w:trHeight w:val="8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918F618"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1.20</w:t>
            </w:r>
          </w:p>
        </w:tc>
        <w:tc>
          <w:tcPr>
            <w:tcW w:w="0" w:type="auto"/>
            <w:tcBorders>
              <w:top w:val="nil"/>
              <w:left w:val="nil"/>
              <w:bottom w:val="single" w:sz="4" w:space="0" w:color="auto"/>
              <w:right w:val="single" w:sz="4" w:space="0" w:color="auto"/>
            </w:tcBorders>
            <w:shd w:val="clear" w:color="000000" w:fill="F2F2F2"/>
            <w:hideMark/>
          </w:tcPr>
          <w:p w14:paraId="1DA5AA1F"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Quantity and relative incidence of complaints regarding inaccurate, invalid, or suspect WHOIS records in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777C31F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7295AE3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734A4E5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2E1B3967" w14:textId="77777777" w:rsidTr="00E62660">
        <w:trPr>
          <w:trHeight w:val="53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04FDA5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4.5</w:t>
            </w:r>
          </w:p>
        </w:tc>
        <w:tc>
          <w:tcPr>
            <w:tcW w:w="0" w:type="auto"/>
            <w:tcBorders>
              <w:top w:val="nil"/>
              <w:left w:val="nil"/>
              <w:bottom w:val="single" w:sz="4" w:space="0" w:color="auto"/>
              <w:right w:val="single" w:sz="4" w:space="0" w:color="auto"/>
            </w:tcBorders>
            <w:shd w:val="clear" w:color="000000" w:fill="F2F2F2"/>
            <w:hideMark/>
          </w:tcPr>
          <w:p w14:paraId="6277D0BC"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Numbers of complaints received by ICANN regarding improper use of domains</w:t>
            </w:r>
          </w:p>
        </w:tc>
        <w:tc>
          <w:tcPr>
            <w:tcW w:w="0" w:type="auto"/>
            <w:tcBorders>
              <w:top w:val="nil"/>
              <w:left w:val="nil"/>
              <w:bottom w:val="single" w:sz="4" w:space="0" w:color="auto"/>
              <w:right w:val="single" w:sz="4" w:space="0" w:color="auto"/>
            </w:tcBorders>
            <w:shd w:val="clear" w:color="000000" w:fill="F2F2F2"/>
            <w:noWrap/>
            <w:vAlign w:val="bottom"/>
            <w:hideMark/>
          </w:tcPr>
          <w:p w14:paraId="298F9EA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5C73FA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47E16CE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7947E3DA" w14:textId="77777777" w:rsidTr="00E62660">
        <w:trPr>
          <w:trHeight w:val="53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575DE5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8.1</w:t>
            </w:r>
          </w:p>
        </w:tc>
        <w:tc>
          <w:tcPr>
            <w:tcW w:w="0" w:type="auto"/>
            <w:tcBorders>
              <w:top w:val="nil"/>
              <w:left w:val="nil"/>
              <w:bottom w:val="single" w:sz="4" w:space="0" w:color="auto"/>
              <w:right w:val="single" w:sz="4" w:space="0" w:color="auto"/>
            </w:tcBorders>
            <w:shd w:val="clear" w:color="000000" w:fill="F2F2F2"/>
            <w:hideMark/>
          </w:tcPr>
          <w:p w14:paraId="75DF72BD"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How many complaints are received by ICANN related to confusion or misunderstanding of TLD functions</w:t>
            </w:r>
          </w:p>
        </w:tc>
        <w:tc>
          <w:tcPr>
            <w:tcW w:w="0" w:type="auto"/>
            <w:tcBorders>
              <w:top w:val="nil"/>
              <w:left w:val="nil"/>
              <w:bottom w:val="single" w:sz="4" w:space="0" w:color="auto"/>
              <w:right w:val="single" w:sz="4" w:space="0" w:color="auto"/>
            </w:tcBorders>
            <w:shd w:val="clear" w:color="000000" w:fill="F2F2F2"/>
            <w:noWrap/>
            <w:vAlign w:val="bottom"/>
            <w:hideMark/>
          </w:tcPr>
          <w:p w14:paraId="1841B34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B874C9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0091ED43"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4A</w:t>
            </w:r>
          </w:p>
        </w:tc>
      </w:tr>
      <w:tr w:rsidR="00E62660" w:rsidRPr="00E62660" w14:paraId="2DD4DC3B" w14:textId="77777777" w:rsidTr="00E62660">
        <w:trPr>
          <w:trHeight w:val="88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5FD0B18"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8.3</w:t>
            </w:r>
          </w:p>
        </w:tc>
        <w:tc>
          <w:tcPr>
            <w:tcW w:w="0" w:type="auto"/>
            <w:tcBorders>
              <w:top w:val="nil"/>
              <w:left w:val="nil"/>
              <w:bottom w:val="single" w:sz="4" w:space="0" w:color="auto"/>
              <w:right w:val="single" w:sz="4" w:space="0" w:color="auto"/>
            </w:tcBorders>
            <w:shd w:val="clear" w:color="000000" w:fill="F2F2F2"/>
            <w:hideMark/>
          </w:tcPr>
          <w:p w14:paraId="679F887C"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How many registries have been the subject of complaints related to their Public Interest Commitments (PICs)</w:t>
            </w:r>
          </w:p>
        </w:tc>
        <w:tc>
          <w:tcPr>
            <w:tcW w:w="0" w:type="auto"/>
            <w:tcBorders>
              <w:top w:val="nil"/>
              <w:left w:val="nil"/>
              <w:bottom w:val="single" w:sz="4" w:space="0" w:color="auto"/>
              <w:right w:val="single" w:sz="4" w:space="0" w:color="auto"/>
            </w:tcBorders>
            <w:shd w:val="clear" w:color="000000" w:fill="F2F2F2"/>
            <w:noWrap/>
            <w:vAlign w:val="bottom"/>
            <w:hideMark/>
          </w:tcPr>
          <w:p w14:paraId="6E43E50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3DB6DBB2"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2B17098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r>
      <w:tr w:rsidR="00E62660" w:rsidRPr="00E62660" w14:paraId="7074F60D" w14:textId="77777777" w:rsidTr="00E62660">
        <w:trPr>
          <w:trHeight w:val="53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A117DA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8.4</w:t>
            </w:r>
          </w:p>
        </w:tc>
        <w:tc>
          <w:tcPr>
            <w:tcW w:w="0" w:type="auto"/>
            <w:tcBorders>
              <w:top w:val="nil"/>
              <w:left w:val="nil"/>
              <w:bottom w:val="single" w:sz="4" w:space="0" w:color="auto"/>
              <w:right w:val="single" w:sz="4" w:space="0" w:color="auto"/>
            </w:tcBorders>
            <w:shd w:val="clear" w:color="000000" w:fill="F2F2F2"/>
            <w:hideMark/>
          </w:tcPr>
          <w:p w14:paraId="6C0E4EAD"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How many registries have lost a dispute resolution process related to their PICs</w:t>
            </w:r>
          </w:p>
        </w:tc>
        <w:tc>
          <w:tcPr>
            <w:tcW w:w="0" w:type="auto"/>
            <w:tcBorders>
              <w:top w:val="nil"/>
              <w:left w:val="nil"/>
              <w:bottom w:val="single" w:sz="4" w:space="0" w:color="auto"/>
              <w:right w:val="single" w:sz="4" w:space="0" w:color="auto"/>
            </w:tcBorders>
            <w:shd w:val="clear" w:color="000000" w:fill="F2F2F2"/>
            <w:noWrap/>
            <w:vAlign w:val="bottom"/>
            <w:hideMark/>
          </w:tcPr>
          <w:p w14:paraId="7BED28F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5449C87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2D9CB91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w:t>
            </w:r>
          </w:p>
        </w:tc>
      </w:tr>
    </w:tbl>
    <w:p w14:paraId="2D558ADC" w14:textId="77777777" w:rsidR="00E62660" w:rsidRDefault="00E62660" w:rsidP="00D25832"/>
    <w:tbl>
      <w:tblPr>
        <w:tblW w:w="0" w:type="auto"/>
        <w:tblLook w:val="04A0" w:firstRow="1" w:lastRow="0" w:firstColumn="1" w:lastColumn="0" w:noHBand="0" w:noVBand="1"/>
      </w:tblPr>
      <w:tblGrid>
        <w:gridCol w:w="607"/>
        <w:gridCol w:w="5442"/>
        <w:gridCol w:w="1018"/>
        <w:gridCol w:w="1037"/>
        <w:gridCol w:w="1256"/>
      </w:tblGrid>
      <w:tr w:rsidR="00E62660" w:rsidRPr="00E62660" w14:paraId="732DBC8B" w14:textId="77777777" w:rsidTr="00E62660">
        <w:trPr>
          <w:trHeight w:val="300"/>
        </w:trPr>
        <w:tc>
          <w:tcPr>
            <w:tcW w:w="0" w:type="auto"/>
            <w:gridSpan w:val="5"/>
            <w:tcBorders>
              <w:top w:val="nil"/>
              <w:left w:val="nil"/>
              <w:bottom w:val="single" w:sz="4" w:space="0" w:color="auto"/>
              <w:right w:val="nil"/>
            </w:tcBorders>
            <w:shd w:val="clear" w:color="auto" w:fill="auto"/>
            <w:noWrap/>
            <w:vAlign w:val="bottom"/>
            <w:hideMark/>
          </w:tcPr>
          <w:p w14:paraId="4FB1CDB7" w14:textId="77777777" w:rsidR="00E62660" w:rsidRPr="00E62660" w:rsidRDefault="00E62660" w:rsidP="00E62660">
            <w:pPr>
              <w:spacing w:after="0" w:line="240" w:lineRule="auto"/>
              <w:rPr>
                <w:rFonts w:ascii="Calibri" w:eastAsia="Times New Roman" w:hAnsi="Calibri" w:cs="Times New Roman"/>
                <w:b/>
                <w:bCs/>
                <w:i/>
                <w:iCs/>
                <w:color w:val="000000"/>
              </w:rPr>
            </w:pPr>
            <w:r w:rsidRPr="00E62660">
              <w:rPr>
                <w:rFonts w:ascii="Calibri" w:eastAsia="Times New Roman" w:hAnsi="Calibri" w:cs="Times New Roman"/>
                <w:b/>
                <w:bCs/>
                <w:i/>
                <w:iCs/>
                <w:color w:val="000000"/>
              </w:rPr>
              <w:t>Surveys</w:t>
            </w:r>
          </w:p>
        </w:tc>
      </w:tr>
      <w:tr w:rsidR="00E62660" w:rsidRPr="00E62660" w14:paraId="10F868E9" w14:textId="77777777" w:rsidTr="00E6266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A7233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vAlign w:val="bottom"/>
            <w:hideMark/>
          </w:tcPr>
          <w:p w14:paraId="73000060"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Description</w:t>
            </w:r>
          </w:p>
        </w:tc>
        <w:tc>
          <w:tcPr>
            <w:tcW w:w="0" w:type="auto"/>
            <w:tcBorders>
              <w:top w:val="nil"/>
              <w:left w:val="nil"/>
              <w:bottom w:val="single" w:sz="4" w:space="0" w:color="auto"/>
              <w:right w:val="single" w:sz="4" w:space="0" w:color="auto"/>
            </w:tcBorders>
            <w:shd w:val="clear" w:color="auto" w:fill="auto"/>
            <w:vAlign w:val="bottom"/>
            <w:hideMark/>
          </w:tcPr>
          <w:p w14:paraId="621B509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Category</w:t>
            </w:r>
          </w:p>
        </w:tc>
        <w:tc>
          <w:tcPr>
            <w:tcW w:w="0" w:type="auto"/>
            <w:tcBorders>
              <w:top w:val="nil"/>
              <w:left w:val="nil"/>
              <w:bottom w:val="single" w:sz="4" w:space="0" w:color="auto"/>
              <w:right w:val="single" w:sz="4" w:space="0" w:color="auto"/>
            </w:tcBorders>
            <w:shd w:val="clear" w:color="auto" w:fill="auto"/>
            <w:vAlign w:val="bottom"/>
            <w:hideMark/>
          </w:tcPr>
          <w:p w14:paraId="4CEEC7E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Baseline phase</w:t>
            </w:r>
          </w:p>
        </w:tc>
        <w:tc>
          <w:tcPr>
            <w:tcW w:w="0" w:type="auto"/>
            <w:tcBorders>
              <w:top w:val="nil"/>
              <w:left w:val="nil"/>
              <w:bottom w:val="single" w:sz="4" w:space="0" w:color="auto"/>
              <w:right w:val="single" w:sz="4" w:space="0" w:color="auto"/>
            </w:tcBorders>
            <w:shd w:val="clear" w:color="auto" w:fill="auto"/>
            <w:vAlign w:val="bottom"/>
            <w:hideMark/>
          </w:tcPr>
          <w:p w14:paraId="7F76F09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General collection phase</w:t>
            </w:r>
          </w:p>
        </w:tc>
      </w:tr>
      <w:tr w:rsidR="00E62660" w:rsidRPr="00E62660" w14:paraId="0C818EED" w14:textId="77777777" w:rsidTr="00E62660">
        <w:trPr>
          <w:trHeight w:val="2366"/>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4DD71F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lastRenderedPageBreak/>
              <w:t>1.4</w:t>
            </w:r>
          </w:p>
        </w:tc>
        <w:tc>
          <w:tcPr>
            <w:tcW w:w="0" w:type="auto"/>
            <w:tcBorders>
              <w:top w:val="nil"/>
              <w:left w:val="nil"/>
              <w:bottom w:val="single" w:sz="4" w:space="0" w:color="auto"/>
              <w:right w:val="single" w:sz="4" w:space="0" w:color="auto"/>
            </w:tcBorders>
            <w:shd w:val="clear" w:color="000000" w:fill="F2F2F2"/>
            <w:hideMark/>
          </w:tcPr>
          <w:p w14:paraId="5E69B080"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Survey of perceived consumer trust in DNS, relative to experiences before the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expansion.  Survey could at least measure experiences with phishing, parking sites, malware and spam; confusion about new </w:t>
            </w:r>
            <w:proofErr w:type="spellStart"/>
            <w:r w:rsidRPr="00E62660">
              <w:rPr>
                <w:rFonts w:ascii="Calibri" w:eastAsia="Times New Roman" w:hAnsi="Calibri" w:cs="Times New Roman"/>
              </w:rPr>
              <w:t>gTLDs</w:t>
            </w:r>
            <w:proofErr w:type="spellEnd"/>
            <w:r w:rsidRPr="00E62660">
              <w:rPr>
                <w:rFonts w:ascii="Calibri" w:eastAsia="Times New Roman" w:hAnsi="Calibri" w:cs="Times New Roman"/>
              </w:rPr>
              <w:t xml:space="preserve">;  user experience in reaching meaningful second-level TLDs; registrant experience in being in a different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Registrant and Internet users’ experience with regard to cybersquatting.  Survey to be conducted every two years (biennial).</w:t>
            </w:r>
          </w:p>
        </w:tc>
        <w:tc>
          <w:tcPr>
            <w:tcW w:w="0" w:type="auto"/>
            <w:tcBorders>
              <w:top w:val="nil"/>
              <w:left w:val="nil"/>
              <w:bottom w:val="single" w:sz="4" w:space="0" w:color="auto"/>
              <w:right w:val="single" w:sz="4" w:space="0" w:color="auto"/>
            </w:tcBorders>
            <w:shd w:val="clear" w:color="000000" w:fill="F2F2F2"/>
            <w:noWrap/>
            <w:vAlign w:val="bottom"/>
            <w:hideMark/>
          </w:tcPr>
          <w:p w14:paraId="17A4F8F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2EEEF23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1FD0134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17FAA2F6" w14:textId="77777777" w:rsidTr="00E62660">
        <w:trPr>
          <w:trHeight w:val="98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154C9A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2.1</w:t>
            </w:r>
          </w:p>
        </w:tc>
        <w:tc>
          <w:tcPr>
            <w:tcW w:w="0" w:type="auto"/>
            <w:tcBorders>
              <w:top w:val="nil"/>
              <w:left w:val="nil"/>
              <w:bottom w:val="single" w:sz="4" w:space="0" w:color="auto"/>
              <w:right w:val="single" w:sz="4" w:space="0" w:color="auto"/>
            </w:tcBorders>
            <w:shd w:val="clear" w:color="000000" w:fill="F2F2F2"/>
            <w:hideMark/>
          </w:tcPr>
          <w:p w14:paraId="0CC9D8CD"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Measure potential registrants’ understanding of TLD benefits and restrictions, such that potential registrants can make informed choices about registration of their domain names.</w:t>
            </w:r>
          </w:p>
        </w:tc>
        <w:tc>
          <w:tcPr>
            <w:tcW w:w="0" w:type="auto"/>
            <w:tcBorders>
              <w:top w:val="nil"/>
              <w:left w:val="nil"/>
              <w:bottom w:val="single" w:sz="4" w:space="0" w:color="auto"/>
              <w:right w:val="single" w:sz="4" w:space="0" w:color="auto"/>
            </w:tcBorders>
            <w:shd w:val="clear" w:color="000000" w:fill="F2F2F2"/>
            <w:noWrap/>
            <w:vAlign w:val="bottom"/>
            <w:hideMark/>
          </w:tcPr>
          <w:p w14:paraId="368EF9FA"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2618CCE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207A898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3459BE1A" w14:textId="77777777" w:rsidTr="00E62660">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54A839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2.2</w:t>
            </w:r>
          </w:p>
        </w:tc>
        <w:tc>
          <w:tcPr>
            <w:tcW w:w="0" w:type="auto"/>
            <w:tcBorders>
              <w:top w:val="nil"/>
              <w:left w:val="nil"/>
              <w:bottom w:val="single" w:sz="4" w:space="0" w:color="auto"/>
              <w:right w:val="single" w:sz="4" w:space="0" w:color="auto"/>
            </w:tcBorders>
            <w:shd w:val="clear" w:color="000000" w:fill="F2F2F2"/>
            <w:hideMark/>
          </w:tcPr>
          <w:p w14:paraId="16A64777"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Measure Internet users’ understanding of TLD eligibility restrictions, such that Internet users can make informed choices about reliance on domain names in that TLD.    </w:t>
            </w:r>
          </w:p>
        </w:tc>
        <w:tc>
          <w:tcPr>
            <w:tcW w:w="0" w:type="auto"/>
            <w:tcBorders>
              <w:top w:val="nil"/>
              <w:left w:val="nil"/>
              <w:bottom w:val="single" w:sz="4" w:space="0" w:color="auto"/>
              <w:right w:val="single" w:sz="4" w:space="0" w:color="auto"/>
            </w:tcBorders>
            <w:shd w:val="clear" w:color="000000" w:fill="F2F2F2"/>
            <w:noWrap/>
            <w:vAlign w:val="bottom"/>
            <w:hideMark/>
          </w:tcPr>
          <w:p w14:paraId="0410686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048174BC"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756810CF"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38E2BFC0" w14:textId="77777777" w:rsidTr="00E62660">
        <w:trPr>
          <w:trHeight w:val="6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1DEAA4F"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2.3</w:t>
            </w:r>
          </w:p>
        </w:tc>
        <w:tc>
          <w:tcPr>
            <w:tcW w:w="0" w:type="auto"/>
            <w:tcBorders>
              <w:top w:val="nil"/>
              <w:left w:val="nil"/>
              <w:bottom w:val="single" w:sz="4" w:space="0" w:color="auto"/>
              <w:right w:val="single" w:sz="4" w:space="0" w:color="auto"/>
            </w:tcBorders>
            <w:shd w:val="clear" w:color="000000" w:fill="F2F2F2"/>
            <w:hideMark/>
          </w:tcPr>
          <w:p w14:paraId="063881C1"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Biennial surveys of perceived consumer choice in DNS, relative to experience before the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expansion. </w:t>
            </w:r>
          </w:p>
        </w:tc>
        <w:tc>
          <w:tcPr>
            <w:tcW w:w="0" w:type="auto"/>
            <w:tcBorders>
              <w:top w:val="nil"/>
              <w:left w:val="nil"/>
              <w:bottom w:val="single" w:sz="4" w:space="0" w:color="auto"/>
              <w:right w:val="single" w:sz="4" w:space="0" w:color="auto"/>
            </w:tcBorders>
            <w:shd w:val="clear" w:color="000000" w:fill="F2F2F2"/>
            <w:noWrap/>
            <w:vAlign w:val="bottom"/>
            <w:hideMark/>
          </w:tcPr>
          <w:p w14:paraId="40D66FB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7D8814C5"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891B53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02438112" w14:textId="77777777" w:rsidTr="00E62660">
        <w:trPr>
          <w:trHeight w:val="116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DE2F360"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2.12</w:t>
            </w:r>
          </w:p>
        </w:tc>
        <w:tc>
          <w:tcPr>
            <w:tcW w:w="0" w:type="auto"/>
            <w:tcBorders>
              <w:top w:val="nil"/>
              <w:left w:val="nil"/>
              <w:bottom w:val="single" w:sz="4" w:space="0" w:color="auto"/>
              <w:right w:val="single" w:sz="4" w:space="0" w:color="auto"/>
            </w:tcBorders>
            <w:shd w:val="clear" w:color="000000" w:fill="F2F2F2"/>
            <w:hideMark/>
          </w:tcPr>
          <w:p w14:paraId="369FA6C8"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Survey or Study to gauge the frequency with which users access internet resources via tools that do not reveal the TLD (e.g. QR Codes, search results, apps, etc., that do not display URLs).</w:t>
            </w:r>
          </w:p>
        </w:tc>
        <w:tc>
          <w:tcPr>
            <w:tcW w:w="0" w:type="auto"/>
            <w:tcBorders>
              <w:top w:val="nil"/>
              <w:left w:val="nil"/>
              <w:bottom w:val="single" w:sz="4" w:space="0" w:color="auto"/>
              <w:right w:val="single" w:sz="4" w:space="0" w:color="auto"/>
            </w:tcBorders>
            <w:shd w:val="clear" w:color="000000" w:fill="F2F2F2"/>
            <w:noWrap/>
            <w:vAlign w:val="bottom"/>
            <w:hideMark/>
          </w:tcPr>
          <w:p w14:paraId="25CE18B4"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Choice</w:t>
            </w:r>
          </w:p>
        </w:tc>
        <w:tc>
          <w:tcPr>
            <w:tcW w:w="0" w:type="auto"/>
            <w:tcBorders>
              <w:top w:val="nil"/>
              <w:left w:val="nil"/>
              <w:bottom w:val="single" w:sz="4" w:space="0" w:color="auto"/>
              <w:right w:val="single" w:sz="4" w:space="0" w:color="auto"/>
            </w:tcBorders>
            <w:shd w:val="clear" w:color="000000" w:fill="F2F2F2"/>
            <w:noWrap/>
            <w:vAlign w:val="bottom"/>
            <w:hideMark/>
          </w:tcPr>
          <w:p w14:paraId="6E968742"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1FCFCEF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711277A5" w14:textId="77777777" w:rsidTr="00E62660">
        <w:trPr>
          <w:trHeight w:val="80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2BB50E0"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4.1</w:t>
            </w:r>
          </w:p>
        </w:tc>
        <w:tc>
          <w:tcPr>
            <w:tcW w:w="0" w:type="auto"/>
            <w:tcBorders>
              <w:top w:val="nil"/>
              <w:left w:val="nil"/>
              <w:bottom w:val="single" w:sz="4" w:space="0" w:color="auto"/>
              <w:right w:val="single" w:sz="4" w:space="0" w:color="auto"/>
            </w:tcBorders>
            <w:shd w:val="clear" w:color="000000" w:fill="F2F2F2"/>
            <w:hideMark/>
          </w:tcPr>
          <w:p w14:paraId="171A8A34"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Frequency of success in reaching the intended information supplier through direct entry of domain names</w:t>
            </w:r>
          </w:p>
        </w:tc>
        <w:tc>
          <w:tcPr>
            <w:tcW w:w="0" w:type="auto"/>
            <w:tcBorders>
              <w:top w:val="nil"/>
              <w:left w:val="nil"/>
              <w:bottom w:val="single" w:sz="4" w:space="0" w:color="auto"/>
              <w:right w:val="single" w:sz="4" w:space="0" w:color="auto"/>
            </w:tcBorders>
            <w:shd w:val="clear" w:color="000000" w:fill="F2F2F2"/>
            <w:noWrap/>
            <w:vAlign w:val="bottom"/>
            <w:hideMark/>
          </w:tcPr>
          <w:p w14:paraId="7034BBCA"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3215187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E5940A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2E9035B4" w14:textId="77777777" w:rsidTr="00E62660">
        <w:trPr>
          <w:trHeight w:val="39"/>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C84F6A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4.2</w:t>
            </w:r>
          </w:p>
        </w:tc>
        <w:tc>
          <w:tcPr>
            <w:tcW w:w="0" w:type="auto"/>
            <w:tcBorders>
              <w:top w:val="nil"/>
              <w:left w:val="nil"/>
              <w:bottom w:val="single" w:sz="4" w:space="0" w:color="auto"/>
              <w:right w:val="single" w:sz="4" w:space="0" w:color="auto"/>
            </w:tcBorders>
            <w:shd w:val="clear" w:color="000000" w:fill="F2F2F2"/>
            <w:hideMark/>
          </w:tcPr>
          <w:p w14:paraId="43F6DB9A"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Frequency of landing at unintended destinations</w:t>
            </w:r>
          </w:p>
        </w:tc>
        <w:tc>
          <w:tcPr>
            <w:tcW w:w="0" w:type="auto"/>
            <w:tcBorders>
              <w:top w:val="nil"/>
              <w:left w:val="nil"/>
              <w:bottom w:val="single" w:sz="4" w:space="0" w:color="auto"/>
              <w:right w:val="single" w:sz="4" w:space="0" w:color="auto"/>
            </w:tcBorders>
            <w:shd w:val="clear" w:color="000000" w:fill="F2F2F2"/>
            <w:noWrap/>
            <w:vAlign w:val="bottom"/>
            <w:hideMark/>
          </w:tcPr>
          <w:p w14:paraId="70537DAE"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4E097B24"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5CC5E28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000FF46B" w14:textId="77777777" w:rsidTr="00E62660">
        <w:trPr>
          <w:trHeight w:val="52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D68FA01"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4.3</w:t>
            </w:r>
          </w:p>
        </w:tc>
        <w:tc>
          <w:tcPr>
            <w:tcW w:w="0" w:type="auto"/>
            <w:tcBorders>
              <w:top w:val="nil"/>
              <w:left w:val="nil"/>
              <w:bottom w:val="single" w:sz="4" w:space="0" w:color="auto"/>
              <w:right w:val="single" w:sz="4" w:space="0" w:color="auto"/>
            </w:tcBorders>
            <w:shd w:val="clear" w:color="000000" w:fill="F2F2F2"/>
            <w:hideMark/>
          </w:tcPr>
          <w:p w14:paraId="6F4BDA5E"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Frequency of redundant or defensive domains (</w:t>
            </w:r>
            <w:proofErr w:type="spellStart"/>
            <w:r w:rsidRPr="00E62660">
              <w:rPr>
                <w:rFonts w:ascii="Calibri" w:eastAsia="Times New Roman" w:hAnsi="Calibri" w:cs="Times New Roman"/>
              </w:rPr>
              <w:t>ie</w:t>
            </w:r>
            <w:proofErr w:type="spellEnd"/>
            <w:r w:rsidRPr="00E62660">
              <w:rPr>
                <w:rFonts w:ascii="Calibri" w:eastAsia="Times New Roman" w:hAnsi="Calibri" w:cs="Times New Roman"/>
              </w:rPr>
              <w:t>, multiple domains pointing to the same destination)</w:t>
            </w:r>
          </w:p>
        </w:tc>
        <w:tc>
          <w:tcPr>
            <w:tcW w:w="0" w:type="auto"/>
            <w:tcBorders>
              <w:top w:val="nil"/>
              <w:left w:val="nil"/>
              <w:bottom w:val="single" w:sz="4" w:space="0" w:color="auto"/>
              <w:right w:val="single" w:sz="4" w:space="0" w:color="auto"/>
            </w:tcBorders>
            <w:shd w:val="clear" w:color="000000" w:fill="F2F2F2"/>
            <w:noWrap/>
            <w:vAlign w:val="bottom"/>
            <w:hideMark/>
          </w:tcPr>
          <w:p w14:paraId="4C05387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7F5411DB"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573DFC9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11147F0D" w14:textId="77777777" w:rsidTr="00E62660">
        <w:trPr>
          <w:trHeight w:val="521"/>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F204BE3"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5.1</w:t>
            </w:r>
          </w:p>
        </w:tc>
        <w:tc>
          <w:tcPr>
            <w:tcW w:w="0" w:type="auto"/>
            <w:tcBorders>
              <w:top w:val="nil"/>
              <w:left w:val="nil"/>
              <w:bottom w:val="single" w:sz="4" w:space="0" w:color="auto"/>
              <w:right w:val="single" w:sz="4" w:space="0" w:color="auto"/>
            </w:tcBorders>
            <w:shd w:val="clear" w:color="000000" w:fill="F2F2F2"/>
            <w:hideMark/>
          </w:tcPr>
          <w:p w14:paraId="150C4B50"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Relative preference of explicit use of domain names versus search engines for end-user general Internet use</w:t>
            </w:r>
          </w:p>
        </w:tc>
        <w:tc>
          <w:tcPr>
            <w:tcW w:w="0" w:type="auto"/>
            <w:tcBorders>
              <w:top w:val="nil"/>
              <w:left w:val="nil"/>
              <w:bottom w:val="single" w:sz="4" w:space="0" w:color="auto"/>
              <w:right w:val="single" w:sz="4" w:space="0" w:color="auto"/>
            </w:tcBorders>
            <w:shd w:val="clear" w:color="000000" w:fill="F2F2F2"/>
            <w:noWrap/>
            <w:vAlign w:val="bottom"/>
            <w:hideMark/>
          </w:tcPr>
          <w:p w14:paraId="13B2095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301C2651"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42F6CC9D"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bl>
    <w:p w14:paraId="72C73810" w14:textId="77777777" w:rsidR="00E62660" w:rsidRDefault="00E62660" w:rsidP="00D25832"/>
    <w:tbl>
      <w:tblPr>
        <w:tblW w:w="0" w:type="auto"/>
        <w:tblLook w:val="04A0" w:firstRow="1" w:lastRow="0" w:firstColumn="1" w:lastColumn="0" w:noHBand="0" w:noVBand="1"/>
      </w:tblPr>
      <w:tblGrid>
        <w:gridCol w:w="607"/>
        <w:gridCol w:w="4975"/>
        <w:gridCol w:w="1331"/>
        <w:gridCol w:w="1084"/>
        <w:gridCol w:w="1363"/>
      </w:tblGrid>
      <w:tr w:rsidR="00E62660" w:rsidRPr="00E62660" w14:paraId="16E504C5" w14:textId="77777777" w:rsidTr="00E62660">
        <w:trPr>
          <w:trHeight w:val="300"/>
        </w:trPr>
        <w:tc>
          <w:tcPr>
            <w:tcW w:w="0" w:type="auto"/>
            <w:gridSpan w:val="5"/>
            <w:tcBorders>
              <w:top w:val="nil"/>
              <w:left w:val="nil"/>
              <w:bottom w:val="single" w:sz="4" w:space="0" w:color="auto"/>
              <w:right w:val="nil"/>
            </w:tcBorders>
            <w:shd w:val="clear" w:color="auto" w:fill="auto"/>
            <w:noWrap/>
            <w:vAlign w:val="bottom"/>
            <w:hideMark/>
          </w:tcPr>
          <w:p w14:paraId="38079B7E" w14:textId="77777777" w:rsidR="00E62660" w:rsidRPr="00E62660" w:rsidRDefault="00E62660" w:rsidP="00E62660">
            <w:pPr>
              <w:spacing w:after="0" w:line="240" w:lineRule="auto"/>
              <w:rPr>
                <w:rFonts w:ascii="Calibri" w:eastAsia="Times New Roman" w:hAnsi="Calibri" w:cs="Times New Roman"/>
                <w:b/>
                <w:bCs/>
                <w:i/>
                <w:iCs/>
                <w:color w:val="000000"/>
              </w:rPr>
            </w:pPr>
            <w:r w:rsidRPr="00E62660">
              <w:rPr>
                <w:rFonts w:ascii="Calibri" w:eastAsia="Times New Roman" w:hAnsi="Calibri" w:cs="Times New Roman"/>
                <w:b/>
                <w:bCs/>
                <w:i/>
                <w:iCs/>
                <w:color w:val="000000"/>
              </w:rPr>
              <w:t>Qualitative studies</w:t>
            </w:r>
          </w:p>
        </w:tc>
      </w:tr>
      <w:tr w:rsidR="00E62660" w:rsidRPr="00E62660" w14:paraId="235B65BC" w14:textId="77777777" w:rsidTr="00E6266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F4C4C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vAlign w:val="bottom"/>
            <w:hideMark/>
          </w:tcPr>
          <w:p w14:paraId="4B2E87A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Description</w:t>
            </w:r>
          </w:p>
        </w:tc>
        <w:tc>
          <w:tcPr>
            <w:tcW w:w="0" w:type="auto"/>
            <w:tcBorders>
              <w:top w:val="nil"/>
              <w:left w:val="nil"/>
              <w:bottom w:val="single" w:sz="4" w:space="0" w:color="auto"/>
              <w:right w:val="single" w:sz="4" w:space="0" w:color="auto"/>
            </w:tcBorders>
            <w:shd w:val="clear" w:color="auto" w:fill="auto"/>
            <w:vAlign w:val="bottom"/>
            <w:hideMark/>
          </w:tcPr>
          <w:p w14:paraId="5317A8ED"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Category</w:t>
            </w:r>
          </w:p>
        </w:tc>
        <w:tc>
          <w:tcPr>
            <w:tcW w:w="0" w:type="auto"/>
            <w:tcBorders>
              <w:top w:val="nil"/>
              <w:left w:val="nil"/>
              <w:bottom w:val="single" w:sz="4" w:space="0" w:color="auto"/>
              <w:right w:val="single" w:sz="4" w:space="0" w:color="auto"/>
            </w:tcBorders>
            <w:shd w:val="clear" w:color="auto" w:fill="auto"/>
            <w:vAlign w:val="bottom"/>
            <w:hideMark/>
          </w:tcPr>
          <w:p w14:paraId="4DB864F6"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Baseline phase</w:t>
            </w:r>
          </w:p>
        </w:tc>
        <w:tc>
          <w:tcPr>
            <w:tcW w:w="0" w:type="auto"/>
            <w:tcBorders>
              <w:top w:val="nil"/>
              <w:left w:val="nil"/>
              <w:bottom w:val="single" w:sz="4" w:space="0" w:color="auto"/>
              <w:right w:val="single" w:sz="4" w:space="0" w:color="auto"/>
            </w:tcBorders>
            <w:shd w:val="clear" w:color="auto" w:fill="auto"/>
            <w:vAlign w:val="bottom"/>
            <w:hideMark/>
          </w:tcPr>
          <w:p w14:paraId="36061B8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General collection phase</w:t>
            </w:r>
          </w:p>
        </w:tc>
      </w:tr>
      <w:tr w:rsidR="00E62660" w:rsidRPr="00E62660" w14:paraId="28BDB4FE" w14:textId="77777777" w:rsidTr="00E62660">
        <w:trPr>
          <w:trHeight w:val="80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045AA6A8"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1.22</w:t>
            </w:r>
          </w:p>
        </w:tc>
        <w:tc>
          <w:tcPr>
            <w:tcW w:w="0" w:type="auto"/>
            <w:tcBorders>
              <w:top w:val="nil"/>
              <w:left w:val="nil"/>
              <w:bottom w:val="single" w:sz="4" w:space="0" w:color="auto"/>
              <w:right w:val="single" w:sz="4" w:space="0" w:color="auto"/>
            </w:tcBorders>
            <w:shd w:val="clear" w:color="000000" w:fill="F2F2F2"/>
            <w:hideMark/>
          </w:tcPr>
          <w:p w14:paraId="24B827D7"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Qualitative comparison of mission and purpose set forth in Question 18 of the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Application with current actual use of the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w:t>
            </w:r>
          </w:p>
        </w:tc>
        <w:tc>
          <w:tcPr>
            <w:tcW w:w="0" w:type="auto"/>
            <w:tcBorders>
              <w:top w:val="nil"/>
              <w:left w:val="nil"/>
              <w:bottom w:val="single" w:sz="4" w:space="0" w:color="auto"/>
              <w:right w:val="single" w:sz="4" w:space="0" w:color="auto"/>
            </w:tcBorders>
            <w:shd w:val="clear" w:color="000000" w:fill="F2F2F2"/>
            <w:noWrap/>
            <w:vAlign w:val="bottom"/>
            <w:hideMark/>
          </w:tcPr>
          <w:p w14:paraId="47DD2E69"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Trust</w:t>
            </w:r>
          </w:p>
        </w:tc>
        <w:tc>
          <w:tcPr>
            <w:tcW w:w="0" w:type="auto"/>
            <w:tcBorders>
              <w:top w:val="nil"/>
              <w:left w:val="nil"/>
              <w:bottom w:val="single" w:sz="4" w:space="0" w:color="auto"/>
              <w:right w:val="single" w:sz="4" w:space="0" w:color="auto"/>
            </w:tcBorders>
            <w:shd w:val="clear" w:color="000000" w:fill="F2F2F2"/>
            <w:noWrap/>
            <w:vAlign w:val="bottom"/>
            <w:hideMark/>
          </w:tcPr>
          <w:p w14:paraId="0B4A3AA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39B9D218"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2AA9D29D" w14:textId="77777777" w:rsidTr="00E62660">
        <w:trPr>
          <w:trHeight w:val="107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0D538B0"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3.10</w:t>
            </w:r>
          </w:p>
        </w:tc>
        <w:tc>
          <w:tcPr>
            <w:tcW w:w="0" w:type="auto"/>
            <w:tcBorders>
              <w:top w:val="nil"/>
              <w:left w:val="nil"/>
              <w:bottom w:val="single" w:sz="4" w:space="0" w:color="auto"/>
              <w:right w:val="single" w:sz="4" w:space="0" w:color="auto"/>
            </w:tcBorders>
            <w:shd w:val="clear" w:color="000000" w:fill="F2F2F2"/>
            <w:hideMark/>
          </w:tcPr>
          <w:p w14:paraId="5EEC6531"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Retail price of domains in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domains offered to the general public.   TLD attributes should be noted with the data (i.e. open TLDs, closed keyword TLDs, country of operations, single registrant, etc.).</w:t>
            </w:r>
          </w:p>
        </w:tc>
        <w:tc>
          <w:tcPr>
            <w:tcW w:w="0" w:type="auto"/>
            <w:tcBorders>
              <w:top w:val="nil"/>
              <w:left w:val="nil"/>
              <w:bottom w:val="single" w:sz="4" w:space="0" w:color="auto"/>
              <w:right w:val="single" w:sz="4" w:space="0" w:color="auto"/>
            </w:tcBorders>
            <w:shd w:val="clear" w:color="000000" w:fill="F2F2F2"/>
            <w:noWrap/>
            <w:vAlign w:val="bottom"/>
            <w:hideMark/>
          </w:tcPr>
          <w:p w14:paraId="2DF2FDEA"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5E03D02D"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535623D7"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0CDB1BCF" w14:textId="77777777" w:rsidTr="00E62660">
        <w:trPr>
          <w:trHeight w:val="107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0018CE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lastRenderedPageBreak/>
              <w:t>3.11</w:t>
            </w:r>
          </w:p>
        </w:tc>
        <w:tc>
          <w:tcPr>
            <w:tcW w:w="0" w:type="auto"/>
            <w:tcBorders>
              <w:top w:val="nil"/>
              <w:left w:val="nil"/>
              <w:bottom w:val="single" w:sz="4" w:space="0" w:color="auto"/>
              <w:right w:val="single" w:sz="4" w:space="0" w:color="auto"/>
            </w:tcBorders>
            <w:shd w:val="clear" w:color="000000" w:fill="F2F2F2"/>
            <w:hideMark/>
          </w:tcPr>
          <w:p w14:paraId="668758C6"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Qualitative assessment of non-price indicia of competition through innovations that benefit registrants and users, particularly for new markets served.</w:t>
            </w:r>
          </w:p>
        </w:tc>
        <w:tc>
          <w:tcPr>
            <w:tcW w:w="0" w:type="auto"/>
            <w:tcBorders>
              <w:top w:val="nil"/>
              <w:left w:val="nil"/>
              <w:bottom w:val="single" w:sz="4" w:space="0" w:color="auto"/>
              <w:right w:val="single" w:sz="4" w:space="0" w:color="auto"/>
            </w:tcBorders>
            <w:shd w:val="clear" w:color="000000" w:fill="F2F2F2"/>
            <w:noWrap/>
            <w:vAlign w:val="bottom"/>
            <w:hideMark/>
          </w:tcPr>
          <w:p w14:paraId="7165A27B"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631740DE"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0E206BFA"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r w:rsidR="00E62660" w:rsidRPr="00E62660" w14:paraId="788C80B5" w14:textId="77777777" w:rsidTr="00E62660">
        <w:trPr>
          <w:trHeight w:val="134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CC67A56"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3.9</w:t>
            </w:r>
          </w:p>
        </w:tc>
        <w:tc>
          <w:tcPr>
            <w:tcW w:w="0" w:type="auto"/>
            <w:tcBorders>
              <w:top w:val="nil"/>
              <w:left w:val="nil"/>
              <w:bottom w:val="single" w:sz="4" w:space="0" w:color="auto"/>
              <w:right w:val="single" w:sz="4" w:space="0" w:color="auto"/>
            </w:tcBorders>
            <w:shd w:val="clear" w:color="000000" w:fill="F2F2F2"/>
            <w:hideMark/>
          </w:tcPr>
          <w:p w14:paraId="75502089" w14:textId="77777777" w:rsidR="00E62660" w:rsidRPr="00E62660" w:rsidRDefault="00E62660" w:rsidP="00E62660">
            <w:pPr>
              <w:spacing w:after="0" w:line="240" w:lineRule="auto"/>
              <w:rPr>
                <w:rFonts w:ascii="Calibri" w:eastAsia="Times New Roman" w:hAnsi="Calibri" w:cs="Times New Roman"/>
              </w:rPr>
            </w:pPr>
            <w:r w:rsidRPr="00E62660">
              <w:rPr>
                <w:rFonts w:ascii="Calibri" w:eastAsia="Times New Roman" w:hAnsi="Calibri" w:cs="Times New Roman"/>
              </w:rPr>
              <w:t xml:space="preserve">Wholesale price of domains in new </w:t>
            </w:r>
            <w:proofErr w:type="spellStart"/>
            <w:r w:rsidRPr="00E62660">
              <w:rPr>
                <w:rFonts w:ascii="Calibri" w:eastAsia="Times New Roman" w:hAnsi="Calibri" w:cs="Times New Roman"/>
              </w:rPr>
              <w:t>gTLD</w:t>
            </w:r>
            <w:proofErr w:type="spellEnd"/>
            <w:r w:rsidRPr="00E62660">
              <w:rPr>
                <w:rFonts w:ascii="Calibri" w:eastAsia="Times New Roman" w:hAnsi="Calibri" w:cs="Times New Roman"/>
              </w:rPr>
              <w:t xml:space="preserve"> domains offered to the general public.   TLD attributes should be noted with the data (i.e. open TLDs, closed keyword TLDs, country of operations, single registrant, etc.).</w:t>
            </w:r>
          </w:p>
        </w:tc>
        <w:tc>
          <w:tcPr>
            <w:tcW w:w="0" w:type="auto"/>
            <w:tcBorders>
              <w:top w:val="nil"/>
              <w:left w:val="nil"/>
              <w:bottom w:val="single" w:sz="4" w:space="0" w:color="auto"/>
              <w:right w:val="single" w:sz="4" w:space="0" w:color="auto"/>
            </w:tcBorders>
            <w:shd w:val="clear" w:color="000000" w:fill="F2F2F2"/>
            <w:noWrap/>
            <w:vAlign w:val="bottom"/>
            <w:hideMark/>
          </w:tcPr>
          <w:p w14:paraId="1DFD2C2C"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Competition</w:t>
            </w:r>
          </w:p>
        </w:tc>
        <w:tc>
          <w:tcPr>
            <w:tcW w:w="0" w:type="auto"/>
            <w:tcBorders>
              <w:top w:val="nil"/>
              <w:left w:val="nil"/>
              <w:bottom w:val="single" w:sz="4" w:space="0" w:color="auto"/>
              <w:right w:val="single" w:sz="4" w:space="0" w:color="auto"/>
            </w:tcBorders>
            <w:shd w:val="clear" w:color="000000" w:fill="F2F2F2"/>
            <w:noWrap/>
            <w:vAlign w:val="bottom"/>
            <w:hideMark/>
          </w:tcPr>
          <w:p w14:paraId="149445F7" w14:textId="77777777" w:rsidR="00E62660" w:rsidRPr="00E62660" w:rsidRDefault="00E62660" w:rsidP="00E62660">
            <w:pPr>
              <w:spacing w:after="0" w:line="240" w:lineRule="auto"/>
              <w:jc w:val="right"/>
              <w:rPr>
                <w:rFonts w:ascii="Calibri" w:eastAsia="Times New Roman" w:hAnsi="Calibri" w:cs="Times New Roman"/>
                <w:color w:val="000000"/>
              </w:rPr>
            </w:pPr>
            <w:r w:rsidRPr="00E62660">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174CCE21" w14:textId="77777777" w:rsidR="00E62660" w:rsidRPr="00E62660" w:rsidRDefault="00E62660" w:rsidP="00E62660">
            <w:pPr>
              <w:spacing w:after="0" w:line="240" w:lineRule="auto"/>
              <w:rPr>
                <w:rFonts w:ascii="Calibri" w:eastAsia="Times New Roman" w:hAnsi="Calibri" w:cs="Times New Roman"/>
                <w:color w:val="000000"/>
              </w:rPr>
            </w:pPr>
            <w:r w:rsidRPr="00E62660">
              <w:rPr>
                <w:rFonts w:ascii="Calibri" w:eastAsia="Times New Roman" w:hAnsi="Calibri" w:cs="Times New Roman"/>
                <w:color w:val="000000"/>
              </w:rPr>
              <w:t>4C</w:t>
            </w:r>
          </w:p>
        </w:tc>
      </w:tr>
    </w:tbl>
    <w:p w14:paraId="48775C06" w14:textId="66CE4348" w:rsidR="00130C5E" w:rsidRPr="00D25832" w:rsidRDefault="00130C5E" w:rsidP="00D25832">
      <w:pPr>
        <w:rPr>
          <w:rFonts w:asciiTheme="majorHAnsi" w:eastAsiaTheme="majorEastAsia" w:hAnsiTheme="majorHAnsi" w:cstheme="majorBidi"/>
          <w:color w:val="2E74B5" w:themeColor="accent1" w:themeShade="BF"/>
          <w:sz w:val="32"/>
          <w:szCs w:val="32"/>
        </w:rPr>
      </w:pPr>
      <w:r>
        <w:br w:type="page"/>
      </w:r>
    </w:p>
    <w:p w14:paraId="0D906012" w14:textId="61F7FD3C" w:rsidR="00822203" w:rsidRDefault="00535F5B" w:rsidP="00535F5B">
      <w:pPr>
        <w:pStyle w:val="Heading1"/>
      </w:pPr>
      <w:bookmarkStart w:id="21" w:name="_Toc399424512"/>
      <w:r>
        <w:lastRenderedPageBreak/>
        <w:t>Appendix 3: Metrics breakdown</w:t>
      </w:r>
      <w:bookmarkEnd w:id="21"/>
    </w:p>
    <w:p w14:paraId="29E2A19B" w14:textId="77777777" w:rsidR="00535F5B" w:rsidRDefault="00535F5B" w:rsidP="00535F5B"/>
    <w:p w14:paraId="2301E6DA" w14:textId="46792964" w:rsidR="00535F5B" w:rsidRDefault="00535F5B" w:rsidP="00535F5B">
      <w:r>
        <w:rPr>
          <w:noProof/>
        </w:rPr>
        <w:drawing>
          <wp:inline distT="0" distB="0" distL="0" distR="0" wp14:anchorId="3135C6DB" wp14:editId="5330C794">
            <wp:extent cx="5553076"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105EFF1D" w14:textId="77777777" w:rsidR="00535F5B" w:rsidRDefault="00535F5B" w:rsidP="00535F5B"/>
    <w:p w14:paraId="72E6EB31" w14:textId="1D8FD742" w:rsidR="00535F5B" w:rsidRDefault="00535F5B" w:rsidP="00535F5B">
      <w:r>
        <w:rPr>
          <w:noProof/>
        </w:rPr>
        <w:drawing>
          <wp:inline distT="0" distB="0" distL="0" distR="0" wp14:anchorId="3241B5D3" wp14:editId="1715EB0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3FA19886" w14:textId="3A34EA9D" w:rsidR="00535F5B" w:rsidRDefault="00535F5B">
      <w:r>
        <w:br w:type="page"/>
      </w:r>
    </w:p>
    <w:p w14:paraId="37F8BCCA" w14:textId="35260040" w:rsidR="00535F5B" w:rsidRDefault="00535F5B" w:rsidP="00535F5B">
      <w:pPr>
        <w:pStyle w:val="Heading1"/>
      </w:pPr>
      <w:bookmarkStart w:id="22" w:name="_Toc399424513"/>
      <w:r>
        <w:lastRenderedPageBreak/>
        <w:t>Appendix 4: Team composition</w:t>
      </w:r>
      <w:bookmarkEnd w:id="22"/>
    </w:p>
    <w:p w14:paraId="6E731EA2" w14:textId="717DEBA1" w:rsidR="0075685C" w:rsidRPr="0075685C" w:rsidRDefault="006A1495" w:rsidP="00A606D3">
      <w:r>
        <w:t xml:space="preserve">A list of all meetings, including links to agendas, recordings and transcripts is available at the following link: </w:t>
      </w:r>
      <w:hyperlink r:id="rId80" w:history="1">
        <w:r w:rsidRPr="00302384">
          <w:rPr>
            <w:rStyle w:val="Hyperlink"/>
          </w:rPr>
          <w:t>https://community.icann.org/display/IAG/IAG-CCT+Conference+Call+Schedule</w:t>
        </w:r>
      </w:hyperlink>
      <w:r w:rsidR="00633BB6">
        <w:t xml:space="preserve"> </w:t>
      </w:r>
      <w: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6"/>
        <w:gridCol w:w="2102"/>
        <w:gridCol w:w="4195"/>
        <w:gridCol w:w="1541"/>
      </w:tblGrid>
      <w:tr w:rsidR="00535F5B" w:rsidRPr="001A22F4" w14:paraId="462D306E"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C6F6287" w14:textId="77777777" w:rsidR="00535F5B" w:rsidRPr="001A22F4" w:rsidRDefault="00535F5B" w:rsidP="0041413B">
            <w:pPr>
              <w:spacing w:after="0" w:line="143" w:lineRule="atLeast"/>
              <w:rPr>
                <w:rFonts w:ascii="Arial" w:eastAsia="Times New Roman" w:hAnsi="Arial" w:cs="Arial"/>
                <w:b/>
                <w:bCs/>
                <w:color w:val="333333"/>
                <w:sz w:val="20"/>
                <w:szCs w:val="20"/>
              </w:rPr>
            </w:pPr>
            <w:r w:rsidRPr="001A22F4">
              <w:rPr>
                <w:rFonts w:ascii="Arial" w:eastAsia="Times New Roman" w:hAnsi="Arial" w:cs="Arial"/>
                <w:b/>
                <w:bCs/>
                <w:color w:val="333333"/>
                <w:sz w:val="20"/>
                <w:szCs w:val="20"/>
              </w:rPr>
              <w:t>Candidate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823CA62" w14:textId="77777777" w:rsidR="00535F5B" w:rsidRPr="001A22F4" w:rsidRDefault="00535F5B" w:rsidP="0041413B">
            <w:pPr>
              <w:spacing w:after="0" w:line="143" w:lineRule="atLeast"/>
              <w:rPr>
                <w:rFonts w:ascii="Arial" w:eastAsia="Times New Roman" w:hAnsi="Arial" w:cs="Arial"/>
                <w:b/>
                <w:bCs/>
                <w:color w:val="333333"/>
                <w:sz w:val="20"/>
                <w:szCs w:val="20"/>
              </w:rPr>
            </w:pPr>
            <w:r w:rsidRPr="001A22F4">
              <w:rPr>
                <w:rFonts w:ascii="Arial" w:eastAsia="Times New Roman" w:hAnsi="Arial" w:cs="Arial"/>
                <w:b/>
                <w:bCs/>
                <w:color w:val="333333"/>
                <w:sz w:val="20"/>
                <w:szCs w:val="20"/>
              </w:rPr>
              <w:t>Country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17D64F" w14:textId="77777777" w:rsidR="00535F5B" w:rsidRPr="001A22F4" w:rsidRDefault="00535F5B" w:rsidP="0041413B">
            <w:pPr>
              <w:spacing w:after="0" w:line="143" w:lineRule="atLeast"/>
              <w:rPr>
                <w:rFonts w:ascii="Arial" w:eastAsia="Times New Roman" w:hAnsi="Arial" w:cs="Arial"/>
                <w:b/>
                <w:bCs/>
                <w:color w:val="333333"/>
                <w:sz w:val="20"/>
                <w:szCs w:val="20"/>
              </w:rPr>
            </w:pPr>
            <w:r w:rsidRPr="001A22F4">
              <w:rPr>
                <w:rFonts w:ascii="Arial" w:eastAsia="Times New Roman" w:hAnsi="Arial" w:cs="Arial"/>
                <w:b/>
                <w:bCs/>
                <w:color w:val="333333"/>
                <w:sz w:val="20"/>
                <w:szCs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D858431" w14:textId="77777777" w:rsidR="00535F5B" w:rsidRPr="001A22F4" w:rsidRDefault="00535F5B" w:rsidP="0041413B">
            <w:pPr>
              <w:spacing w:after="0" w:line="143" w:lineRule="atLeast"/>
              <w:rPr>
                <w:rFonts w:ascii="Arial" w:eastAsia="Times New Roman" w:hAnsi="Arial" w:cs="Arial"/>
                <w:b/>
                <w:bCs/>
                <w:color w:val="333333"/>
                <w:sz w:val="20"/>
                <w:szCs w:val="20"/>
              </w:rPr>
            </w:pPr>
            <w:r w:rsidRPr="001A22F4">
              <w:rPr>
                <w:rFonts w:ascii="Arial" w:eastAsia="Times New Roman" w:hAnsi="Arial" w:cs="Arial"/>
                <w:b/>
                <w:bCs/>
                <w:color w:val="333333"/>
                <w:sz w:val="20"/>
                <w:szCs w:val="20"/>
              </w:rPr>
              <w:t>SOI</w:t>
            </w:r>
          </w:p>
        </w:tc>
      </w:tr>
      <w:tr w:rsidR="00535F5B" w:rsidRPr="001A22F4" w14:paraId="6FC9E05C"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A7C3A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A.B. </w:t>
            </w:r>
            <w:proofErr w:type="spellStart"/>
            <w:r w:rsidRPr="001A22F4">
              <w:rPr>
                <w:rFonts w:ascii="Arial" w:eastAsia="Times New Roman" w:hAnsi="Arial" w:cs="Arial"/>
                <w:color w:val="333333"/>
                <w:sz w:val="20"/>
                <w:szCs w:val="20"/>
              </w:rPr>
              <w:t>Ishiaku</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08BEE6"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Nigeria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90350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4E2ABA" w14:textId="77777777" w:rsidR="00535F5B" w:rsidRPr="001A22F4" w:rsidRDefault="004721D5" w:rsidP="0041413B">
            <w:pPr>
              <w:spacing w:after="0" w:line="143" w:lineRule="atLeast"/>
              <w:rPr>
                <w:rFonts w:ascii="Arial" w:eastAsia="Times New Roman" w:hAnsi="Arial" w:cs="Arial"/>
                <w:color w:val="333333"/>
                <w:sz w:val="20"/>
                <w:szCs w:val="20"/>
              </w:rPr>
            </w:pPr>
            <w:hyperlink r:id="rId81" w:history="1">
              <w:proofErr w:type="spellStart"/>
              <w:r w:rsidR="00535F5B" w:rsidRPr="001A22F4">
                <w:rPr>
                  <w:rFonts w:ascii="Arial" w:eastAsia="Times New Roman" w:hAnsi="Arial" w:cs="Arial"/>
                  <w:color w:val="3B73AF"/>
                  <w:sz w:val="20"/>
                  <w:szCs w:val="20"/>
                </w:rPr>
                <w:t>Adamu</w:t>
              </w:r>
              <w:proofErr w:type="spellEnd"/>
              <w:r w:rsidR="00535F5B" w:rsidRPr="001A22F4">
                <w:rPr>
                  <w:rFonts w:ascii="Arial" w:eastAsia="Times New Roman" w:hAnsi="Arial" w:cs="Arial"/>
                  <w:color w:val="3B73AF"/>
                  <w:sz w:val="20"/>
                  <w:szCs w:val="20"/>
                </w:rPr>
                <w:t xml:space="preserve"> </w:t>
              </w:r>
              <w:proofErr w:type="spellStart"/>
              <w:r w:rsidR="00535F5B" w:rsidRPr="001A22F4">
                <w:rPr>
                  <w:rFonts w:ascii="Arial" w:eastAsia="Times New Roman" w:hAnsi="Arial" w:cs="Arial"/>
                  <w:color w:val="3B73AF"/>
                  <w:sz w:val="20"/>
                  <w:szCs w:val="20"/>
                </w:rPr>
                <w:t>Ishiaku</w:t>
              </w:r>
              <w:proofErr w:type="spellEnd"/>
              <w:r w:rsidR="00535F5B" w:rsidRPr="001A22F4">
                <w:rPr>
                  <w:rFonts w:ascii="Arial" w:eastAsia="Times New Roman" w:hAnsi="Arial" w:cs="Arial"/>
                  <w:color w:val="3B73AF"/>
                  <w:sz w:val="20"/>
                  <w:szCs w:val="20"/>
                </w:rPr>
                <w:t xml:space="preserve"> - SOI</w:t>
              </w:r>
            </w:hyperlink>
          </w:p>
        </w:tc>
      </w:tr>
      <w:tr w:rsidR="00535F5B" w:rsidRPr="001A22F4" w14:paraId="2570C831" w14:textId="77777777" w:rsidTr="0041413B">
        <w:trPr>
          <w:trHeight w:val="84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B10B8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Carlton Samuels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1324D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Jamaica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9F353"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78841B" w14:textId="77777777" w:rsidR="00535F5B" w:rsidRPr="001A22F4" w:rsidRDefault="004721D5" w:rsidP="0041413B">
            <w:pPr>
              <w:spacing w:after="0" w:line="143" w:lineRule="atLeast"/>
              <w:rPr>
                <w:rFonts w:ascii="Arial" w:eastAsia="Times New Roman" w:hAnsi="Arial" w:cs="Arial"/>
                <w:color w:val="333333"/>
                <w:sz w:val="20"/>
                <w:szCs w:val="20"/>
              </w:rPr>
            </w:pPr>
            <w:hyperlink r:id="rId82" w:history="1">
              <w:r w:rsidR="00535F5B" w:rsidRPr="001A22F4">
                <w:rPr>
                  <w:rFonts w:ascii="Arial" w:eastAsia="Times New Roman" w:hAnsi="Arial" w:cs="Arial"/>
                  <w:color w:val="3B73AF"/>
                  <w:sz w:val="20"/>
                  <w:szCs w:val="20"/>
                </w:rPr>
                <w:t>Carlton Samuels - SOI</w:t>
              </w:r>
            </w:hyperlink>
          </w:p>
        </w:tc>
      </w:tr>
      <w:tr w:rsidR="00535F5B" w:rsidRPr="001A22F4" w14:paraId="166C767D"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BCC51B"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Cheryl Langdon-Orr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E29DAF"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Australia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82C99"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Currently serve as ICANN </w:t>
            </w:r>
            <w:proofErr w:type="spellStart"/>
            <w:r w:rsidRPr="001A22F4">
              <w:rPr>
                <w:rFonts w:ascii="Arial" w:eastAsia="Times New Roman" w:hAnsi="Arial" w:cs="Arial"/>
                <w:color w:val="333333"/>
                <w:sz w:val="20"/>
                <w:szCs w:val="20"/>
              </w:rPr>
              <w:t>NomCom</w:t>
            </w:r>
            <w:proofErr w:type="spellEnd"/>
            <w:r w:rsidRPr="001A22F4">
              <w:rPr>
                <w:rFonts w:ascii="Arial" w:eastAsia="Times New Roman" w:hAnsi="Arial" w:cs="Arial"/>
                <w:color w:val="333333"/>
                <w:sz w:val="20"/>
                <w:szCs w:val="20"/>
              </w:rPr>
              <w:t xml:space="preserve"> Chair; Affiliation also (in order) </w:t>
            </w:r>
            <w:proofErr w:type="spellStart"/>
            <w:r w:rsidRPr="001A22F4">
              <w:rPr>
                <w:rFonts w:ascii="Arial" w:eastAsia="Times New Roman" w:hAnsi="Arial" w:cs="Arial"/>
                <w:color w:val="333333"/>
                <w:sz w:val="20"/>
                <w:szCs w:val="20"/>
              </w:rPr>
              <w:t>ccNSO</w:t>
            </w:r>
            <w:proofErr w:type="spellEnd"/>
            <w:r w:rsidRPr="001A22F4">
              <w:rPr>
                <w:rFonts w:ascii="Arial" w:eastAsia="Times New Roman" w:hAnsi="Arial" w:cs="Arial"/>
                <w:color w:val="333333"/>
                <w:sz w:val="20"/>
                <w:szCs w:val="20"/>
              </w:rPr>
              <w:t xml:space="preserve"> (please note they have given Council endorsement for me to represent their interests in this work and as no </w:t>
            </w:r>
            <w:proofErr w:type="spellStart"/>
            <w:r w:rsidRPr="001A22F4">
              <w:rPr>
                <w:rFonts w:ascii="Arial" w:eastAsia="Times New Roman" w:hAnsi="Arial" w:cs="Arial"/>
                <w:color w:val="333333"/>
                <w:sz w:val="20"/>
                <w:szCs w:val="20"/>
              </w:rPr>
              <w:t>ccNSO</w:t>
            </w:r>
            <w:proofErr w:type="spellEnd"/>
            <w:r w:rsidRPr="001A22F4">
              <w:rPr>
                <w:rFonts w:ascii="Arial" w:eastAsia="Times New Roman" w:hAnsi="Arial" w:cs="Arial"/>
                <w:color w:val="333333"/>
                <w:sz w:val="20"/>
                <w:szCs w:val="20"/>
              </w:rPr>
              <w:t xml:space="preserve"> SOI exists you should note I am a Director of </w:t>
            </w:r>
            <w:proofErr w:type="spellStart"/>
            <w:r w:rsidRPr="001A22F4">
              <w:rPr>
                <w:rFonts w:ascii="Arial" w:eastAsia="Times New Roman" w:hAnsi="Arial" w:cs="Arial"/>
                <w:color w:val="333333"/>
                <w:sz w:val="20"/>
                <w:szCs w:val="20"/>
              </w:rPr>
              <w:t>auDA</w:t>
            </w:r>
            <w:proofErr w:type="spellEnd"/>
            <w:r w:rsidRPr="001A22F4">
              <w:rPr>
                <w:rFonts w:ascii="Arial" w:eastAsia="Times New Roman" w:hAnsi="Arial" w:cs="Arial"/>
                <w:color w:val="333333"/>
                <w:sz w:val="20"/>
                <w:szCs w:val="20"/>
              </w:rPr>
              <w:t xml:space="preserve"> the </w:t>
            </w:r>
            <w:proofErr w:type="spellStart"/>
            <w:r w:rsidRPr="001A22F4">
              <w:rPr>
                <w:rFonts w:ascii="Arial" w:eastAsia="Times New Roman" w:hAnsi="Arial" w:cs="Arial"/>
                <w:color w:val="333333"/>
                <w:sz w:val="20"/>
                <w:szCs w:val="20"/>
              </w:rPr>
              <w:t>ccTLD</w:t>
            </w:r>
            <w:proofErr w:type="spellEnd"/>
            <w:r w:rsidRPr="001A22F4">
              <w:rPr>
                <w:rFonts w:ascii="Arial" w:eastAsia="Times New Roman" w:hAnsi="Arial" w:cs="Arial"/>
                <w:color w:val="333333"/>
                <w:sz w:val="20"/>
                <w:szCs w:val="20"/>
              </w:rPr>
              <w:t xml:space="preserve"> for AU, have been for more than 10 years and am active in the </w:t>
            </w:r>
            <w:proofErr w:type="spellStart"/>
            <w:r w:rsidRPr="001A22F4">
              <w:rPr>
                <w:rFonts w:ascii="Arial" w:eastAsia="Times New Roman" w:hAnsi="Arial" w:cs="Arial"/>
                <w:color w:val="333333"/>
                <w:sz w:val="20"/>
                <w:szCs w:val="20"/>
              </w:rPr>
              <w:t>ccNSO</w:t>
            </w:r>
            <w:proofErr w:type="spellEnd"/>
            <w:r w:rsidRPr="001A22F4">
              <w:rPr>
                <w:rFonts w:ascii="Arial" w:eastAsia="Times New Roman" w:hAnsi="Arial" w:cs="Arial"/>
                <w:color w:val="333333"/>
                <w:sz w:val="20"/>
                <w:szCs w:val="20"/>
              </w:rPr>
              <w:t xml:space="preserve"> community and have served on </w:t>
            </w:r>
            <w:proofErr w:type="spellStart"/>
            <w:r w:rsidRPr="001A22F4">
              <w:rPr>
                <w:rFonts w:ascii="Arial" w:eastAsia="Times New Roman" w:hAnsi="Arial" w:cs="Arial"/>
                <w:color w:val="333333"/>
                <w:sz w:val="20"/>
                <w:szCs w:val="20"/>
              </w:rPr>
              <w:t>ccNSO</w:t>
            </w:r>
            <w:proofErr w:type="spellEnd"/>
            <w:r w:rsidRPr="001A22F4">
              <w:rPr>
                <w:rFonts w:ascii="Arial" w:eastAsia="Times New Roman" w:hAnsi="Arial" w:cs="Arial"/>
                <w:color w:val="333333"/>
                <w:sz w:val="20"/>
                <w:szCs w:val="20"/>
              </w:rPr>
              <w:t xml:space="preserve"> Council; Also a Member of At-Large ALS ISOC-AU Regional Asia Pacific ; various ALAC appointment roles; Individual Member of the GNSO's Non Commercial Stakeholder Group.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63C43F" w14:textId="77777777" w:rsidR="00535F5B" w:rsidRPr="001A22F4" w:rsidRDefault="004721D5" w:rsidP="0041413B">
            <w:pPr>
              <w:spacing w:after="0" w:line="143" w:lineRule="atLeast"/>
              <w:rPr>
                <w:rFonts w:ascii="Arial" w:eastAsia="Times New Roman" w:hAnsi="Arial" w:cs="Arial"/>
                <w:color w:val="333333"/>
                <w:sz w:val="20"/>
                <w:szCs w:val="20"/>
              </w:rPr>
            </w:pPr>
            <w:hyperlink r:id="rId83" w:history="1">
              <w:r w:rsidR="00535F5B" w:rsidRPr="001A22F4">
                <w:rPr>
                  <w:rFonts w:ascii="Arial" w:eastAsia="Times New Roman" w:hAnsi="Arial" w:cs="Arial"/>
                  <w:color w:val="3B73AF"/>
                  <w:sz w:val="20"/>
                  <w:szCs w:val="20"/>
                </w:rPr>
                <w:t>Cheryl Langdon-Orr - SOI</w:t>
              </w:r>
            </w:hyperlink>
          </w:p>
        </w:tc>
      </w:tr>
      <w:tr w:rsidR="00535F5B" w:rsidRPr="001A22F4" w14:paraId="0D591F7F"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0A4577"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Christa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17DEF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Canada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D08EEE"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080FF5" w14:textId="77777777" w:rsidR="00535F5B" w:rsidRPr="001A22F4" w:rsidRDefault="004721D5" w:rsidP="0041413B">
            <w:pPr>
              <w:spacing w:after="0" w:line="143" w:lineRule="atLeast"/>
              <w:rPr>
                <w:rFonts w:ascii="Arial" w:eastAsia="Times New Roman" w:hAnsi="Arial" w:cs="Arial"/>
                <w:color w:val="333333"/>
                <w:sz w:val="20"/>
                <w:szCs w:val="20"/>
              </w:rPr>
            </w:pPr>
            <w:hyperlink r:id="rId84" w:history="1">
              <w:r w:rsidR="00535F5B" w:rsidRPr="001A22F4">
                <w:rPr>
                  <w:rFonts w:ascii="Arial" w:eastAsia="Times New Roman" w:hAnsi="Arial" w:cs="Arial"/>
                  <w:color w:val="3B73AF"/>
                  <w:sz w:val="20"/>
                  <w:szCs w:val="20"/>
                </w:rPr>
                <w:t>Christa Taylor - SOI</w:t>
              </w:r>
            </w:hyperlink>
          </w:p>
        </w:tc>
      </w:tr>
      <w:tr w:rsidR="00535F5B" w:rsidRPr="001A22F4" w14:paraId="67CD9473"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19F76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Christopher Wilkinson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35AB2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Europe/Great Britain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F2A9A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ISOC-Wallonia; </w:t>
            </w:r>
            <w:proofErr w:type="spellStart"/>
            <w:r w:rsidRPr="001A22F4">
              <w:rPr>
                <w:rFonts w:ascii="Arial" w:eastAsia="Times New Roman" w:hAnsi="Arial" w:cs="Arial"/>
                <w:color w:val="333333"/>
                <w:sz w:val="20"/>
                <w:szCs w:val="20"/>
              </w:rPr>
              <w:t>EURid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62C934" w14:textId="77777777" w:rsidR="00535F5B" w:rsidRPr="001A22F4" w:rsidRDefault="004721D5" w:rsidP="0041413B">
            <w:pPr>
              <w:spacing w:after="0" w:line="143" w:lineRule="atLeast"/>
              <w:rPr>
                <w:rFonts w:ascii="Arial" w:eastAsia="Times New Roman" w:hAnsi="Arial" w:cs="Arial"/>
                <w:color w:val="333333"/>
                <w:sz w:val="20"/>
                <w:szCs w:val="20"/>
              </w:rPr>
            </w:pPr>
            <w:hyperlink r:id="rId85" w:history="1">
              <w:r w:rsidR="00535F5B" w:rsidRPr="001A22F4">
                <w:rPr>
                  <w:rFonts w:ascii="Arial" w:eastAsia="Times New Roman" w:hAnsi="Arial" w:cs="Arial"/>
                  <w:color w:val="3B73AF"/>
                  <w:sz w:val="20"/>
                  <w:szCs w:val="20"/>
                </w:rPr>
                <w:t>Christopher Wilkinson - SOI</w:t>
              </w:r>
            </w:hyperlink>
          </w:p>
        </w:tc>
      </w:tr>
      <w:tr w:rsidR="00535F5B" w:rsidRPr="001A22F4" w14:paraId="060F31B3"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C4E155" w14:textId="77777777" w:rsidR="00535F5B" w:rsidRPr="001A22F4" w:rsidRDefault="00535F5B" w:rsidP="0041413B">
            <w:pPr>
              <w:spacing w:after="0" w:line="143" w:lineRule="atLeast"/>
              <w:rPr>
                <w:rFonts w:ascii="Arial" w:eastAsia="Times New Roman" w:hAnsi="Arial" w:cs="Arial"/>
                <w:color w:val="333333"/>
                <w:sz w:val="20"/>
                <w:szCs w:val="20"/>
              </w:rPr>
            </w:pPr>
            <w:proofErr w:type="spellStart"/>
            <w:r w:rsidRPr="001A22F4">
              <w:rPr>
                <w:rFonts w:ascii="Arial" w:eastAsia="Times New Roman" w:hAnsi="Arial" w:cs="Arial"/>
                <w:color w:val="333333"/>
                <w:sz w:val="20"/>
                <w:szCs w:val="20"/>
              </w:rPr>
              <w:t>Cintra</w:t>
            </w:r>
            <w:proofErr w:type="spellEnd"/>
            <w:r w:rsidRPr="001A22F4">
              <w:rPr>
                <w:rFonts w:ascii="Arial" w:eastAsia="Times New Roman" w:hAnsi="Arial" w:cs="Arial"/>
                <w:color w:val="333333"/>
                <w:sz w:val="20"/>
                <w:szCs w:val="20"/>
              </w:rPr>
              <w:t xml:space="preserve"> </w:t>
            </w:r>
            <w:proofErr w:type="spellStart"/>
            <w:r w:rsidRPr="001A22F4">
              <w:rPr>
                <w:rFonts w:ascii="Arial" w:eastAsia="Times New Roman" w:hAnsi="Arial" w:cs="Arial"/>
                <w:color w:val="333333"/>
                <w:sz w:val="20"/>
                <w:szCs w:val="20"/>
              </w:rPr>
              <w:t>Sooknanan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0566C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Caribbean/Trinidad and Tobago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43AAA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NPOC; Internet Society Trinidad and Tobago Chapter (ISOC-TT)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F73092" w14:textId="77777777" w:rsidR="00535F5B" w:rsidRPr="001A22F4" w:rsidRDefault="004721D5" w:rsidP="0041413B">
            <w:pPr>
              <w:spacing w:after="0" w:line="143" w:lineRule="atLeast"/>
              <w:rPr>
                <w:rFonts w:ascii="Arial" w:eastAsia="Times New Roman" w:hAnsi="Arial" w:cs="Arial"/>
                <w:color w:val="333333"/>
                <w:sz w:val="20"/>
                <w:szCs w:val="20"/>
              </w:rPr>
            </w:pPr>
            <w:hyperlink r:id="rId86" w:history="1">
              <w:proofErr w:type="spellStart"/>
              <w:r w:rsidR="00535F5B" w:rsidRPr="001A22F4">
                <w:rPr>
                  <w:rFonts w:ascii="Arial" w:eastAsia="Times New Roman" w:hAnsi="Arial" w:cs="Arial"/>
                  <w:color w:val="3B73AF"/>
                  <w:sz w:val="20"/>
                  <w:szCs w:val="20"/>
                </w:rPr>
                <w:t>Cintra</w:t>
              </w:r>
              <w:proofErr w:type="spellEnd"/>
              <w:r w:rsidR="00535F5B" w:rsidRPr="001A22F4">
                <w:rPr>
                  <w:rFonts w:ascii="Arial" w:eastAsia="Times New Roman" w:hAnsi="Arial" w:cs="Arial"/>
                  <w:color w:val="3B73AF"/>
                  <w:sz w:val="20"/>
                  <w:szCs w:val="20"/>
                </w:rPr>
                <w:t xml:space="preserve"> </w:t>
              </w:r>
              <w:proofErr w:type="spellStart"/>
              <w:r w:rsidR="00535F5B" w:rsidRPr="001A22F4">
                <w:rPr>
                  <w:rFonts w:ascii="Arial" w:eastAsia="Times New Roman" w:hAnsi="Arial" w:cs="Arial"/>
                  <w:color w:val="3B73AF"/>
                  <w:sz w:val="20"/>
                  <w:szCs w:val="20"/>
                </w:rPr>
                <w:t>Sooknanan</w:t>
              </w:r>
              <w:proofErr w:type="spellEnd"/>
              <w:r w:rsidR="00535F5B" w:rsidRPr="001A22F4">
                <w:rPr>
                  <w:rFonts w:ascii="Arial" w:eastAsia="Times New Roman" w:hAnsi="Arial" w:cs="Arial"/>
                  <w:color w:val="3B73AF"/>
                  <w:sz w:val="20"/>
                  <w:szCs w:val="20"/>
                </w:rPr>
                <w:t xml:space="preserve"> SOI</w:t>
              </w:r>
            </w:hyperlink>
          </w:p>
        </w:tc>
      </w:tr>
      <w:tr w:rsidR="00535F5B" w:rsidRPr="001A22F4" w14:paraId="1F2BABCB"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F25FA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Darryl C. Wilson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4BF89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C5C72"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C365F7" w14:textId="77777777" w:rsidR="00535F5B" w:rsidRPr="001A22F4" w:rsidRDefault="004721D5" w:rsidP="0041413B">
            <w:pPr>
              <w:spacing w:after="0" w:line="143" w:lineRule="atLeast"/>
              <w:rPr>
                <w:rFonts w:ascii="Arial" w:eastAsia="Times New Roman" w:hAnsi="Arial" w:cs="Arial"/>
                <w:color w:val="333333"/>
                <w:sz w:val="20"/>
                <w:szCs w:val="20"/>
              </w:rPr>
            </w:pPr>
            <w:hyperlink r:id="rId87" w:history="1">
              <w:r w:rsidR="00535F5B" w:rsidRPr="001A22F4">
                <w:rPr>
                  <w:rFonts w:ascii="Arial" w:eastAsia="Times New Roman" w:hAnsi="Arial" w:cs="Arial"/>
                  <w:color w:val="3B73AF"/>
                  <w:sz w:val="20"/>
                  <w:szCs w:val="20"/>
                </w:rPr>
                <w:t>Darryl Wilson SOI</w:t>
              </w:r>
            </w:hyperlink>
          </w:p>
        </w:tc>
      </w:tr>
      <w:tr w:rsidR="00535F5B" w:rsidRPr="001A22F4" w14:paraId="0108EF0E"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6A5659"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David C. </w:t>
            </w:r>
            <w:proofErr w:type="spellStart"/>
            <w:r w:rsidRPr="001A22F4">
              <w:rPr>
                <w:rFonts w:ascii="Arial" w:eastAsia="Times New Roman" w:hAnsi="Arial" w:cs="Arial"/>
                <w:color w:val="333333"/>
                <w:sz w:val="20"/>
                <w:szCs w:val="20"/>
              </w:rPr>
              <w:t>Stuckman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7F78BD"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47AD6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D4DC02" w14:textId="77777777" w:rsidR="00535F5B" w:rsidRPr="001A22F4" w:rsidRDefault="004721D5" w:rsidP="0041413B">
            <w:pPr>
              <w:spacing w:after="0" w:line="143" w:lineRule="atLeast"/>
              <w:rPr>
                <w:rFonts w:ascii="Arial" w:eastAsia="Times New Roman" w:hAnsi="Arial" w:cs="Arial"/>
                <w:color w:val="333333"/>
                <w:sz w:val="20"/>
                <w:szCs w:val="20"/>
              </w:rPr>
            </w:pPr>
            <w:hyperlink r:id="rId88" w:history="1">
              <w:r w:rsidR="00535F5B" w:rsidRPr="001A22F4">
                <w:rPr>
                  <w:rFonts w:ascii="Arial" w:eastAsia="Times New Roman" w:hAnsi="Arial" w:cs="Arial"/>
                  <w:color w:val="3B73AF"/>
                  <w:sz w:val="20"/>
                  <w:szCs w:val="20"/>
                </w:rPr>
                <w:t xml:space="preserve">David </w:t>
              </w:r>
              <w:proofErr w:type="spellStart"/>
              <w:r w:rsidR="00535F5B" w:rsidRPr="001A22F4">
                <w:rPr>
                  <w:rFonts w:ascii="Arial" w:eastAsia="Times New Roman" w:hAnsi="Arial" w:cs="Arial"/>
                  <w:color w:val="3B73AF"/>
                  <w:sz w:val="20"/>
                  <w:szCs w:val="20"/>
                </w:rPr>
                <w:t>Stuckman</w:t>
              </w:r>
              <w:proofErr w:type="spellEnd"/>
              <w:r w:rsidR="00535F5B" w:rsidRPr="001A22F4">
                <w:rPr>
                  <w:rFonts w:ascii="Arial" w:eastAsia="Times New Roman" w:hAnsi="Arial" w:cs="Arial"/>
                  <w:color w:val="3B73AF"/>
                  <w:sz w:val="20"/>
                  <w:szCs w:val="20"/>
                </w:rPr>
                <w:t xml:space="preserve"> - SOI</w:t>
              </w:r>
            </w:hyperlink>
          </w:p>
        </w:tc>
      </w:tr>
      <w:tr w:rsidR="00535F5B" w:rsidRPr="001A22F4" w14:paraId="118F0F61"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C793A6"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Ephraim Percy </w:t>
            </w:r>
            <w:proofErr w:type="spellStart"/>
            <w:r w:rsidRPr="001A22F4">
              <w:rPr>
                <w:rFonts w:ascii="Arial" w:eastAsia="Times New Roman" w:hAnsi="Arial" w:cs="Arial"/>
                <w:color w:val="333333"/>
                <w:sz w:val="20"/>
                <w:szCs w:val="20"/>
              </w:rPr>
              <w:t>Kenyanito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78290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Kenya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CB858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CD7F08" w14:textId="77777777" w:rsidR="00535F5B" w:rsidRPr="001A22F4" w:rsidRDefault="004721D5" w:rsidP="0041413B">
            <w:pPr>
              <w:spacing w:after="0" w:line="143" w:lineRule="atLeast"/>
              <w:rPr>
                <w:rFonts w:ascii="Arial" w:eastAsia="Times New Roman" w:hAnsi="Arial" w:cs="Arial"/>
                <w:color w:val="333333"/>
                <w:sz w:val="20"/>
                <w:szCs w:val="20"/>
              </w:rPr>
            </w:pPr>
            <w:hyperlink r:id="rId89" w:history="1">
              <w:r w:rsidR="00535F5B" w:rsidRPr="001A22F4">
                <w:rPr>
                  <w:rFonts w:ascii="Arial" w:eastAsia="Times New Roman" w:hAnsi="Arial" w:cs="Arial"/>
                  <w:color w:val="3B73AF"/>
                  <w:sz w:val="20"/>
                  <w:szCs w:val="20"/>
                </w:rPr>
                <w:t xml:space="preserve">Ephraim Percy </w:t>
              </w:r>
              <w:proofErr w:type="spellStart"/>
              <w:r w:rsidR="00535F5B" w:rsidRPr="001A22F4">
                <w:rPr>
                  <w:rFonts w:ascii="Arial" w:eastAsia="Times New Roman" w:hAnsi="Arial" w:cs="Arial"/>
                  <w:color w:val="3B73AF"/>
                  <w:sz w:val="20"/>
                  <w:szCs w:val="20"/>
                </w:rPr>
                <w:t>Kenyanito</w:t>
              </w:r>
              <w:proofErr w:type="spellEnd"/>
              <w:r w:rsidR="00535F5B" w:rsidRPr="001A22F4">
                <w:rPr>
                  <w:rFonts w:ascii="Arial" w:eastAsia="Times New Roman" w:hAnsi="Arial" w:cs="Arial"/>
                  <w:color w:val="3B73AF"/>
                  <w:sz w:val="20"/>
                  <w:szCs w:val="20"/>
                </w:rPr>
                <w:t xml:space="preserve"> SOI</w:t>
              </w:r>
            </w:hyperlink>
          </w:p>
        </w:tc>
      </w:tr>
      <w:tr w:rsidR="00535F5B" w:rsidRPr="001A22F4" w14:paraId="0C3C8540"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4DBBEE"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lastRenderedPageBreak/>
              <w:t xml:space="preserve">Evan </w:t>
            </w:r>
            <w:proofErr w:type="spellStart"/>
            <w:r w:rsidRPr="001A22F4">
              <w:rPr>
                <w:rFonts w:ascii="Arial" w:eastAsia="Times New Roman" w:hAnsi="Arial" w:cs="Arial"/>
                <w:color w:val="333333"/>
                <w:sz w:val="20"/>
                <w:szCs w:val="20"/>
              </w:rPr>
              <w:t>Leibovitch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F5C13"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Canada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C0AB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ALAC / ISOC Canada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64B33A" w14:textId="77777777" w:rsidR="00535F5B" w:rsidRPr="001A22F4" w:rsidRDefault="004721D5" w:rsidP="0041413B">
            <w:pPr>
              <w:spacing w:after="0" w:line="143" w:lineRule="atLeast"/>
              <w:rPr>
                <w:rFonts w:ascii="Arial" w:eastAsia="Times New Roman" w:hAnsi="Arial" w:cs="Arial"/>
                <w:color w:val="333333"/>
                <w:sz w:val="20"/>
                <w:szCs w:val="20"/>
              </w:rPr>
            </w:pPr>
            <w:hyperlink r:id="rId90" w:history="1">
              <w:r w:rsidR="00535F5B" w:rsidRPr="001A22F4">
                <w:rPr>
                  <w:rFonts w:ascii="Arial" w:eastAsia="Times New Roman" w:hAnsi="Arial" w:cs="Arial"/>
                  <w:color w:val="3B73AF"/>
                  <w:sz w:val="20"/>
                  <w:szCs w:val="20"/>
                </w:rPr>
                <w:t>ALAC SOI</w:t>
              </w:r>
            </w:hyperlink>
            <w:r w:rsidR="00535F5B" w:rsidRPr="001A22F4">
              <w:rPr>
                <w:rFonts w:ascii="Arial" w:eastAsia="Times New Roman" w:hAnsi="Arial" w:cs="Arial"/>
                <w:color w:val="333333"/>
                <w:sz w:val="20"/>
                <w:szCs w:val="20"/>
              </w:rPr>
              <w:t> /</w:t>
            </w:r>
            <w:hyperlink r:id="rId91" w:history="1">
              <w:r w:rsidR="00535F5B" w:rsidRPr="001A22F4">
                <w:rPr>
                  <w:rFonts w:ascii="Arial" w:eastAsia="Times New Roman" w:hAnsi="Arial" w:cs="Arial"/>
                  <w:color w:val="3B73AF"/>
                  <w:sz w:val="20"/>
                  <w:szCs w:val="20"/>
                </w:rPr>
                <w:t>GNSO SOI</w:t>
              </w:r>
            </w:hyperlink>
          </w:p>
        </w:tc>
      </w:tr>
      <w:tr w:rsidR="00535F5B" w:rsidRPr="001A22F4" w14:paraId="3671FA86"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D09F2D"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Jeffrey Thomas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73A4B"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042AE2"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EDFF90" w14:textId="77777777" w:rsidR="00535F5B" w:rsidRPr="001A22F4" w:rsidRDefault="004721D5" w:rsidP="0041413B">
            <w:pPr>
              <w:spacing w:after="0" w:line="143" w:lineRule="atLeast"/>
              <w:rPr>
                <w:rFonts w:ascii="Arial" w:eastAsia="Times New Roman" w:hAnsi="Arial" w:cs="Arial"/>
                <w:color w:val="333333"/>
                <w:sz w:val="20"/>
                <w:szCs w:val="20"/>
              </w:rPr>
            </w:pPr>
            <w:hyperlink r:id="rId92" w:history="1">
              <w:r w:rsidR="00535F5B" w:rsidRPr="001A22F4">
                <w:rPr>
                  <w:rFonts w:ascii="Arial" w:eastAsia="Times New Roman" w:hAnsi="Arial" w:cs="Arial"/>
                  <w:color w:val="3B73AF"/>
                  <w:sz w:val="20"/>
                  <w:szCs w:val="20"/>
                </w:rPr>
                <w:t>Jeffrey Thomas - SOI</w:t>
              </w:r>
            </w:hyperlink>
          </w:p>
        </w:tc>
      </w:tr>
      <w:tr w:rsidR="00535F5B" w:rsidRPr="001A22F4" w14:paraId="306D8C5E"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A4BDE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Jeremy Rowley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15E48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EC6C2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FCEF1B" w14:textId="77777777" w:rsidR="00535F5B" w:rsidRPr="001A22F4" w:rsidRDefault="004721D5" w:rsidP="0041413B">
            <w:pPr>
              <w:spacing w:after="0" w:line="143" w:lineRule="atLeast"/>
              <w:rPr>
                <w:rFonts w:ascii="Arial" w:eastAsia="Times New Roman" w:hAnsi="Arial" w:cs="Arial"/>
                <w:color w:val="333333"/>
                <w:sz w:val="20"/>
                <w:szCs w:val="20"/>
              </w:rPr>
            </w:pPr>
            <w:hyperlink r:id="rId93" w:history="1">
              <w:r w:rsidR="00535F5B" w:rsidRPr="001A22F4">
                <w:rPr>
                  <w:rFonts w:ascii="Arial" w:eastAsia="Times New Roman" w:hAnsi="Arial" w:cs="Arial"/>
                  <w:color w:val="3B73AF"/>
                  <w:sz w:val="20"/>
                  <w:szCs w:val="20"/>
                </w:rPr>
                <w:t>Jeremy Rowley - SOI</w:t>
              </w:r>
            </w:hyperlink>
          </w:p>
        </w:tc>
      </w:tr>
      <w:tr w:rsidR="00535F5B" w:rsidRPr="001A22F4" w14:paraId="25D62CC3"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AEB668"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Jonathan Zuck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989FD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Belgium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385F28"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A764E2" w14:textId="77777777" w:rsidR="00535F5B" w:rsidRPr="001A22F4" w:rsidRDefault="004721D5" w:rsidP="0041413B">
            <w:pPr>
              <w:spacing w:after="0" w:line="143" w:lineRule="atLeast"/>
              <w:rPr>
                <w:rFonts w:ascii="Arial" w:eastAsia="Times New Roman" w:hAnsi="Arial" w:cs="Arial"/>
                <w:color w:val="333333"/>
                <w:sz w:val="20"/>
                <w:szCs w:val="20"/>
              </w:rPr>
            </w:pPr>
            <w:hyperlink r:id="rId94" w:history="1">
              <w:r w:rsidR="00535F5B" w:rsidRPr="001A22F4">
                <w:rPr>
                  <w:rFonts w:ascii="Arial" w:eastAsia="Times New Roman" w:hAnsi="Arial" w:cs="Arial"/>
                  <w:color w:val="3B73AF"/>
                  <w:sz w:val="20"/>
                  <w:szCs w:val="20"/>
                </w:rPr>
                <w:t>Jonathan Zuck - SOI</w:t>
              </w:r>
            </w:hyperlink>
          </w:p>
        </w:tc>
      </w:tr>
      <w:tr w:rsidR="00535F5B" w:rsidRPr="001A22F4" w14:paraId="49AF4F83"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7FF5A8"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Judy Song-Marshall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FFE61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2A6203"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FED147" w14:textId="77777777" w:rsidR="00535F5B" w:rsidRPr="001A22F4" w:rsidRDefault="004721D5" w:rsidP="0041413B">
            <w:pPr>
              <w:spacing w:after="0" w:line="143" w:lineRule="atLeast"/>
              <w:rPr>
                <w:rFonts w:ascii="Arial" w:eastAsia="Times New Roman" w:hAnsi="Arial" w:cs="Arial"/>
                <w:color w:val="333333"/>
                <w:sz w:val="20"/>
                <w:szCs w:val="20"/>
              </w:rPr>
            </w:pPr>
            <w:hyperlink r:id="rId95" w:history="1">
              <w:r w:rsidR="00535F5B" w:rsidRPr="001A22F4">
                <w:rPr>
                  <w:rFonts w:ascii="Arial" w:eastAsia="Times New Roman" w:hAnsi="Arial" w:cs="Arial"/>
                  <w:color w:val="3B73AF"/>
                  <w:sz w:val="20"/>
                  <w:szCs w:val="20"/>
                </w:rPr>
                <w:t>Judy Song-Marshall - SOI</w:t>
              </w:r>
            </w:hyperlink>
          </w:p>
        </w:tc>
      </w:tr>
      <w:tr w:rsidR="00535F5B" w:rsidRPr="001A22F4" w14:paraId="43667601"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8A205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Mason Cole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073FEE"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2C929C" w14:textId="77777777" w:rsidR="00535F5B" w:rsidRPr="001A22F4" w:rsidRDefault="00535F5B" w:rsidP="0041413B">
            <w:pPr>
              <w:spacing w:after="0" w:line="143" w:lineRule="atLeast"/>
              <w:rPr>
                <w:rFonts w:ascii="Arial" w:eastAsia="Times New Roman" w:hAnsi="Arial" w:cs="Arial"/>
                <w:color w:val="333333"/>
                <w:sz w:val="20"/>
                <w:szCs w:val="20"/>
              </w:rPr>
            </w:pPr>
            <w:proofErr w:type="spellStart"/>
            <w:r w:rsidRPr="001A22F4">
              <w:rPr>
                <w:rFonts w:ascii="Arial" w:eastAsia="Times New Roman" w:hAnsi="Arial" w:cs="Arial"/>
                <w:color w:val="333333"/>
                <w:sz w:val="20"/>
                <w:szCs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013BF8" w14:textId="77777777" w:rsidR="00535F5B" w:rsidRPr="001A22F4" w:rsidRDefault="004721D5" w:rsidP="0041413B">
            <w:pPr>
              <w:spacing w:after="0" w:line="143" w:lineRule="atLeast"/>
              <w:rPr>
                <w:rFonts w:ascii="Arial" w:eastAsia="Times New Roman" w:hAnsi="Arial" w:cs="Arial"/>
                <w:color w:val="333333"/>
                <w:sz w:val="20"/>
                <w:szCs w:val="20"/>
              </w:rPr>
            </w:pPr>
            <w:hyperlink r:id="rId96" w:history="1">
              <w:r w:rsidR="00535F5B" w:rsidRPr="001A22F4">
                <w:rPr>
                  <w:rFonts w:ascii="Arial" w:eastAsia="Times New Roman" w:hAnsi="Arial" w:cs="Arial"/>
                  <w:color w:val="3B73AF"/>
                  <w:sz w:val="20"/>
                  <w:szCs w:val="20"/>
                </w:rPr>
                <w:t>Mason Cole - SOI</w:t>
              </w:r>
            </w:hyperlink>
          </w:p>
        </w:tc>
      </w:tr>
      <w:tr w:rsidR="00535F5B" w:rsidRPr="001A22F4" w14:paraId="6571774D"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C9E73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Michael A. Flynn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B7330A"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2E0A9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58CB06" w14:textId="77777777" w:rsidR="00535F5B" w:rsidRPr="001A22F4" w:rsidRDefault="004721D5" w:rsidP="0041413B">
            <w:pPr>
              <w:spacing w:after="0" w:line="143" w:lineRule="atLeast"/>
              <w:rPr>
                <w:rFonts w:ascii="Arial" w:eastAsia="Times New Roman" w:hAnsi="Arial" w:cs="Arial"/>
                <w:color w:val="333333"/>
                <w:sz w:val="20"/>
                <w:szCs w:val="20"/>
              </w:rPr>
            </w:pPr>
            <w:hyperlink r:id="rId97" w:history="1">
              <w:r w:rsidR="00535F5B" w:rsidRPr="001A22F4">
                <w:rPr>
                  <w:rFonts w:ascii="Arial" w:eastAsia="Times New Roman" w:hAnsi="Arial" w:cs="Arial"/>
                  <w:color w:val="3B73AF"/>
                  <w:sz w:val="20"/>
                  <w:szCs w:val="20"/>
                </w:rPr>
                <w:t>Michael A Flynn - SOI</w:t>
              </w:r>
            </w:hyperlink>
          </w:p>
        </w:tc>
      </w:tr>
      <w:tr w:rsidR="00535F5B" w:rsidRPr="001A22F4" w14:paraId="19F74D46"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FAA1CF"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Michael Graham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1E5E1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0B59D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815DC6" w14:textId="77777777" w:rsidR="00535F5B" w:rsidRPr="001A22F4" w:rsidRDefault="004721D5" w:rsidP="0041413B">
            <w:pPr>
              <w:spacing w:after="0" w:line="143" w:lineRule="atLeast"/>
              <w:rPr>
                <w:rFonts w:ascii="Arial" w:eastAsia="Times New Roman" w:hAnsi="Arial" w:cs="Arial"/>
                <w:color w:val="333333"/>
                <w:sz w:val="20"/>
                <w:szCs w:val="20"/>
              </w:rPr>
            </w:pPr>
            <w:hyperlink r:id="rId98" w:history="1">
              <w:r w:rsidR="00535F5B" w:rsidRPr="001A22F4">
                <w:rPr>
                  <w:rFonts w:ascii="Arial" w:eastAsia="Times New Roman" w:hAnsi="Arial" w:cs="Arial"/>
                  <w:color w:val="3B73AF"/>
                  <w:sz w:val="20"/>
                  <w:szCs w:val="20"/>
                </w:rPr>
                <w:t>Michael Graham - SOI</w:t>
              </w:r>
            </w:hyperlink>
          </w:p>
        </w:tc>
      </w:tr>
      <w:tr w:rsidR="00535F5B" w:rsidRPr="001A22F4" w14:paraId="6C115354"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5C2FD3"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Michael R. Nelson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A390B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F4696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7C0D27" w14:textId="77777777" w:rsidR="00535F5B" w:rsidRPr="001A22F4" w:rsidRDefault="004721D5" w:rsidP="0041413B">
            <w:pPr>
              <w:spacing w:after="0" w:line="143" w:lineRule="atLeast"/>
              <w:rPr>
                <w:rFonts w:ascii="Arial" w:eastAsia="Times New Roman" w:hAnsi="Arial" w:cs="Arial"/>
                <w:color w:val="333333"/>
                <w:sz w:val="20"/>
                <w:szCs w:val="20"/>
              </w:rPr>
            </w:pPr>
            <w:hyperlink r:id="rId99" w:history="1">
              <w:r w:rsidR="00535F5B" w:rsidRPr="001A22F4">
                <w:rPr>
                  <w:rFonts w:ascii="Arial" w:eastAsia="Times New Roman" w:hAnsi="Arial" w:cs="Arial"/>
                  <w:color w:val="3B73AF"/>
                  <w:sz w:val="20"/>
                  <w:szCs w:val="20"/>
                </w:rPr>
                <w:t>Michael R. Nelson - SOI</w:t>
              </w:r>
            </w:hyperlink>
          </w:p>
        </w:tc>
      </w:tr>
      <w:tr w:rsidR="00535F5B" w:rsidRPr="001A22F4" w14:paraId="7949CFC3"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B6A64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Nathalie Coupet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156D12"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Haiti / USA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063ACF"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0AE6EC" w14:textId="77777777" w:rsidR="00535F5B" w:rsidRPr="001A22F4" w:rsidRDefault="004721D5" w:rsidP="0041413B">
            <w:pPr>
              <w:spacing w:after="0" w:line="143" w:lineRule="atLeast"/>
              <w:rPr>
                <w:rFonts w:ascii="Arial" w:eastAsia="Times New Roman" w:hAnsi="Arial" w:cs="Arial"/>
                <w:color w:val="333333"/>
                <w:sz w:val="20"/>
                <w:szCs w:val="20"/>
              </w:rPr>
            </w:pPr>
            <w:hyperlink r:id="rId100" w:history="1">
              <w:r w:rsidR="00535F5B" w:rsidRPr="001A22F4">
                <w:rPr>
                  <w:rFonts w:ascii="Arial" w:eastAsia="Times New Roman" w:hAnsi="Arial" w:cs="Arial"/>
                  <w:color w:val="3B73AF"/>
                  <w:sz w:val="20"/>
                  <w:szCs w:val="20"/>
                </w:rPr>
                <w:t>Nathalie Coupet SOI</w:t>
              </w:r>
            </w:hyperlink>
          </w:p>
        </w:tc>
      </w:tr>
      <w:tr w:rsidR="00535F5B" w:rsidRPr="001A22F4" w14:paraId="70EA84F1"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B4589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Olga </w:t>
            </w:r>
            <w:proofErr w:type="spellStart"/>
            <w:r w:rsidRPr="001A22F4">
              <w:rPr>
                <w:rFonts w:ascii="Arial" w:eastAsia="Times New Roman" w:hAnsi="Arial" w:cs="Arial"/>
                <w:color w:val="333333"/>
                <w:sz w:val="20"/>
                <w:szCs w:val="20"/>
              </w:rPr>
              <w:t>Cavalli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B6555E"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Argentina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F5D4CF"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F1E4FD" w14:textId="77777777" w:rsidR="00535F5B" w:rsidRPr="001A22F4" w:rsidRDefault="004721D5" w:rsidP="0041413B">
            <w:pPr>
              <w:spacing w:after="0" w:line="143" w:lineRule="atLeast"/>
              <w:rPr>
                <w:rFonts w:ascii="Arial" w:eastAsia="Times New Roman" w:hAnsi="Arial" w:cs="Arial"/>
                <w:color w:val="333333"/>
                <w:sz w:val="20"/>
                <w:szCs w:val="20"/>
              </w:rPr>
            </w:pPr>
            <w:hyperlink r:id="rId101" w:history="1">
              <w:r w:rsidR="00535F5B" w:rsidRPr="001A22F4">
                <w:rPr>
                  <w:rFonts w:ascii="Arial" w:eastAsia="Times New Roman" w:hAnsi="Arial" w:cs="Arial"/>
                  <w:color w:val="3B73AF"/>
                  <w:sz w:val="20"/>
                  <w:szCs w:val="20"/>
                </w:rPr>
                <w:t xml:space="preserve">Olga </w:t>
              </w:r>
              <w:proofErr w:type="spellStart"/>
              <w:r w:rsidR="00535F5B" w:rsidRPr="001A22F4">
                <w:rPr>
                  <w:rFonts w:ascii="Arial" w:eastAsia="Times New Roman" w:hAnsi="Arial" w:cs="Arial"/>
                  <w:color w:val="3B73AF"/>
                  <w:sz w:val="20"/>
                  <w:szCs w:val="20"/>
                </w:rPr>
                <w:t>Cavalli</w:t>
              </w:r>
              <w:proofErr w:type="spellEnd"/>
              <w:r w:rsidR="00535F5B" w:rsidRPr="001A22F4">
                <w:rPr>
                  <w:rFonts w:ascii="Arial" w:eastAsia="Times New Roman" w:hAnsi="Arial" w:cs="Arial"/>
                  <w:color w:val="3B73AF"/>
                  <w:sz w:val="20"/>
                  <w:szCs w:val="20"/>
                </w:rPr>
                <w:t xml:space="preserve"> SOI</w:t>
              </w:r>
            </w:hyperlink>
          </w:p>
        </w:tc>
      </w:tr>
      <w:tr w:rsidR="00535F5B" w:rsidRPr="001A22F4" w14:paraId="07CA9256"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FAF2E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Phil Buckingham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44A02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C06F67"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7E9297" w14:textId="77777777" w:rsidR="00535F5B" w:rsidRPr="001A22F4" w:rsidRDefault="004721D5" w:rsidP="0041413B">
            <w:pPr>
              <w:spacing w:after="0" w:line="143" w:lineRule="atLeast"/>
              <w:rPr>
                <w:rFonts w:ascii="Arial" w:eastAsia="Times New Roman" w:hAnsi="Arial" w:cs="Arial"/>
                <w:color w:val="333333"/>
                <w:sz w:val="20"/>
                <w:szCs w:val="20"/>
              </w:rPr>
            </w:pPr>
            <w:hyperlink r:id="rId102" w:history="1">
              <w:r w:rsidR="00535F5B" w:rsidRPr="001A22F4">
                <w:rPr>
                  <w:rFonts w:ascii="Arial" w:eastAsia="Times New Roman" w:hAnsi="Arial" w:cs="Arial"/>
                  <w:color w:val="3B73AF"/>
                  <w:sz w:val="20"/>
                  <w:szCs w:val="20"/>
                </w:rPr>
                <w:t>Phil Buckingham - SOI</w:t>
              </w:r>
            </w:hyperlink>
          </w:p>
        </w:tc>
      </w:tr>
      <w:tr w:rsidR="00535F5B" w:rsidRPr="001A22F4" w14:paraId="3153BA59"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5C9AE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Ray </w:t>
            </w:r>
            <w:proofErr w:type="spellStart"/>
            <w:r w:rsidRPr="001A22F4">
              <w:rPr>
                <w:rFonts w:ascii="Arial" w:eastAsia="Times New Roman" w:hAnsi="Arial" w:cs="Arial"/>
                <w:color w:val="333333"/>
                <w:sz w:val="20"/>
                <w:szCs w:val="20"/>
              </w:rPr>
              <w:t>Fassett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AE4E9A"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0A51E0"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F3BAD7" w14:textId="77777777" w:rsidR="00535F5B" w:rsidRPr="001A22F4" w:rsidRDefault="004721D5" w:rsidP="0041413B">
            <w:pPr>
              <w:spacing w:after="0" w:line="143" w:lineRule="atLeast"/>
              <w:rPr>
                <w:rFonts w:ascii="Arial" w:eastAsia="Times New Roman" w:hAnsi="Arial" w:cs="Arial"/>
                <w:color w:val="333333"/>
                <w:sz w:val="20"/>
                <w:szCs w:val="20"/>
              </w:rPr>
            </w:pPr>
            <w:hyperlink r:id="rId103" w:history="1">
              <w:r w:rsidR="00535F5B" w:rsidRPr="001A22F4">
                <w:rPr>
                  <w:rFonts w:ascii="Arial" w:eastAsia="Times New Roman" w:hAnsi="Arial" w:cs="Arial"/>
                  <w:color w:val="3B73AF"/>
                  <w:sz w:val="20"/>
                  <w:szCs w:val="20"/>
                </w:rPr>
                <w:t xml:space="preserve">Ray </w:t>
              </w:r>
              <w:proofErr w:type="spellStart"/>
              <w:r w:rsidR="00535F5B" w:rsidRPr="001A22F4">
                <w:rPr>
                  <w:rFonts w:ascii="Arial" w:eastAsia="Times New Roman" w:hAnsi="Arial" w:cs="Arial"/>
                  <w:color w:val="3B73AF"/>
                  <w:sz w:val="20"/>
                  <w:szCs w:val="20"/>
                </w:rPr>
                <w:t>Fassett</w:t>
              </w:r>
              <w:proofErr w:type="spellEnd"/>
              <w:r w:rsidR="00535F5B" w:rsidRPr="001A22F4">
                <w:rPr>
                  <w:rFonts w:ascii="Arial" w:eastAsia="Times New Roman" w:hAnsi="Arial" w:cs="Arial"/>
                  <w:color w:val="3B73AF"/>
                  <w:sz w:val="20"/>
                  <w:szCs w:val="20"/>
                </w:rPr>
                <w:t xml:space="preserve"> - SOI</w:t>
              </w:r>
            </w:hyperlink>
          </w:p>
        </w:tc>
      </w:tr>
      <w:tr w:rsidR="00535F5B" w:rsidRPr="001A22F4" w14:paraId="641C9938"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20C5EA"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Reg Levy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559D3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7C2BF3" w14:textId="77777777" w:rsidR="00535F5B" w:rsidRPr="001A22F4" w:rsidRDefault="00535F5B" w:rsidP="0041413B">
            <w:pPr>
              <w:spacing w:after="0" w:line="143" w:lineRule="atLeast"/>
              <w:rPr>
                <w:rFonts w:ascii="Arial" w:eastAsia="Times New Roman" w:hAnsi="Arial" w:cs="Arial"/>
                <w:color w:val="333333"/>
                <w:sz w:val="20"/>
                <w:szCs w:val="20"/>
              </w:rPr>
            </w:pPr>
            <w:proofErr w:type="spellStart"/>
            <w:r w:rsidRPr="001A22F4">
              <w:rPr>
                <w:rFonts w:ascii="Arial" w:eastAsia="Times New Roman" w:hAnsi="Arial" w:cs="Arial"/>
                <w:color w:val="333333"/>
                <w:sz w:val="20"/>
                <w:szCs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AF1098" w14:textId="77777777" w:rsidR="00535F5B" w:rsidRPr="001A22F4" w:rsidRDefault="004721D5" w:rsidP="0041413B">
            <w:pPr>
              <w:spacing w:after="0" w:line="143" w:lineRule="atLeast"/>
              <w:rPr>
                <w:rFonts w:ascii="Arial" w:eastAsia="Times New Roman" w:hAnsi="Arial" w:cs="Arial"/>
                <w:color w:val="333333"/>
                <w:sz w:val="20"/>
                <w:szCs w:val="20"/>
              </w:rPr>
            </w:pPr>
            <w:hyperlink r:id="rId104" w:history="1">
              <w:r w:rsidR="00535F5B" w:rsidRPr="001A22F4">
                <w:rPr>
                  <w:rFonts w:ascii="Arial" w:eastAsia="Times New Roman" w:hAnsi="Arial" w:cs="Arial"/>
                  <w:color w:val="3B73AF"/>
                  <w:sz w:val="20"/>
                  <w:szCs w:val="20"/>
                </w:rPr>
                <w:t>Levy - SOI.pdf</w:t>
              </w:r>
            </w:hyperlink>
          </w:p>
        </w:tc>
      </w:tr>
      <w:tr w:rsidR="00535F5B" w:rsidRPr="001A22F4" w14:paraId="32A970FC"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2ED8E1"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Ron Andruff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42F9EA"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Canada / 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C7A7F78"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RNA Partners / BC constituency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78E301" w14:textId="77777777" w:rsidR="00535F5B" w:rsidRPr="001A22F4" w:rsidRDefault="004721D5" w:rsidP="0041413B">
            <w:pPr>
              <w:spacing w:after="0" w:line="143" w:lineRule="atLeast"/>
              <w:rPr>
                <w:rFonts w:ascii="Arial" w:eastAsia="Times New Roman" w:hAnsi="Arial" w:cs="Arial"/>
                <w:color w:val="333333"/>
                <w:sz w:val="20"/>
                <w:szCs w:val="20"/>
              </w:rPr>
            </w:pPr>
            <w:hyperlink r:id="rId105" w:history="1">
              <w:r w:rsidR="00535F5B" w:rsidRPr="001A22F4">
                <w:rPr>
                  <w:rFonts w:ascii="Arial" w:eastAsia="Times New Roman" w:hAnsi="Arial" w:cs="Arial"/>
                  <w:color w:val="3B73AF"/>
                  <w:sz w:val="20"/>
                  <w:szCs w:val="20"/>
                </w:rPr>
                <w:t>Ron Andruff SOI</w:t>
              </w:r>
            </w:hyperlink>
          </w:p>
        </w:tc>
      </w:tr>
      <w:tr w:rsidR="00535F5B" w:rsidRPr="001A22F4" w14:paraId="77FCAEC7"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60424C"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xml:space="preserve">Rudi </w:t>
            </w:r>
            <w:proofErr w:type="spellStart"/>
            <w:r w:rsidRPr="001A22F4">
              <w:rPr>
                <w:rFonts w:ascii="Arial" w:eastAsia="Times New Roman" w:hAnsi="Arial" w:cs="Arial"/>
                <w:color w:val="333333"/>
                <w:sz w:val="20"/>
                <w:szCs w:val="20"/>
              </w:rPr>
              <w:t>Vansnick</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DC33C6"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Belgium (EU)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BB2EC9"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NPOC / 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FEB899" w14:textId="77777777" w:rsidR="00535F5B" w:rsidRPr="001A22F4" w:rsidRDefault="004721D5" w:rsidP="0041413B">
            <w:pPr>
              <w:spacing w:after="0" w:line="143" w:lineRule="atLeast"/>
              <w:rPr>
                <w:rFonts w:ascii="Arial" w:eastAsia="Times New Roman" w:hAnsi="Arial" w:cs="Arial"/>
                <w:color w:val="333333"/>
                <w:sz w:val="20"/>
                <w:szCs w:val="20"/>
              </w:rPr>
            </w:pPr>
            <w:hyperlink r:id="rId106" w:history="1">
              <w:r w:rsidR="00535F5B" w:rsidRPr="001A22F4">
                <w:rPr>
                  <w:rFonts w:ascii="Arial" w:eastAsia="Times New Roman" w:hAnsi="Arial" w:cs="Arial"/>
                  <w:color w:val="3B73AF"/>
                  <w:sz w:val="20"/>
                  <w:szCs w:val="20"/>
                </w:rPr>
                <w:t xml:space="preserve">Rudi </w:t>
              </w:r>
              <w:proofErr w:type="spellStart"/>
              <w:r w:rsidR="00535F5B" w:rsidRPr="001A22F4">
                <w:rPr>
                  <w:rFonts w:ascii="Arial" w:eastAsia="Times New Roman" w:hAnsi="Arial" w:cs="Arial"/>
                  <w:color w:val="3B73AF"/>
                  <w:sz w:val="20"/>
                  <w:szCs w:val="20"/>
                </w:rPr>
                <w:t>Vansnick</w:t>
              </w:r>
              <w:proofErr w:type="spellEnd"/>
              <w:r w:rsidR="00535F5B" w:rsidRPr="001A22F4">
                <w:rPr>
                  <w:rFonts w:ascii="Arial" w:eastAsia="Times New Roman" w:hAnsi="Arial" w:cs="Arial"/>
                  <w:color w:val="3B73AF"/>
                  <w:sz w:val="20"/>
                  <w:szCs w:val="20"/>
                </w:rPr>
                <w:t xml:space="preserve"> SOI</w:t>
              </w:r>
            </w:hyperlink>
          </w:p>
        </w:tc>
      </w:tr>
      <w:tr w:rsidR="00535F5B" w:rsidRPr="001A22F4" w14:paraId="3BE6C003"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CA096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lastRenderedPageBreak/>
              <w:t>Santiago Rodriguez Ortiz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D7405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Colombia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CBD226"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49CA68" w14:textId="77777777" w:rsidR="00535F5B" w:rsidRPr="001A22F4" w:rsidRDefault="004721D5" w:rsidP="0041413B">
            <w:pPr>
              <w:spacing w:after="0" w:line="143" w:lineRule="atLeast"/>
              <w:rPr>
                <w:rFonts w:ascii="Arial" w:eastAsia="Times New Roman" w:hAnsi="Arial" w:cs="Arial"/>
                <w:color w:val="333333"/>
                <w:sz w:val="20"/>
                <w:szCs w:val="20"/>
              </w:rPr>
            </w:pPr>
            <w:hyperlink r:id="rId107" w:history="1">
              <w:r w:rsidR="00535F5B" w:rsidRPr="001A22F4">
                <w:rPr>
                  <w:rFonts w:ascii="Arial" w:eastAsia="Times New Roman" w:hAnsi="Arial" w:cs="Arial"/>
                  <w:color w:val="3B73AF"/>
                  <w:sz w:val="20"/>
                  <w:szCs w:val="20"/>
                </w:rPr>
                <w:t>Santiago Rodriguez - SOI</w:t>
              </w:r>
            </w:hyperlink>
          </w:p>
        </w:tc>
      </w:tr>
      <w:tr w:rsidR="00535F5B" w:rsidRPr="001A22F4" w14:paraId="372F5E31"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6110D4"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Steve DelBianco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CF5169"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72EC0F" w14:textId="77777777" w:rsidR="00535F5B" w:rsidRPr="001A22F4" w:rsidRDefault="00535F5B" w:rsidP="0041413B">
            <w:pPr>
              <w:spacing w:after="0" w:line="143" w:lineRule="atLeast"/>
              <w:rPr>
                <w:rFonts w:ascii="Arial" w:eastAsia="Times New Roman" w:hAnsi="Arial" w:cs="Arial"/>
                <w:color w:val="333333"/>
                <w:sz w:val="20"/>
                <w:szCs w:val="20"/>
              </w:rPr>
            </w:pPr>
            <w:proofErr w:type="spellStart"/>
            <w:r w:rsidRPr="001A22F4">
              <w:rPr>
                <w:rFonts w:ascii="Arial" w:eastAsia="Times New Roman" w:hAnsi="Arial" w:cs="Arial"/>
                <w:color w:val="333333"/>
                <w:sz w:val="20"/>
                <w:szCs w:val="20"/>
              </w:rPr>
              <w:t>NetChoice</w:t>
            </w:r>
            <w:proofErr w:type="spellEnd"/>
            <w:r w:rsidRPr="001A22F4">
              <w:rPr>
                <w:rFonts w:ascii="Arial" w:eastAsia="Times New Roman" w:hAnsi="Arial" w:cs="Arial"/>
                <w:color w:val="333333"/>
                <w:sz w:val="20"/>
                <w:szCs w:val="20"/>
              </w:rPr>
              <w:t xml:space="preserve"> / Business Constituency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D6B6CB" w14:textId="77777777" w:rsidR="00535F5B" w:rsidRPr="001A22F4" w:rsidRDefault="004721D5" w:rsidP="0041413B">
            <w:pPr>
              <w:spacing w:after="0" w:line="143" w:lineRule="atLeast"/>
              <w:rPr>
                <w:rFonts w:ascii="Arial" w:eastAsia="Times New Roman" w:hAnsi="Arial" w:cs="Arial"/>
                <w:color w:val="333333"/>
                <w:sz w:val="20"/>
                <w:szCs w:val="20"/>
              </w:rPr>
            </w:pPr>
            <w:hyperlink r:id="rId108" w:history="1">
              <w:r w:rsidR="00535F5B" w:rsidRPr="001A22F4">
                <w:rPr>
                  <w:rFonts w:ascii="Arial" w:eastAsia="Times New Roman" w:hAnsi="Arial" w:cs="Arial"/>
                  <w:color w:val="3B73AF"/>
                  <w:sz w:val="20"/>
                  <w:szCs w:val="20"/>
                </w:rPr>
                <w:t>DelBianco - SOI</w:t>
              </w:r>
            </w:hyperlink>
          </w:p>
        </w:tc>
      </w:tr>
      <w:tr w:rsidR="00535F5B" w:rsidRPr="001A22F4" w14:paraId="2A8E7D9C" w14:textId="77777777" w:rsidTr="004141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3D4C7A"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Tony Onorato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ABB385"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12CEEF" w14:textId="77777777" w:rsidR="00535F5B" w:rsidRPr="001A22F4" w:rsidRDefault="00535F5B" w:rsidP="0041413B">
            <w:pPr>
              <w:spacing w:after="0" w:line="143" w:lineRule="atLeast"/>
              <w:rPr>
                <w:rFonts w:ascii="Arial" w:eastAsia="Times New Roman" w:hAnsi="Arial" w:cs="Arial"/>
                <w:color w:val="333333"/>
                <w:sz w:val="20"/>
                <w:szCs w:val="20"/>
              </w:rPr>
            </w:pPr>
            <w:r w:rsidRPr="001A22F4">
              <w:rPr>
                <w:rFonts w:ascii="Arial" w:eastAsia="Times New Roman" w:hAnsi="Arial" w:cs="Arial"/>
                <w:color w:val="333333"/>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996398" w14:textId="77777777" w:rsidR="00535F5B" w:rsidRPr="001A22F4" w:rsidRDefault="004721D5" w:rsidP="0041413B">
            <w:pPr>
              <w:spacing w:after="0" w:line="143" w:lineRule="atLeast"/>
              <w:rPr>
                <w:rFonts w:ascii="Arial" w:eastAsia="Times New Roman" w:hAnsi="Arial" w:cs="Arial"/>
                <w:color w:val="333333"/>
                <w:sz w:val="20"/>
                <w:szCs w:val="20"/>
              </w:rPr>
            </w:pPr>
            <w:hyperlink r:id="rId109" w:history="1">
              <w:r w:rsidR="00535F5B" w:rsidRPr="001A22F4">
                <w:rPr>
                  <w:rFonts w:ascii="Arial" w:eastAsia="Times New Roman" w:hAnsi="Arial" w:cs="Arial"/>
                  <w:color w:val="3B73AF"/>
                  <w:sz w:val="20"/>
                  <w:szCs w:val="20"/>
                </w:rPr>
                <w:t>Tony Onorato - SOI</w:t>
              </w:r>
            </w:hyperlink>
          </w:p>
        </w:tc>
      </w:tr>
    </w:tbl>
    <w:p w14:paraId="1B196307" w14:textId="77777777" w:rsidR="00535F5B" w:rsidRPr="00535F5B" w:rsidRDefault="00535F5B" w:rsidP="00535F5B"/>
    <w:sectPr w:rsidR="00535F5B" w:rsidRPr="00535F5B">
      <w:foot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7B39" w14:textId="77777777" w:rsidR="004721D5" w:rsidRDefault="004721D5" w:rsidP="009E4C26">
      <w:pPr>
        <w:spacing w:after="0" w:line="240" w:lineRule="auto"/>
      </w:pPr>
      <w:r>
        <w:separator/>
      </w:r>
    </w:p>
  </w:endnote>
  <w:endnote w:type="continuationSeparator" w:id="0">
    <w:p w14:paraId="477A2362" w14:textId="77777777" w:rsidR="004721D5" w:rsidRDefault="004721D5" w:rsidP="009E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43059"/>
      <w:docPartObj>
        <w:docPartGallery w:val="Page Numbers (Bottom of Page)"/>
        <w:docPartUnique/>
      </w:docPartObj>
    </w:sdtPr>
    <w:sdtEndPr>
      <w:rPr>
        <w:noProof/>
      </w:rPr>
    </w:sdtEndPr>
    <w:sdtContent>
      <w:p w14:paraId="41DBAADC" w14:textId="7CA4D5FA" w:rsidR="004721D5" w:rsidRDefault="004721D5">
        <w:pPr>
          <w:pStyle w:val="Footer"/>
          <w:jc w:val="center"/>
        </w:pPr>
        <w:r>
          <w:fldChar w:fldCharType="begin"/>
        </w:r>
        <w:r>
          <w:instrText xml:space="preserve"> PAGE   \* MERGEFORMAT </w:instrText>
        </w:r>
        <w:r>
          <w:fldChar w:fldCharType="separate"/>
        </w:r>
        <w:r w:rsidR="00E52548">
          <w:rPr>
            <w:noProof/>
          </w:rPr>
          <w:t>22</w:t>
        </w:r>
        <w:r>
          <w:rPr>
            <w:noProof/>
          </w:rPr>
          <w:fldChar w:fldCharType="end"/>
        </w:r>
      </w:p>
    </w:sdtContent>
  </w:sdt>
  <w:p w14:paraId="7D5356BA" w14:textId="77777777" w:rsidR="004721D5" w:rsidRDefault="00472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38CF" w14:textId="77777777" w:rsidR="004721D5" w:rsidRDefault="004721D5" w:rsidP="009E4C26">
      <w:pPr>
        <w:spacing w:after="0" w:line="240" w:lineRule="auto"/>
      </w:pPr>
      <w:r>
        <w:separator/>
      </w:r>
    </w:p>
  </w:footnote>
  <w:footnote w:type="continuationSeparator" w:id="0">
    <w:p w14:paraId="682EE5C3" w14:textId="77777777" w:rsidR="004721D5" w:rsidRDefault="004721D5" w:rsidP="009E4C26">
      <w:pPr>
        <w:spacing w:after="0" w:line="240" w:lineRule="auto"/>
      </w:pPr>
      <w:r>
        <w:continuationSeparator/>
      </w:r>
    </w:p>
  </w:footnote>
  <w:footnote w:id="1">
    <w:p w14:paraId="478D5177" w14:textId="77777777" w:rsidR="004721D5" w:rsidRPr="009E4C26" w:rsidRDefault="004721D5">
      <w:pPr>
        <w:pStyle w:val="FootnoteText"/>
        <w:rPr>
          <w:rFonts w:ascii="Calibri" w:hAnsi="Calibri"/>
        </w:rPr>
      </w:pPr>
      <w:r w:rsidRPr="009E4C26">
        <w:rPr>
          <w:rStyle w:val="FootnoteReference"/>
          <w:rFonts w:ascii="Calibri" w:hAnsi="Calibri"/>
        </w:rPr>
        <w:footnoteRef/>
      </w:r>
      <w:r w:rsidRPr="009E4C26">
        <w:rPr>
          <w:rFonts w:ascii="Calibri" w:hAnsi="Calibri"/>
        </w:rPr>
        <w:t xml:space="preserve"> </w:t>
      </w:r>
      <w:r w:rsidRPr="009E4C26">
        <w:rPr>
          <w:rFonts w:ascii="Calibri" w:hAnsi="Calibri" w:cs="Arial"/>
          <w:color w:val="333333"/>
          <w:shd w:val="clear" w:color="auto" w:fill="FFFFFF"/>
        </w:rPr>
        <w:t>Af</w:t>
      </w:r>
      <w:r>
        <w:rPr>
          <w:rFonts w:ascii="Calibri" w:hAnsi="Calibri" w:cs="Arial"/>
          <w:color w:val="333333"/>
          <w:shd w:val="clear" w:color="auto" w:fill="FFFFFF"/>
        </w:rPr>
        <w:t>firmation of Commitments, 9.3: “</w:t>
      </w:r>
      <w:r w:rsidRPr="009E4C26">
        <w:rPr>
          <w:rFonts w:ascii="Calibri" w:hAnsi="Calibri" w:cs="Arial"/>
          <w:color w:val="333333"/>
          <w:shd w:val="clear" w:color="auto" w:fill="FFFFFF"/>
        </w:rPr>
        <w:t xml:space="preserve">ICANN will ensure that as it contemplates expanding the top-level domain space, the various issues that are involved (including competition, consumer protection, security, stability and resiliency, malicious abuse issues, sovereignty concerns, and rights protection) will be adequately addressed prior to implementation. If and when new </w:t>
      </w:r>
      <w:proofErr w:type="spellStart"/>
      <w:r w:rsidRPr="009E4C26">
        <w:rPr>
          <w:rFonts w:ascii="Calibri" w:hAnsi="Calibri" w:cs="Arial"/>
          <w:color w:val="333333"/>
          <w:shd w:val="clear" w:color="auto" w:fill="FFFFFF"/>
        </w:rPr>
        <w:t>gTLDs</w:t>
      </w:r>
      <w:proofErr w:type="spellEnd"/>
      <w:r w:rsidRPr="009E4C26">
        <w:rPr>
          <w:rFonts w:ascii="Calibri" w:hAnsi="Calibri" w:cs="Arial"/>
          <w:color w:val="333333"/>
          <w:shd w:val="clear" w:color="auto" w:fill="FFFFFF"/>
        </w:rPr>
        <w:t xml:space="preserve"> (whether in ASCII or other language character sets) have been in operation for one year, ICANN will organize a review that will examine the extent to which the introduction or expansion of </w:t>
      </w:r>
      <w:proofErr w:type="spellStart"/>
      <w:r w:rsidRPr="009E4C26">
        <w:rPr>
          <w:rFonts w:ascii="Calibri" w:hAnsi="Calibri" w:cs="Arial"/>
          <w:color w:val="333333"/>
          <w:shd w:val="clear" w:color="auto" w:fill="FFFFFF"/>
        </w:rPr>
        <w:t>gTLDs</w:t>
      </w:r>
      <w:proofErr w:type="spellEnd"/>
      <w:r w:rsidRPr="009E4C26">
        <w:rPr>
          <w:rFonts w:ascii="Calibri" w:hAnsi="Calibri" w:cs="Arial"/>
          <w:color w:val="333333"/>
          <w:shd w:val="clear" w:color="auto" w:fill="FFFFFF"/>
        </w:rPr>
        <w:t xml:space="preserve"> has promoted competition, consumer trust and consumer choice, as well as effectiveness of (a) the application and evaluation process, and (b) safeguards put in place to mitigate issues involved in the introduction or expansion. ICANN will organize a further review of its execution of the above commitments two years after the first review, and then no less frequently than every four years.</w:t>
      </w:r>
      <w:r>
        <w:rPr>
          <w:rFonts w:ascii="Calibri" w:hAnsi="Calibri" w:cs="Arial"/>
          <w:color w:val="333333"/>
          <w:shd w:val="clear" w:color="auto" w:fill="FFFFFF"/>
        </w:rPr>
        <w:t>”</w:t>
      </w:r>
    </w:p>
  </w:footnote>
  <w:footnote w:id="2">
    <w:p w14:paraId="16E0B7D1" w14:textId="3A8E2860" w:rsidR="004721D5" w:rsidRDefault="004721D5">
      <w:pPr>
        <w:pStyle w:val="FootnoteText"/>
      </w:pPr>
      <w:r>
        <w:rPr>
          <w:rStyle w:val="FootnoteReference"/>
        </w:rPr>
        <w:footnoteRef/>
      </w:r>
      <w:r>
        <w:t xml:space="preserve"> See the updated document, “Advice requested by the ICANN Board regarding definitions, measures, and targets for competition, consumer trust and consumer choice,” for a summary of the updated recommendations.</w:t>
      </w:r>
    </w:p>
  </w:footnote>
  <w:footnote w:id="3">
    <w:p w14:paraId="297E36D8" w14:textId="78ED3685" w:rsidR="004721D5" w:rsidRDefault="004721D5">
      <w:pPr>
        <w:pStyle w:val="FootnoteText"/>
      </w:pPr>
      <w:r>
        <w:rPr>
          <w:rStyle w:val="FootnoteReference"/>
        </w:rPr>
        <w:footnoteRef/>
      </w:r>
      <w:r>
        <w:t xml:space="preserve"> See: </w:t>
      </w:r>
      <w:hyperlink r:id="rId1" w:history="1">
        <w:r w:rsidRPr="00FD63A6">
          <w:rPr>
            <w:rStyle w:val="Hyperlink"/>
          </w:rPr>
          <w:t>http://archive.icann.org/en/committees/ntepptf/final-report-31jul02.htm</w:t>
        </w:r>
      </w:hyperlink>
      <w:r>
        <w:t xml:space="preserve"> </w:t>
      </w:r>
    </w:p>
  </w:footnote>
  <w:footnote w:id="4">
    <w:p w14:paraId="5887A2F0" w14:textId="4EF54617" w:rsidR="004721D5" w:rsidRDefault="004721D5">
      <w:pPr>
        <w:pStyle w:val="FootnoteText"/>
      </w:pPr>
      <w:r>
        <w:rPr>
          <w:rStyle w:val="FootnoteReference"/>
        </w:rPr>
        <w:footnoteRef/>
      </w:r>
      <w:r>
        <w:t xml:space="preserve"> See: </w:t>
      </w:r>
      <w:r w:rsidRPr="005F7B8A">
        <w:t>https://archive.icann.org/en/committees/ntepptf/new-gtld-action-plan-18oct02.htm#I-Analysis</w:t>
      </w:r>
    </w:p>
  </w:footnote>
  <w:footnote w:id="5">
    <w:p w14:paraId="33320D4B" w14:textId="781F5093" w:rsidR="004721D5" w:rsidRDefault="004721D5">
      <w:pPr>
        <w:pStyle w:val="FootnoteText"/>
      </w:pPr>
      <w:r>
        <w:rPr>
          <w:rStyle w:val="FootnoteReference"/>
        </w:rPr>
        <w:footnoteRef/>
      </w:r>
      <w:r>
        <w:t xml:space="preserve"> See: </w:t>
      </w:r>
      <w:hyperlink r:id="rId2" w:history="1">
        <w:r w:rsidRPr="00302384">
          <w:rPr>
            <w:rStyle w:val="Hyperlink"/>
          </w:rPr>
          <w:t>http://www.oecd.org/internet/ieconomy/32996948.pdf</w:t>
        </w:r>
      </w:hyperlink>
      <w:r>
        <w:t xml:space="preserve"> </w:t>
      </w:r>
    </w:p>
  </w:footnote>
  <w:footnote w:id="6">
    <w:p w14:paraId="31D20721" w14:textId="4E13D365" w:rsidR="004721D5" w:rsidRDefault="004721D5">
      <w:pPr>
        <w:pStyle w:val="FootnoteText"/>
      </w:pPr>
      <w:r>
        <w:rPr>
          <w:rStyle w:val="FootnoteReference"/>
        </w:rPr>
        <w:footnoteRef/>
      </w:r>
      <w:r>
        <w:t xml:space="preserve"> See: </w:t>
      </w:r>
      <w:hyperlink r:id="rId3" w:history="1">
        <w:r w:rsidRPr="00781076">
          <w:rPr>
            <w:rStyle w:val="Hyperlink"/>
          </w:rPr>
          <w:t>http://www.icann.org/tlds/new-gtld-eval-31aug04.pdf</w:t>
        </w:r>
      </w:hyperlink>
      <w:r>
        <w:t xml:space="preserve"> </w:t>
      </w:r>
    </w:p>
  </w:footnote>
  <w:footnote w:id="7">
    <w:p w14:paraId="7E9F6FB9" w14:textId="3F800CE2" w:rsidR="004721D5" w:rsidRDefault="004721D5">
      <w:pPr>
        <w:pStyle w:val="FootnoteText"/>
      </w:pPr>
      <w:r>
        <w:rPr>
          <w:rStyle w:val="FootnoteReference"/>
        </w:rPr>
        <w:footnoteRef/>
      </w:r>
      <w:r>
        <w:t xml:space="preserve"> See: </w:t>
      </w:r>
      <w:r w:rsidRPr="003876B8">
        <w:t>http://www.wipo.int/amc/en/domains/reports/newgtld-ip/</w:t>
      </w:r>
    </w:p>
  </w:footnote>
  <w:footnote w:id="8">
    <w:p w14:paraId="39AF401C" w14:textId="77777777" w:rsidR="004721D5" w:rsidRDefault="004721D5" w:rsidP="0007547E">
      <w:pPr>
        <w:pStyle w:val="FootnoteText"/>
      </w:pPr>
      <w:r>
        <w:rPr>
          <w:rStyle w:val="FootnoteReference"/>
        </w:rPr>
        <w:footnoteRef/>
      </w:r>
      <w:r>
        <w:t xml:space="preserve"> See: </w:t>
      </w:r>
      <w:hyperlink r:id="rId4" w:history="1">
        <w:r w:rsidRPr="000707D9">
          <w:rPr>
            <w:rStyle w:val="Hyperlink"/>
          </w:rPr>
          <w:t>https://features.icann.org/collection-benchmarking-metrics-new-gtld-program-support-future-aoc-review-competition-consumer</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354"/>
    <w:multiLevelType w:val="hybridMultilevel"/>
    <w:tmpl w:val="B874D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267E5"/>
    <w:multiLevelType w:val="hybridMultilevel"/>
    <w:tmpl w:val="E1B20202"/>
    <w:lvl w:ilvl="0" w:tplc="C2F6D1DE">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7673E"/>
    <w:multiLevelType w:val="hybridMultilevel"/>
    <w:tmpl w:val="8F4AB4B6"/>
    <w:lvl w:ilvl="0" w:tplc="BAF6F6C6">
      <w:start w:val="1"/>
      <w:numFmt w:val="upperRoman"/>
      <w:lvlText w:val="%1&gt;"/>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532D8"/>
    <w:multiLevelType w:val="hybridMultilevel"/>
    <w:tmpl w:val="B874D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B6485"/>
    <w:multiLevelType w:val="hybridMultilevel"/>
    <w:tmpl w:val="5F0837B6"/>
    <w:lvl w:ilvl="0" w:tplc="943419E2">
      <w:start w:val="1"/>
      <w:numFmt w:val="upperRoman"/>
      <w:lvlText w:val="%1&gt;"/>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F20F2"/>
    <w:multiLevelType w:val="hybridMultilevel"/>
    <w:tmpl w:val="1D92F096"/>
    <w:lvl w:ilvl="0" w:tplc="94924680">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5502"/>
    <w:multiLevelType w:val="hybridMultilevel"/>
    <w:tmpl w:val="9E82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0477"/>
    <w:multiLevelType w:val="hybridMultilevel"/>
    <w:tmpl w:val="DDAA7356"/>
    <w:lvl w:ilvl="0" w:tplc="1F323262">
      <w:start w:val="1"/>
      <w:numFmt w:val="upperRoman"/>
      <w:lvlText w:val="%1."/>
      <w:lvlJc w:val="right"/>
      <w:pPr>
        <w:tabs>
          <w:tab w:val="num" w:pos="720"/>
        </w:tabs>
        <w:ind w:left="720" w:hanging="360"/>
      </w:pPr>
    </w:lvl>
    <w:lvl w:ilvl="1" w:tplc="67F82316">
      <w:start w:val="1"/>
      <w:numFmt w:val="upperLetter"/>
      <w:lvlText w:val="%2."/>
      <w:lvlJc w:val="right"/>
      <w:pPr>
        <w:tabs>
          <w:tab w:val="num" w:pos="1440"/>
        </w:tabs>
        <w:ind w:left="1440" w:hanging="360"/>
      </w:pPr>
    </w:lvl>
    <w:lvl w:ilvl="2" w:tplc="6666DB80">
      <w:start w:val="1"/>
      <w:numFmt w:val="lowerRoman"/>
      <w:lvlText w:val="%3."/>
      <w:lvlJc w:val="right"/>
      <w:pPr>
        <w:tabs>
          <w:tab w:val="num" w:pos="2160"/>
        </w:tabs>
        <w:ind w:left="2160" w:hanging="360"/>
      </w:pPr>
    </w:lvl>
    <w:lvl w:ilvl="3" w:tplc="7DF6BD3C">
      <w:start w:val="1"/>
      <w:numFmt w:val="lowerRoman"/>
      <w:lvlText w:val="%4."/>
      <w:lvlJc w:val="right"/>
      <w:pPr>
        <w:tabs>
          <w:tab w:val="num" w:pos="2880"/>
        </w:tabs>
        <w:ind w:left="2880" w:hanging="360"/>
      </w:pPr>
    </w:lvl>
    <w:lvl w:ilvl="4" w:tplc="52340272" w:tentative="1">
      <w:start w:val="1"/>
      <w:numFmt w:val="upperRoman"/>
      <w:lvlText w:val="%5."/>
      <w:lvlJc w:val="right"/>
      <w:pPr>
        <w:tabs>
          <w:tab w:val="num" w:pos="3600"/>
        </w:tabs>
        <w:ind w:left="3600" w:hanging="360"/>
      </w:pPr>
    </w:lvl>
    <w:lvl w:ilvl="5" w:tplc="25CA27B6" w:tentative="1">
      <w:start w:val="1"/>
      <w:numFmt w:val="upperRoman"/>
      <w:lvlText w:val="%6."/>
      <w:lvlJc w:val="right"/>
      <w:pPr>
        <w:tabs>
          <w:tab w:val="num" w:pos="4320"/>
        </w:tabs>
        <w:ind w:left="4320" w:hanging="360"/>
      </w:pPr>
    </w:lvl>
    <w:lvl w:ilvl="6" w:tplc="E60854EC" w:tentative="1">
      <w:start w:val="1"/>
      <w:numFmt w:val="upperRoman"/>
      <w:lvlText w:val="%7."/>
      <w:lvlJc w:val="right"/>
      <w:pPr>
        <w:tabs>
          <w:tab w:val="num" w:pos="5040"/>
        </w:tabs>
        <w:ind w:left="5040" w:hanging="360"/>
      </w:pPr>
    </w:lvl>
    <w:lvl w:ilvl="7" w:tplc="72C44776" w:tentative="1">
      <w:start w:val="1"/>
      <w:numFmt w:val="upperRoman"/>
      <w:lvlText w:val="%8."/>
      <w:lvlJc w:val="right"/>
      <w:pPr>
        <w:tabs>
          <w:tab w:val="num" w:pos="5760"/>
        </w:tabs>
        <w:ind w:left="5760" w:hanging="360"/>
      </w:pPr>
    </w:lvl>
    <w:lvl w:ilvl="8" w:tplc="CD20F0CC" w:tentative="1">
      <w:start w:val="1"/>
      <w:numFmt w:val="upperRoman"/>
      <w:lvlText w:val="%9."/>
      <w:lvlJc w:val="right"/>
      <w:pPr>
        <w:tabs>
          <w:tab w:val="num" w:pos="6480"/>
        </w:tabs>
        <w:ind w:left="6480" w:hanging="360"/>
      </w:pPr>
    </w:lvl>
  </w:abstractNum>
  <w:abstractNum w:abstractNumId="8">
    <w:nsid w:val="66547497"/>
    <w:multiLevelType w:val="hybridMultilevel"/>
    <w:tmpl w:val="EF3A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26D25"/>
    <w:multiLevelType w:val="hybridMultilevel"/>
    <w:tmpl w:val="00A066F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703B5134"/>
    <w:multiLevelType w:val="hybridMultilevel"/>
    <w:tmpl w:val="1BBC51EE"/>
    <w:lvl w:ilvl="0" w:tplc="61F6AA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2"/>
  </w:num>
  <w:num w:numId="6">
    <w:abstractNumId w:val="9"/>
  </w:num>
  <w:num w:numId="7">
    <w:abstractNumId w:val="5"/>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40"/>
    <w:rsid w:val="00001B46"/>
    <w:rsid w:val="00001CBD"/>
    <w:rsid w:val="00011880"/>
    <w:rsid w:val="00012436"/>
    <w:rsid w:val="00014834"/>
    <w:rsid w:val="000228E4"/>
    <w:rsid w:val="0007547E"/>
    <w:rsid w:val="00082EAC"/>
    <w:rsid w:val="0009464B"/>
    <w:rsid w:val="00096C6D"/>
    <w:rsid w:val="000A1166"/>
    <w:rsid w:val="000A3622"/>
    <w:rsid w:val="000A5ACE"/>
    <w:rsid w:val="000C057D"/>
    <w:rsid w:val="000D2051"/>
    <w:rsid w:val="000E3DAE"/>
    <w:rsid w:val="000F0F91"/>
    <w:rsid w:val="000F16C2"/>
    <w:rsid w:val="000F7151"/>
    <w:rsid w:val="00123C02"/>
    <w:rsid w:val="00130C5E"/>
    <w:rsid w:val="00135F4A"/>
    <w:rsid w:val="001432D2"/>
    <w:rsid w:val="001520A7"/>
    <w:rsid w:val="00161365"/>
    <w:rsid w:val="001802C0"/>
    <w:rsid w:val="00183FC6"/>
    <w:rsid w:val="00192EE1"/>
    <w:rsid w:val="00195607"/>
    <w:rsid w:val="001A22F4"/>
    <w:rsid w:val="001A489E"/>
    <w:rsid w:val="001B0894"/>
    <w:rsid w:val="001B69AF"/>
    <w:rsid w:val="001C4D32"/>
    <w:rsid w:val="00210AC4"/>
    <w:rsid w:val="0022664F"/>
    <w:rsid w:val="0022717B"/>
    <w:rsid w:val="00235BC1"/>
    <w:rsid w:val="00236BF4"/>
    <w:rsid w:val="002378CF"/>
    <w:rsid w:val="002421F0"/>
    <w:rsid w:val="00244E87"/>
    <w:rsid w:val="00264A26"/>
    <w:rsid w:val="00270441"/>
    <w:rsid w:val="00270572"/>
    <w:rsid w:val="00273411"/>
    <w:rsid w:val="00275AD2"/>
    <w:rsid w:val="002A5592"/>
    <w:rsid w:val="002B2E47"/>
    <w:rsid w:val="002C330D"/>
    <w:rsid w:val="002C5763"/>
    <w:rsid w:val="00301A68"/>
    <w:rsid w:val="00316E32"/>
    <w:rsid w:val="00350F70"/>
    <w:rsid w:val="00352AE1"/>
    <w:rsid w:val="00354F58"/>
    <w:rsid w:val="00366440"/>
    <w:rsid w:val="00367107"/>
    <w:rsid w:val="00373B1C"/>
    <w:rsid w:val="00386B79"/>
    <w:rsid w:val="003876B8"/>
    <w:rsid w:val="003A6927"/>
    <w:rsid w:val="003C0128"/>
    <w:rsid w:val="003E18AD"/>
    <w:rsid w:val="003F3A61"/>
    <w:rsid w:val="00402A92"/>
    <w:rsid w:val="0041413B"/>
    <w:rsid w:val="00430263"/>
    <w:rsid w:val="004333E6"/>
    <w:rsid w:val="0044209B"/>
    <w:rsid w:val="00445EC9"/>
    <w:rsid w:val="00454B0C"/>
    <w:rsid w:val="004561A0"/>
    <w:rsid w:val="004669A5"/>
    <w:rsid w:val="00467A69"/>
    <w:rsid w:val="004721D5"/>
    <w:rsid w:val="00490748"/>
    <w:rsid w:val="004917FD"/>
    <w:rsid w:val="00491D00"/>
    <w:rsid w:val="004A1671"/>
    <w:rsid w:val="004A6278"/>
    <w:rsid w:val="004A6CD5"/>
    <w:rsid w:val="004B1749"/>
    <w:rsid w:val="004B7E73"/>
    <w:rsid w:val="004E4456"/>
    <w:rsid w:val="00504A28"/>
    <w:rsid w:val="00504B70"/>
    <w:rsid w:val="00510F32"/>
    <w:rsid w:val="00535F5B"/>
    <w:rsid w:val="00545CB7"/>
    <w:rsid w:val="00565D6C"/>
    <w:rsid w:val="00575DD1"/>
    <w:rsid w:val="005766F8"/>
    <w:rsid w:val="00591091"/>
    <w:rsid w:val="005963B3"/>
    <w:rsid w:val="005E5F6F"/>
    <w:rsid w:val="005F3724"/>
    <w:rsid w:val="005F7350"/>
    <w:rsid w:val="005F766D"/>
    <w:rsid w:val="005F7B8A"/>
    <w:rsid w:val="00602EFE"/>
    <w:rsid w:val="0061577E"/>
    <w:rsid w:val="00616C00"/>
    <w:rsid w:val="00633BB6"/>
    <w:rsid w:val="006552EE"/>
    <w:rsid w:val="00660373"/>
    <w:rsid w:val="00667838"/>
    <w:rsid w:val="00682A9B"/>
    <w:rsid w:val="006A1495"/>
    <w:rsid w:val="006A1696"/>
    <w:rsid w:val="006B47D6"/>
    <w:rsid w:val="006C380D"/>
    <w:rsid w:val="006E365E"/>
    <w:rsid w:val="006E6BD1"/>
    <w:rsid w:val="00721279"/>
    <w:rsid w:val="00742F15"/>
    <w:rsid w:val="007440F7"/>
    <w:rsid w:val="0075685C"/>
    <w:rsid w:val="00785B4C"/>
    <w:rsid w:val="00790189"/>
    <w:rsid w:val="0079770E"/>
    <w:rsid w:val="007A1496"/>
    <w:rsid w:val="007C4537"/>
    <w:rsid w:val="007D45A7"/>
    <w:rsid w:val="007D5E89"/>
    <w:rsid w:val="00822203"/>
    <w:rsid w:val="0083534F"/>
    <w:rsid w:val="0084305F"/>
    <w:rsid w:val="008461B5"/>
    <w:rsid w:val="00864E23"/>
    <w:rsid w:val="008675AE"/>
    <w:rsid w:val="008A16AD"/>
    <w:rsid w:val="008A331E"/>
    <w:rsid w:val="008B33B5"/>
    <w:rsid w:val="008B44FB"/>
    <w:rsid w:val="008B560C"/>
    <w:rsid w:val="008C58D8"/>
    <w:rsid w:val="008C62A9"/>
    <w:rsid w:val="008D0C60"/>
    <w:rsid w:val="008D5C28"/>
    <w:rsid w:val="00906A32"/>
    <w:rsid w:val="00921EA5"/>
    <w:rsid w:val="009235F9"/>
    <w:rsid w:val="00930593"/>
    <w:rsid w:val="00951173"/>
    <w:rsid w:val="00954004"/>
    <w:rsid w:val="00967B56"/>
    <w:rsid w:val="009A7C86"/>
    <w:rsid w:val="009D38E8"/>
    <w:rsid w:val="009D7D18"/>
    <w:rsid w:val="009E4C26"/>
    <w:rsid w:val="009E5D2F"/>
    <w:rsid w:val="009E7CAF"/>
    <w:rsid w:val="009F1078"/>
    <w:rsid w:val="00A11852"/>
    <w:rsid w:val="00A27B08"/>
    <w:rsid w:val="00A42474"/>
    <w:rsid w:val="00A42F65"/>
    <w:rsid w:val="00A46A04"/>
    <w:rsid w:val="00A50C53"/>
    <w:rsid w:val="00A520FF"/>
    <w:rsid w:val="00A55909"/>
    <w:rsid w:val="00A56592"/>
    <w:rsid w:val="00A57B06"/>
    <w:rsid w:val="00A606D3"/>
    <w:rsid w:val="00A71D47"/>
    <w:rsid w:val="00A7341F"/>
    <w:rsid w:val="00AA17EF"/>
    <w:rsid w:val="00AC1174"/>
    <w:rsid w:val="00AE5902"/>
    <w:rsid w:val="00AF5404"/>
    <w:rsid w:val="00B25C26"/>
    <w:rsid w:val="00B44103"/>
    <w:rsid w:val="00B666DC"/>
    <w:rsid w:val="00B82B98"/>
    <w:rsid w:val="00B83C33"/>
    <w:rsid w:val="00B84BDD"/>
    <w:rsid w:val="00B904B3"/>
    <w:rsid w:val="00B96ECC"/>
    <w:rsid w:val="00BC2683"/>
    <w:rsid w:val="00BD1A82"/>
    <w:rsid w:val="00BD6B18"/>
    <w:rsid w:val="00BE3D8E"/>
    <w:rsid w:val="00BE44CE"/>
    <w:rsid w:val="00BE6B5A"/>
    <w:rsid w:val="00BE7267"/>
    <w:rsid w:val="00BE7B0E"/>
    <w:rsid w:val="00C14591"/>
    <w:rsid w:val="00C16741"/>
    <w:rsid w:val="00C34823"/>
    <w:rsid w:val="00C41DFA"/>
    <w:rsid w:val="00C42F3A"/>
    <w:rsid w:val="00C45E16"/>
    <w:rsid w:val="00C462A4"/>
    <w:rsid w:val="00C53264"/>
    <w:rsid w:val="00C57CA2"/>
    <w:rsid w:val="00C676D2"/>
    <w:rsid w:val="00C9364A"/>
    <w:rsid w:val="00C93AD7"/>
    <w:rsid w:val="00CA226D"/>
    <w:rsid w:val="00CA4DA5"/>
    <w:rsid w:val="00CA53EF"/>
    <w:rsid w:val="00CB72CA"/>
    <w:rsid w:val="00CC0588"/>
    <w:rsid w:val="00CD6699"/>
    <w:rsid w:val="00D078FA"/>
    <w:rsid w:val="00D25832"/>
    <w:rsid w:val="00D80091"/>
    <w:rsid w:val="00D8632E"/>
    <w:rsid w:val="00DB071D"/>
    <w:rsid w:val="00DB2023"/>
    <w:rsid w:val="00DC6140"/>
    <w:rsid w:val="00DD79A8"/>
    <w:rsid w:val="00DF2E9E"/>
    <w:rsid w:val="00E03987"/>
    <w:rsid w:val="00E15E24"/>
    <w:rsid w:val="00E479A3"/>
    <w:rsid w:val="00E52548"/>
    <w:rsid w:val="00E62660"/>
    <w:rsid w:val="00EB3E42"/>
    <w:rsid w:val="00EC1C97"/>
    <w:rsid w:val="00EE7BC3"/>
    <w:rsid w:val="00EF041C"/>
    <w:rsid w:val="00F070CE"/>
    <w:rsid w:val="00F20A3C"/>
    <w:rsid w:val="00F34D80"/>
    <w:rsid w:val="00F35258"/>
    <w:rsid w:val="00F82775"/>
    <w:rsid w:val="00F91587"/>
    <w:rsid w:val="00FC1780"/>
    <w:rsid w:val="00FC554C"/>
    <w:rsid w:val="00FD5B6D"/>
    <w:rsid w:val="00FD7596"/>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783C"/>
  <w15:chartTrackingRefBased/>
  <w15:docId w15:val="{210C12DC-E5AA-4F19-9DA0-4BC7017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2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27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27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7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827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27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82775"/>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6552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12436"/>
    <w:pPr>
      <w:ind w:left="720"/>
      <w:contextualSpacing/>
    </w:pPr>
  </w:style>
  <w:style w:type="character" w:styleId="CommentReference">
    <w:name w:val="annotation reference"/>
    <w:basedOn w:val="DefaultParagraphFont"/>
    <w:uiPriority w:val="99"/>
    <w:semiHidden/>
    <w:unhideWhenUsed/>
    <w:rsid w:val="009E4C26"/>
    <w:rPr>
      <w:sz w:val="16"/>
      <w:szCs w:val="16"/>
    </w:rPr>
  </w:style>
  <w:style w:type="paragraph" w:styleId="CommentText">
    <w:name w:val="annotation text"/>
    <w:basedOn w:val="Normal"/>
    <w:link w:val="CommentTextChar"/>
    <w:uiPriority w:val="99"/>
    <w:unhideWhenUsed/>
    <w:rsid w:val="009E4C26"/>
    <w:pPr>
      <w:spacing w:line="240" w:lineRule="auto"/>
    </w:pPr>
    <w:rPr>
      <w:sz w:val="20"/>
      <w:szCs w:val="20"/>
    </w:rPr>
  </w:style>
  <w:style w:type="character" w:customStyle="1" w:styleId="CommentTextChar">
    <w:name w:val="Comment Text Char"/>
    <w:basedOn w:val="DefaultParagraphFont"/>
    <w:link w:val="CommentText"/>
    <w:uiPriority w:val="99"/>
    <w:rsid w:val="009E4C26"/>
    <w:rPr>
      <w:sz w:val="20"/>
      <w:szCs w:val="20"/>
    </w:rPr>
  </w:style>
  <w:style w:type="paragraph" w:styleId="CommentSubject">
    <w:name w:val="annotation subject"/>
    <w:basedOn w:val="CommentText"/>
    <w:next w:val="CommentText"/>
    <w:link w:val="CommentSubjectChar"/>
    <w:uiPriority w:val="99"/>
    <w:semiHidden/>
    <w:unhideWhenUsed/>
    <w:rsid w:val="009E4C26"/>
    <w:rPr>
      <w:b/>
      <w:bCs/>
    </w:rPr>
  </w:style>
  <w:style w:type="character" w:customStyle="1" w:styleId="CommentSubjectChar">
    <w:name w:val="Comment Subject Char"/>
    <w:basedOn w:val="CommentTextChar"/>
    <w:link w:val="CommentSubject"/>
    <w:uiPriority w:val="99"/>
    <w:semiHidden/>
    <w:rsid w:val="009E4C26"/>
    <w:rPr>
      <w:b/>
      <w:bCs/>
      <w:sz w:val="20"/>
      <w:szCs w:val="20"/>
    </w:rPr>
  </w:style>
  <w:style w:type="paragraph" w:styleId="BalloonText">
    <w:name w:val="Balloon Text"/>
    <w:basedOn w:val="Normal"/>
    <w:link w:val="BalloonTextChar"/>
    <w:uiPriority w:val="99"/>
    <w:semiHidden/>
    <w:unhideWhenUsed/>
    <w:rsid w:val="009E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26"/>
    <w:rPr>
      <w:rFonts w:ascii="Segoe UI" w:hAnsi="Segoe UI" w:cs="Segoe UI"/>
      <w:sz w:val="18"/>
      <w:szCs w:val="18"/>
    </w:rPr>
  </w:style>
  <w:style w:type="paragraph" w:styleId="FootnoteText">
    <w:name w:val="footnote text"/>
    <w:basedOn w:val="Normal"/>
    <w:link w:val="FootnoteTextChar"/>
    <w:uiPriority w:val="99"/>
    <w:semiHidden/>
    <w:unhideWhenUsed/>
    <w:rsid w:val="009E4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C26"/>
    <w:rPr>
      <w:sz w:val="20"/>
      <w:szCs w:val="20"/>
    </w:rPr>
  </w:style>
  <w:style w:type="character" w:styleId="FootnoteReference">
    <w:name w:val="footnote reference"/>
    <w:basedOn w:val="DefaultParagraphFont"/>
    <w:uiPriority w:val="99"/>
    <w:semiHidden/>
    <w:unhideWhenUsed/>
    <w:rsid w:val="009E4C26"/>
    <w:rPr>
      <w:vertAlign w:val="superscript"/>
    </w:rPr>
  </w:style>
  <w:style w:type="character" w:customStyle="1" w:styleId="apple-converted-space">
    <w:name w:val="apple-converted-space"/>
    <w:basedOn w:val="DefaultParagraphFont"/>
    <w:rsid w:val="00123C02"/>
  </w:style>
  <w:style w:type="paragraph" w:styleId="TOCHeading">
    <w:name w:val="TOC Heading"/>
    <w:basedOn w:val="Heading1"/>
    <w:next w:val="Normal"/>
    <w:uiPriority w:val="39"/>
    <w:unhideWhenUsed/>
    <w:qFormat/>
    <w:rsid w:val="000228E4"/>
    <w:pPr>
      <w:outlineLvl w:val="9"/>
    </w:pPr>
  </w:style>
  <w:style w:type="paragraph" w:styleId="TOC1">
    <w:name w:val="toc 1"/>
    <w:basedOn w:val="Normal"/>
    <w:next w:val="Normal"/>
    <w:autoRedefine/>
    <w:uiPriority w:val="39"/>
    <w:unhideWhenUsed/>
    <w:rsid w:val="000228E4"/>
    <w:pPr>
      <w:spacing w:after="100"/>
    </w:pPr>
  </w:style>
  <w:style w:type="paragraph" w:styleId="TOC2">
    <w:name w:val="toc 2"/>
    <w:basedOn w:val="Normal"/>
    <w:next w:val="Normal"/>
    <w:autoRedefine/>
    <w:uiPriority w:val="39"/>
    <w:unhideWhenUsed/>
    <w:rsid w:val="000228E4"/>
    <w:pPr>
      <w:spacing w:after="100"/>
      <w:ind w:left="220"/>
    </w:pPr>
  </w:style>
  <w:style w:type="paragraph" w:styleId="TOC3">
    <w:name w:val="toc 3"/>
    <w:basedOn w:val="Normal"/>
    <w:next w:val="Normal"/>
    <w:autoRedefine/>
    <w:uiPriority w:val="39"/>
    <w:unhideWhenUsed/>
    <w:rsid w:val="000228E4"/>
    <w:pPr>
      <w:spacing w:after="100"/>
      <w:ind w:left="440"/>
    </w:pPr>
  </w:style>
  <w:style w:type="character" w:styleId="Hyperlink">
    <w:name w:val="Hyperlink"/>
    <w:basedOn w:val="DefaultParagraphFont"/>
    <w:uiPriority w:val="99"/>
    <w:unhideWhenUsed/>
    <w:rsid w:val="000228E4"/>
    <w:rPr>
      <w:color w:val="0563C1" w:themeColor="hyperlink"/>
      <w:u w:val="single"/>
    </w:rPr>
  </w:style>
  <w:style w:type="paragraph" w:styleId="TOC4">
    <w:name w:val="toc 4"/>
    <w:basedOn w:val="Normal"/>
    <w:next w:val="Normal"/>
    <w:autoRedefine/>
    <w:uiPriority w:val="39"/>
    <w:unhideWhenUsed/>
    <w:rsid w:val="002378CF"/>
    <w:pPr>
      <w:spacing w:after="100"/>
      <w:ind w:left="660"/>
    </w:pPr>
  </w:style>
  <w:style w:type="paragraph" w:styleId="Header">
    <w:name w:val="header"/>
    <w:basedOn w:val="Normal"/>
    <w:link w:val="HeaderChar"/>
    <w:uiPriority w:val="99"/>
    <w:unhideWhenUsed/>
    <w:rsid w:val="008C5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D8"/>
  </w:style>
  <w:style w:type="paragraph" w:styleId="Footer">
    <w:name w:val="footer"/>
    <w:basedOn w:val="Normal"/>
    <w:link w:val="FooterChar"/>
    <w:uiPriority w:val="99"/>
    <w:unhideWhenUsed/>
    <w:rsid w:val="008C5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D8"/>
  </w:style>
  <w:style w:type="table" w:styleId="TableGrid">
    <w:name w:val="Table Grid"/>
    <w:basedOn w:val="TableNormal"/>
    <w:uiPriority w:val="39"/>
    <w:rsid w:val="006E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2E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EF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33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3360">
      <w:bodyDiv w:val="1"/>
      <w:marLeft w:val="0"/>
      <w:marRight w:val="0"/>
      <w:marTop w:val="0"/>
      <w:marBottom w:val="0"/>
      <w:divBdr>
        <w:top w:val="none" w:sz="0" w:space="0" w:color="auto"/>
        <w:left w:val="none" w:sz="0" w:space="0" w:color="auto"/>
        <w:bottom w:val="none" w:sz="0" w:space="0" w:color="auto"/>
        <w:right w:val="none" w:sz="0" w:space="0" w:color="auto"/>
      </w:divBdr>
    </w:div>
    <w:div w:id="270014139">
      <w:bodyDiv w:val="1"/>
      <w:marLeft w:val="0"/>
      <w:marRight w:val="0"/>
      <w:marTop w:val="0"/>
      <w:marBottom w:val="0"/>
      <w:divBdr>
        <w:top w:val="none" w:sz="0" w:space="0" w:color="auto"/>
        <w:left w:val="none" w:sz="0" w:space="0" w:color="auto"/>
        <w:bottom w:val="none" w:sz="0" w:space="0" w:color="auto"/>
        <w:right w:val="none" w:sz="0" w:space="0" w:color="auto"/>
      </w:divBdr>
    </w:div>
    <w:div w:id="353120634">
      <w:bodyDiv w:val="1"/>
      <w:marLeft w:val="0"/>
      <w:marRight w:val="0"/>
      <w:marTop w:val="0"/>
      <w:marBottom w:val="0"/>
      <w:divBdr>
        <w:top w:val="none" w:sz="0" w:space="0" w:color="auto"/>
        <w:left w:val="none" w:sz="0" w:space="0" w:color="auto"/>
        <w:bottom w:val="none" w:sz="0" w:space="0" w:color="auto"/>
        <w:right w:val="none" w:sz="0" w:space="0" w:color="auto"/>
      </w:divBdr>
    </w:div>
    <w:div w:id="864558177">
      <w:bodyDiv w:val="1"/>
      <w:marLeft w:val="0"/>
      <w:marRight w:val="0"/>
      <w:marTop w:val="0"/>
      <w:marBottom w:val="0"/>
      <w:divBdr>
        <w:top w:val="none" w:sz="0" w:space="0" w:color="auto"/>
        <w:left w:val="none" w:sz="0" w:space="0" w:color="auto"/>
        <w:bottom w:val="none" w:sz="0" w:space="0" w:color="auto"/>
        <w:right w:val="none" w:sz="0" w:space="0" w:color="auto"/>
      </w:divBdr>
      <w:divsChild>
        <w:div w:id="773600824">
          <w:marLeft w:val="835"/>
          <w:marRight w:val="0"/>
          <w:marTop w:val="0"/>
          <w:marBottom w:val="0"/>
          <w:divBdr>
            <w:top w:val="none" w:sz="0" w:space="0" w:color="auto"/>
            <w:left w:val="none" w:sz="0" w:space="0" w:color="auto"/>
            <w:bottom w:val="none" w:sz="0" w:space="0" w:color="auto"/>
            <w:right w:val="none" w:sz="0" w:space="0" w:color="auto"/>
          </w:divBdr>
        </w:div>
        <w:div w:id="895169200">
          <w:marLeft w:val="1138"/>
          <w:marRight w:val="0"/>
          <w:marTop w:val="0"/>
          <w:marBottom w:val="0"/>
          <w:divBdr>
            <w:top w:val="none" w:sz="0" w:space="0" w:color="auto"/>
            <w:left w:val="none" w:sz="0" w:space="0" w:color="auto"/>
            <w:bottom w:val="none" w:sz="0" w:space="0" w:color="auto"/>
            <w:right w:val="none" w:sz="0" w:space="0" w:color="auto"/>
          </w:divBdr>
        </w:div>
        <w:div w:id="1921138501">
          <w:marLeft w:val="835"/>
          <w:marRight w:val="0"/>
          <w:marTop w:val="0"/>
          <w:marBottom w:val="0"/>
          <w:divBdr>
            <w:top w:val="none" w:sz="0" w:space="0" w:color="auto"/>
            <w:left w:val="none" w:sz="0" w:space="0" w:color="auto"/>
            <w:bottom w:val="none" w:sz="0" w:space="0" w:color="auto"/>
            <w:right w:val="none" w:sz="0" w:space="0" w:color="auto"/>
          </w:divBdr>
        </w:div>
        <w:div w:id="279075132">
          <w:marLeft w:val="1138"/>
          <w:marRight w:val="0"/>
          <w:marTop w:val="0"/>
          <w:marBottom w:val="0"/>
          <w:divBdr>
            <w:top w:val="none" w:sz="0" w:space="0" w:color="auto"/>
            <w:left w:val="none" w:sz="0" w:space="0" w:color="auto"/>
            <w:bottom w:val="none" w:sz="0" w:space="0" w:color="auto"/>
            <w:right w:val="none" w:sz="0" w:space="0" w:color="auto"/>
          </w:divBdr>
        </w:div>
        <w:div w:id="1470173626">
          <w:marLeft w:val="1138"/>
          <w:marRight w:val="0"/>
          <w:marTop w:val="0"/>
          <w:marBottom w:val="0"/>
          <w:divBdr>
            <w:top w:val="none" w:sz="0" w:space="0" w:color="auto"/>
            <w:left w:val="none" w:sz="0" w:space="0" w:color="auto"/>
            <w:bottom w:val="none" w:sz="0" w:space="0" w:color="auto"/>
            <w:right w:val="none" w:sz="0" w:space="0" w:color="auto"/>
          </w:divBdr>
        </w:div>
        <w:div w:id="817452646">
          <w:marLeft w:val="1138"/>
          <w:marRight w:val="0"/>
          <w:marTop w:val="0"/>
          <w:marBottom w:val="0"/>
          <w:divBdr>
            <w:top w:val="none" w:sz="0" w:space="0" w:color="auto"/>
            <w:left w:val="none" w:sz="0" w:space="0" w:color="auto"/>
            <w:bottom w:val="none" w:sz="0" w:space="0" w:color="auto"/>
            <w:right w:val="none" w:sz="0" w:space="0" w:color="auto"/>
          </w:divBdr>
        </w:div>
        <w:div w:id="549266142">
          <w:marLeft w:val="1138"/>
          <w:marRight w:val="0"/>
          <w:marTop w:val="0"/>
          <w:marBottom w:val="0"/>
          <w:divBdr>
            <w:top w:val="none" w:sz="0" w:space="0" w:color="auto"/>
            <w:left w:val="none" w:sz="0" w:space="0" w:color="auto"/>
            <w:bottom w:val="none" w:sz="0" w:space="0" w:color="auto"/>
            <w:right w:val="none" w:sz="0" w:space="0" w:color="auto"/>
          </w:divBdr>
        </w:div>
        <w:div w:id="1370378399">
          <w:marLeft w:val="835"/>
          <w:marRight w:val="0"/>
          <w:marTop w:val="0"/>
          <w:marBottom w:val="0"/>
          <w:divBdr>
            <w:top w:val="none" w:sz="0" w:space="0" w:color="auto"/>
            <w:left w:val="none" w:sz="0" w:space="0" w:color="auto"/>
            <w:bottom w:val="none" w:sz="0" w:space="0" w:color="auto"/>
            <w:right w:val="none" w:sz="0" w:space="0" w:color="auto"/>
          </w:divBdr>
        </w:div>
        <w:div w:id="297801357">
          <w:marLeft w:val="1138"/>
          <w:marRight w:val="0"/>
          <w:marTop w:val="0"/>
          <w:marBottom w:val="0"/>
          <w:divBdr>
            <w:top w:val="none" w:sz="0" w:space="0" w:color="auto"/>
            <w:left w:val="none" w:sz="0" w:space="0" w:color="auto"/>
            <w:bottom w:val="none" w:sz="0" w:space="0" w:color="auto"/>
            <w:right w:val="none" w:sz="0" w:space="0" w:color="auto"/>
          </w:divBdr>
        </w:div>
        <w:div w:id="1590625725">
          <w:marLeft w:val="1426"/>
          <w:marRight w:val="0"/>
          <w:marTop w:val="0"/>
          <w:marBottom w:val="0"/>
          <w:divBdr>
            <w:top w:val="none" w:sz="0" w:space="0" w:color="auto"/>
            <w:left w:val="none" w:sz="0" w:space="0" w:color="auto"/>
            <w:bottom w:val="none" w:sz="0" w:space="0" w:color="auto"/>
            <w:right w:val="none" w:sz="0" w:space="0" w:color="auto"/>
          </w:divBdr>
        </w:div>
        <w:div w:id="1477531792">
          <w:marLeft w:val="1426"/>
          <w:marRight w:val="0"/>
          <w:marTop w:val="0"/>
          <w:marBottom w:val="0"/>
          <w:divBdr>
            <w:top w:val="none" w:sz="0" w:space="0" w:color="auto"/>
            <w:left w:val="none" w:sz="0" w:space="0" w:color="auto"/>
            <w:bottom w:val="none" w:sz="0" w:space="0" w:color="auto"/>
            <w:right w:val="none" w:sz="0" w:space="0" w:color="auto"/>
          </w:divBdr>
        </w:div>
        <w:div w:id="1206454608">
          <w:marLeft w:val="1138"/>
          <w:marRight w:val="0"/>
          <w:marTop w:val="0"/>
          <w:marBottom w:val="0"/>
          <w:divBdr>
            <w:top w:val="none" w:sz="0" w:space="0" w:color="auto"/>
            <w:left w:val="none" w:sz="0" w:space="0" w:color="auto"/>
            <w:bottom w:val="none" w:sz="0" w:space="0" w:color="auto"/>
            <w:right w:val="none" w:sz="0" w:space="0" w:color="auto"/>
          </w:divBdr>
        </w:div>
        <w:div w:id="1183938050">
          <w:marLeft w:val="1426"/>
          <w:marRight w:val="0"/>
          <w:marTop w:val="0"/>
          <w:marBottom w:val="0"/>
          <w:divBdr>
            <w:top w:val="none" w:sz="0" w:space="0" w:color="auto"/>
            <w:left w:val="none" w:sz="0" w:space="0" w:color="auto"/>
            <w:bottom w:val="none" w:sz="0" w:space="0" w:color="auto"/>
            <w:right w:val="none" w:sz="0" w:space="0" w:color="auto"/>
          </w:divBdr>
        </w:div>
        <w:div w:id="245195410">
          <w:marLeft w:val="1728"/>
          <w:marRight w:val="0"/>
          <w:marTop w:val="0"/>
          <w:marBottom w:val="0"/>
          <w:divBdr>
            <w:top w:val="none" w:sz="0" w:space="0" w:color="auto"/>
            <w:left w:val="none" w:sz="0" w:space="0" w:color="auto"/>
            <w:bottom w:val="none" w:sz="0" w:space="0" w:color="auto"/>
            <w:right w:val="none" w:sz="0" w:space="0" w:color="auto"/>
          </w:divBdr>
        </w:div>
        <w:div w:id="277881679">
          <w:marLeft w:val="1728"/>
          <w:marRight w:val="0"/>
          <w:marTop w:val="0"/>
          <w:marBottom w:val="0"/>
          <w:divBdr>
            <w:top w:val="none" w:sz="0" w:space="0" w:color="auto"/>
            <w:left w:val="none" w:sz="0" w:space="0" w:color="auto"/>
            <w:bottom w:val="none" w:sz="0" w:space="0" w:color="auto"/>
            <w:right w:val="none" w:sz="0" w:space="0" w:color="auto"/>
          </w:divBdr>
        </w:div>
        <w:div w:id="980771791">
          <w:marLeft w:val="1138"/>
          <w:marRight w:val="0"/>
          <w:marTop w:val="0"/>
          <w:marBottom w:val="0"/>
          <w:divBdr>
            <w:top w:val="none" w:sz="0" w:space="0" w:color="auto"/>
            <w:left w:val="none" w:sz="0" w:space="0" w:color="auto"/>
            <w:bottom w:val="none" w:sz="0" w:space="0" w:color="auto"/>
            <w:right w:val="none" w:sz="0" w:space="0" w:color="auto"/>
          </w:divBdr>
        </w:div>
        <w:div w:id="1127041684">
          <w:marLeft w:val="1426"/>
          <w:marRight w:val="0"/>
          <w:marTop w:val="0"/>
          <w:marBottom w:val="0"/>
          <w:divBdr>
            <w:top w:val="none" w:sz="0" w:space="0" w:color="auto"/>
            <w:left w:val="none" w:sz="0" w:space="0" w:color="auto"/>
            <w:bottom w:val="none" w:sz="0" w:space="0" w:color="auto"/>
            <w:right w:val="none" w:sz="0" w:space="0" w:color="auto"/>
          </w:divBdr>
        </w:div>
        <w:div w:id="1732459053">
          <w:marLeft w:val="1426"/>
          <w:marRight w:val="0"/>
          <w:marTop w:val="0"/>
          <w:marBottom w:val="0"/>
          <w:divBdr>
            <w:top w:val="none" w:sz="0" w:space="0" w:color="auto"/>
            <w:left w:val="none" w:sz="0" w:space="0" w:color="auto"/>
            <w:bottom w:val="none" w:sz="0" w:space="0" w:color="auto"/>
            <w:right w:val="none" w:sz="0" w:space="0" w:color="auto"/>
          </w:divBdr>
        </w:div>
        <w:div w:id="537399829">
          <w:marLeft w:val="835"/>
          <w:marRight w:val="0"/>
          <w:marTop w:val="0"/>
          <w:marBottom w:val="0"/>
          <w:divBdr>
            <w:top w:val="none" w:sz="0" w:space="0" w:color="auto"/>
            <w:left w:val="none" w:sz="0" w:space="0" w:color="auto"/>
            <w:bottom w:val="none" w:sz="0" w:space="0" w:color="auto"/>
            <w:right w:val="none" w:sz="0" w:space="0" w:color="auto"/>
          </w:divBdr>
        </w:div>
      </w:divsChild>
    </w:div>
    <w:div w:id="938487195">
      <w:bodyDiv w:val="1"/>
      <w:marLeft w:val="0"/>
      <w:marRight w:val="0"/>
      <w:marTop w:val="0"/>
      <w:marBottom w:val="0"/>
      <w:divBdr>
        <w:top w:val="none" w:sz="0" w:space="0" w:color="auto"/>
        <w:left w:val="none" w:sz="0" w:space="0" w:color="auto"/>
        <w:bottom w:val="none" w:sz="0" w:space="0" w:color="auto"/>
        <w:right w:val="none" w:sz="0" w:space="0" w:color="auto"/>
      </w:divBdr>
    </w:div>
    <w:div w:id="1384258126">
      <w:bodyDiv w:val="1"/>
      <w:marLeft w:val="0"/>
      <w:marRight w:val="0"/>
      <w:marTop w:val="0"/>
      <w:marBottom w:val="0"/>
      <w:divBdr>
        <w:top w:val="none" w:sz="0" w:space="0" w:color="auto"/>
        <w:left w:val="none" w:sz="0" w:space="0" w:color="auto"/>
        <w:bottom w:val="none" w:sz="0" w:space="0" w:color="auto"/>
        <w:right w:val="none" w:sz="0" w:space="0" w:color="auto"/>
      </w:divBdr>
    </w:div>
    <w:div w:id="1395085523">
      <w:bodyDiv w:val="1"/>
      <w:marLeft w:val="0"/>
      <w:marRight w:val="0"/>
      <w:marTop w:val="0"/>
      <w:marBottom w:val="0"/>
      <w:divBdr>
        <w:top w:val="none" w:sz="0" w:space="0" w:color="auto"/>
        <w:left w:val="none" w:sz="0" w:space="0" w:color="auto"/>
        <w:bottom w:val="none" w:sz="0" w:space="0" w:color="auto"/>
        <w:right w:val="none" w:sz="0" w:space="0" w:color="auto"/>
      </w:divBdr>
    </w:div>
    <w:div w:id="1646399390">
      <w:bodyDiv w:val="1"/>
      <w:marLeft w:val="0"/>
      <w:marRight w:val="0"/>
      <w:marTop w:val="0"/>
      <w:marBottom w:val="0"/>
      <w:divBdr>
        <w:top w:val="none" w:sz="0" w:space="0" w:color="auto"/>
        <w:left w:val="none" w:sz="0" w:space="0" w:color="auto"/>
        <w:bottom w:val="none" w:sz="0" w:space="0" w:color="auto"/>
        <w:right w:val="none" w:sz="0" w:space="0" w:color="auto"/>
      </w:divBdr>
    </w:div>
    <w:div w:id="1653827232">
      <w:bodyDiv w:val="1"/>
      <w:marLeft w:val="0"/>
      <w:marRight w:val="0"/>
      <w:marTop w:val="0"/>
      <w:marBottom w:val="0"/>
      <w:divBdr>
        <w:top w:val="none" w:sz="0" w:space="0" w:color="auto"/>
        <w:left w:val="none" w:sz="0" w:space="0" w:color="auto"/>
        <w:bottom w:val="none" w:sz="0" w:space="0" w:color="auto"/>
        <w:right w:val="none" w:sz="0" w:space="0" w:color="auto"/>
      </w:divBdr>
    </w:div>
    <w:div w:id="1730109577">
      <w:bodyDiv w:val="1"/>
      <w:marLeft w:val="0"/>
      <w:marRight w:val="0"/>
      <w:marTop w:val="0"/>
      <w:marBottom w:val="0"/>
      <w:divBdr>
        <w:top w:val="none" w:sz="0" w:space="0" w:color="auto"/>
        <w:left w:val="none" w:sz="0" w:space="0" w:color="auto"/>
        <w:bottom w:val="none" w:sz="0" w:space="0" w:color="auto"/>
        <w:right w:val="none" w:sz="0" w:space="0" w:color="auto"/>
      </w:divBdr>
    </w:div>
    <w:div w:id="20891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display/aoccnsmrmtrcs/Metric+1.18" TargetMode="External"/><Relationship Id="rId21" Type="http://schemas.openxmlformats.org/officeDocument/2006/relationships/hyperlink" Target="https://community.icann.org/display/aoccnsmrmtrcs/Metric+1.13" TargetMode="External"/><Relationship Id="rId42" Type="http://schemas.openxmlformats.org/officeDocument/2006/relationships/hyperlink" Target="https://community.icann.org/display/aoccnsmrmtrcs/Metric+2.13" TargetMode="External"/><Relationship Id="rId47" Type="http://schemas.openxmlformats.org/officeDocument/2006/relationships/hyperlink" Target="https://community.icann.org/display/aoccnsmrmtrcs/Metric+3.4" TargetMode="External"/><Relationship Id="rId63" Type="http://schemas.openxmlformats.org/officeDocument/2006/relationships/hyperlink" Target="https://community.icann.org/display/aoccnsmrmtrcs/Metric+5.4" TargetMode="External"/><Relationship Id="rId68" Type="http://schemas.openxmlformats.org/officeDocument/2006/relationships/hyperlink" Target="https://community.icann.org/display/aoccnsmrmtrcs/Metric+6.3" TargetMode="External"/><Relationship Id="rId84" Type="http://schemas.openxmlformats.org/officeDocument/2006/relationships/hyperlink" Target="https://community.icann.org/download/attachments/43980848/Christa%20Taylor%20SOI.pdf?version=2&amp;modificationDate=1393530744000&amp;api=v2" TargetMode="External"/><Relationship Id="rId89" Type="http://schemas.openxmlformats.org/officeDocument/2006/relationships/hyperlink" Target="https://community.icann.org/download/attachments/43980848/Ephraim%20Percy%20Kenyanito%20SOI.pdf?version=1&amp;modificationDate=1384025582000&amp;api=v2" TargetMode="External"/><Relationship Id="rId112" Type="http://schemas.openxmlformats.org/officeDocument/2006/relationships/theme" Target="theme/theme1.xml"/><Relationship Id="rId16" Type="http://schemas.openxmlformats.org/officeDocument/2006/relationships/hyperlink" Target="https://community.icann.org/display/aoccnsmrmtrcs/Metric+1.8" TargetMode="External"/><Relationship Id="rId107" Type="http://schemas.openxmlformats.org/officeDocument/2006/relationships/hyperlink" Target="https://community.icann.org/download/attachments/43980848/Nathalie%20Coupet.pdf?version=1&amp;modificationDate=1389025560000&amp;api=v2" TargetMode="External"/><Relationship Id="rId11" Type="http://schemas.openxmlformats.org/officeDocument/2006/relationships/hyperlink" Target="https://community.icann.org/display/aoccnsmrmtrcs/Metric+1.3" TargetMode="External"/><Relationship Id="rId32" Type="http://schemas.openxmlformats.org/officeDocument/2006/relationships/hyperlink" Target="https://community.icann.org/display/aoccnsmrmtrcs/Metric+2.2" TargetMode="External"/><Relationship Id="rId37" Type="http://schemas.openxmlformats.org/officeDocument/2006/relationships/hyperlink" Target="https://community.icann.org/display/aoccnsmrmtrcs/Metric+2.8" TargetMode="External"/><Relationship Id="rId53" Type="http://schemas.openxmlformats.org/officeDocument/2006/relationships/hyperlink" Target="https://community.icann.org/display/aoccnsmrmtrcs/Metric+3.10" TargetMode="External"/><Relationship Id="rId58" Type="http://schemas.openxmlformats.org/officeDocument/2006/relationships/hyperlink" Target="https://community.icann.org/display/aoccnsmrmtrcs/Metric+4.4" TargetMode="External"/><Relationship Id="rId74" Type="http://schemas.openxmlformats.org/officeDocument/2006/relationships/hyperlink" Target="https://community.icann.org/display/aoccnsmrmtrcs/Metric+8.3" TargetMode="External"/><Relationship Id="rId79" Type="http://schemas.openxmlformats.org/officeDocument/2006/relationships/chart" Target="charts/chart2.xml"/><Relationship Id="rId102" Type="http://schemas.openxmlformats.org/officeDocument/2006/relationships/hyperlink" Target="https://community.icann.org/download/attachments/43980848/Phil%20Buckingham%20-%20SOI.pdf?version=1&amp;modificationDate=1393954313000&amp;api=v2" TargetMode="External"/><Relationship Id="rId5" Type="http://schemas.openxmlformats.org/officeDocument/2006/relationships/webSettings" Target="webSettings.xml"/><Relationship Id="rId90" Type="http://schemas.openxmlformats.org/officeDocument/2006/relationships/hyperlink" Target="https://community.icann.org/display/atlarge/Evan+Leibovitch+SOI" TargetMode="External"/><Relationship Id="rId95" Type="http://schemas.openxmlformats.org/officeDocument/2006/relationships/hyperlink" Target="https://community.icann.org/download/attachments/43980848/Judy%20Song-Marshall%20-%20SOI.pdf?version=1&amp;modificationDate=1395091938000&amp;api=v2" TargetMode="External"/><Relationship Id="rId22" Type="http://schemas.openxmlformats.org/officeDocument/2006/relationships/hyperlink" Target="https://community.icann.org/display/aoccnsmrmtrcs/Metric+1.14" TargetMode="External"/><Relationship Id="rId27" Type="http://schemas.openxmlformats.org/officeDocument/2006/relationships/hyperlink" Target="https://community.icann.org/display/aoccnsmrmtrcs/Metric+1.19" TargetMode="External"/><Relationship Id="rId43" Type="http://schemas.openxmlformats.org/officeDocument/2006/relationships/hyperlink" Target="https://community.icann.org/display/aoccnsmrmtrcs/Metric+2.14" TargetMode="External"/><Relationship Id="rId48" Type="http://schemas.openxmlformats.org/officeDocument/2006/relationships/hyperlink" Target="https://community.icann.org/display/aoccnsmrmtrcs/Metric+3.5" TargetMode="External"/><Relationship Id="rId64" Type="http://schemas.openxmlformats.org/officeDocument/2006/relationships/hyperlink" Target="https://community.icann.org/display/aoccnsmrmtrcs/Metric+5.5" TargetMode="External"/><Relationship Id="rId69" Type="http://schemas.openxmlformats.org/officeDocument/2006/relationships/hyperlink" Target="https://community.icann.org/display/aoccnsmrmtrcs/Metric+7.1" TargetMode="External"/><Relationship Id="rId80" Type="http://schemas.openxmlformats.org/officeDocument/2006/relationships/hyperlink" Target="https://community.icann.org/display/IAG/IAG-CCT+Conference+Call+Schedule" TargetMode="External"/><Relationship Id="rId85" Type="http://schemas.openxmlformats.org/officeDocument/2006/relationships/hyperlink" Target="https://community.icann.org/download/attachments/43980848/Christopher%20Wilkinson%20-%20SOI.pdf?version=1&amp;modificationDate=1384807142000&amp;api=v2" TargetMode="External"/><Relationship Id="rId12" Type="http://schemas.openxmlformats.org/officeDocument/2006/relationships/hyperlink" Target="https://community.icann.org/display/aoccnsmrmtrcs/Metric+1.4" TargetMode="External"/><Relationship Id="rId17" Type="http://schemas.openxmlformats.org/officeDocument/2006/relationships/hyperlink" Target="https://community.icann.org/display/aoccnsmrmtrcs/Metric+1.9" TargetMode="External"/><Relationship Id="rId33" Type="http://schemas.openxmlformats.org/officeDocument/2006/relationships/hyperlink" Target="https://community.icann.org/display/aoccnsmrmtrcs/Metric+2.3" TargetMode="External"/><Relationship Id="rId38" Type="http://schemas.openxmlformats.org/officeDocument/2006/relationships/hyperlink" Target="https://community.icann.org/display/aoccnsmrmtrcs/Metric+2.9" TargetMode="External"/><Relationship Id="rId59" Type="http://schemas.openxmlformats.org/officeDocument/2006/relationships/hyperlink" Target="https://community.icann.org/display/aoccnsmrmtrcs/Metric+4.5" TargetMode="External"/><Relationship Id="rId103" Type="http://schemas.openxmlformats.org/officeDocument/2006/relationships/hyperlink" Target="https://community.icann.org/download/attachments/43980848/Ray%20Fassett%20-%20SOI.pdf?version=1&amp;modificationDate=1394216710000&amp;api=v2" TargetMode="External"/><Relationship Id="rId108" Type="http://schemas.openxmlformats.org/officeDocument/2006/relationships/hyperlink" Target="https://community.icann.org/download/attachments/43980848/DelBianco%20-%20SOI.pdf?version=1&amp;modificationDate=1384632525000&amp;api=v2" TargetMode="External"/><Relationship Id="rId54" Type="http://schemas.openxmlformats.org/officeDocument/2006/relationships/hyperlink" Target="https://community.icann.org/display/aoccnsmrmtrcs/Metric+3.11" TargetMode="External"/><Relationship Id="rId70" Type="http://schemas.openxmlformats.org/officeDocument/2006/relationships/hyperlink" Target="https://community.icann.org/display/aoccnsmrmtrcs/Metric+7.2" TargetMode="External"/><Relationship Id="rId75" Type="http://schemas.openxmlformats.org/officeDocument/2006/relationships/hyperlink" Target="https://community.icann.org/display/aoccnsmrmtrcs/Metric+8.4" TargetMode="External"/><Relationship Id="rId91" Type="http://schemas.openxmlformats.org/officeDocument/2006/relationships/hyperlink" Target="https://community.icann.org/display/gnsosoi/Evan+Leibovitch+SOI" TargetMode="External"/><Relationship Id="rId96" Type="http://schemas.openxmlformats.org/officeDocument/2006/relationships/hyperlink" Target="https://community.icann.org/download/attachments/43980848/Mason%20Cole%20-%20SOI.pdf?version=1&amp;modificationDate=1385595698000&amp;api=v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unity.icann.org/display/aoccnsmrmtrcs/Metric+1.7" TargetMode="External"/><Relationship Id="rId23" Type="http://schemas.openxmlformats.org/officeDocument/2006/relationships/hyperlink" Target="https://community.icann.org/display/aoccnsmrmtrcs/Metric+1.15" TargetMode="External"/><Relationship Id="rId28" Type="http://schemas.openxmlformats.org/officeDocument/2006/relationships/hyperlink" Target="https://community.icann.org/display/aoccnsmrmtrcs/Metric+1.20" TargetMode="External"/><Relationship Id="rId36" Type="http://schemas.openxmlformats.org/officeDocument/2006/relationships/hyperlink" Target="https://community.icann.org/display/aoccnsmrmtrcs/Metric+2.7" TargetMode="External"/><Relationship Id="rId49" Type="http://schemas.openxmlformats.org/officeDocument/2006/relationships/hyperlink" Target="https://community.icann.org/display/aoccnsmrmtrcs/Metric+3.7" TargetMode="External"/><Relationship Id="rId57" Type="http://schemas.openxmlformats.org/officeDocument/2006/relationships/hyperlink" Target="https://community.icann.org/display/aoccnsmrmtrcs/Metric+4.3" TargetMode="External"/><Relationship Id="rId106" Type="http://schemas.openxmlformats.org/officeDocument/2006/relationships/hyperlink" Target="https://community.icann.org/display/gnsosoi/Rudi+Vansnick+SOI" TargetMode="External"/><Relationship Id="rId10" Type="http://schemas.openxmlformats.org/officeDocument/2006/relationships/hyperlink" Target="https://community.icann.org/display/aoccnsmrmtrcs/Metric+1.2" TargetMode="External"/><Relationship Id="rId31" Type="http://schemas.openxmlformats.org/officeDocument/2006/relationships/hyperlink" Target="https://community.icann.org/display/aoccnsmrmtrcs/Metric+2.1" TargetMode="External"/><Relationship Id="rId44" Type="http://schemas.openxmlformats.org/officeDocument/2006/relationships/hyperlink" Target="https://community.icann.org/display/aoccnsmrmtrcs/Metric+3.1" TargetMode="External"/><Relationship Id="rId52" Type="http://schemas.openxmlformats.org/officeDocument/2006/relationships/hyperlink" Target="https://community.icann.org/display/aoccnsmrmtrcs/Metric+3.9" TargetMode="External"/><Relationship Id="rId60" Type="http://schemas.openxmlformats.org/officeDocument/2006/relationships/hyperlink" Target="https://community.icann.org/display/aoccnsmrmtrcs/Metric+5.1" TargetMode="External"/><Relationship Id="rId65" Type="http://schemas.openxmlformats.org/officeDocument/2006/relationships/hyperlink" Target="https://community.icann.org/display/aoccnsmrmtrcs/Metric+5.6" TargetMode="External"/><Relationship Id="rId73" Type="http://schemas.openxmlformats.org/officeDocument/2006/relationships/hyperlink" Target="https://community.icann.org/display/aoccnsmrmtrcs/Metric+8.2" TargetMode="External"/><Relationship Id="rId78" Type="http://schemas.openxmlformats.org/officeDocument/2006/relationships/chart" Target="charts/chart1.xml"/><Relationship Id="rId81" Type="http://schemas.openxmlformats.org/officeDocument/2006/relationships/hyperlink" Target="https://community.icann.org/download/attachments/43980848/Adamu%20Ishiaku%20-%20SOI.docx?version=1&amp;modificationDate=1385150607000&amp;api=v2" TargetMode="External"/><Relationship Id="rId86" Type="http://schemas.openxmlformats.org/officeDocument/2006/relationships/hyperlink" Target="https://community.icann.org/display/gnsosoi/Cintra+Sooknanan+SOI" TargetMode="External"/><Relationship Id="rId94" Type="http://schemas.openxmlformats.org/officeDocument/2006/relationships/hyperlink" Target="https://community.icann.org/display/gnsosoi/Jonathan+Zuck+SOI" TargetMode="External"/><Relationship Id="rId99" Type="http://schemas.openxmlformats.org/officeDocument/2006/relationships/hyperlink" Target="https://community.icann.org/download/attachments/43980848/Michael%20Nelson%20-%20SOI.pdf?version=1&amp;modificationDate=1394477735000&amp;api=v2" TargetMode="External"/><Relationship Id="rId101" Type="http://schemas.openxmlformats.org/officeDocument/2006/relationships/hyperlink" Target="https://community.icann.org/display/gnsosoi/Olga+Cavalli+SOI" TargetMode="External"/><Relationship Id="rId4" Type="http://schemas.openxmlformats.org/officeDocument/2006/relationships/settings" Target="settings.xml"/><Relationship Id="rId9" Type="http://schemas.openxmlformats.org/officeDocument/2006/relationships/hyperlink" Target="https://community.icann.org/display/aoccnsmrmtrcs/Metric+1.1" TargetMode="External"/><Relationship Id="rId13" Type="http://schemas.openxmlformats.org/officeDocument/2006/relationships/hyperlink" Target="https://community.icann.org/display/aoccnsmrmtrcs/Metric+1.5" TargetMode="External"/><Relationship Id="rId18" Type="http://schemas.openxmlformats.org/officeDocument/2006/relationships/hyperlink" Target="https://community.icann.org/display/aoccnsmrmtrcs/Metric+1.10" TargetMode="External"/><Relationship Id="rId39" Type="http://schemas.openxmlformats.org/officeDocument/2006/relationships/hyperlink" Target="https://community.icann.org/display/aoccnsmrmtrcs/Metric+2.10" TargetMode="External"/><Relationship Id="rId109" Type="http://schemas.openxmlformats.org/officeDocument/2006/relationships/hyperlink" Target="https://community.icann.org/display/gnsosoi/Tony+Onorato+SOI" TargetMode="External"/><Relationship Id="rId34" Type="http://schemas.openxmlformats.org/officeDocument/2006/relationships/hyperlink" Target="https://community.icann.org/display/aoccnsmrmtrcs/Metric+2.4" TargetMode="External"/><Relationship Id="rId50" Type="http://schemas.openxmlformats.org/officeDocument/2006/relationships/hyperlink" Target="https://community.icann.org/display/aoccnsmrmtrcs/Metric+3.7" TargetMode="External"/><Relationship Id="rId55" Type="http://schemas.openxmlformats.org/officeDocument/2006/relationships/hyperlink" Target="https://community.icann.org/display/aoccnsmrmtrcs/Metric+4.1" TargetMode="External"/><Relationship Id="rId76" Type="http://schemas.openxmlformats.org/officeDocument/2006/relationships/hyperlink" Target="https://community.icann.org/display/aoccnsmrmtrcs/Metric+9.1" TargetMode="External"/><Relationship Id="rId97" Type="http://schemas.openxmlformats.org/officeDocument/2006/relationships/hyperlink" Target="https://community.icann.org/download/attachments/43980848/Michael%20A%20Flynn%20-%20SOI.pdf?version=1&amp;modificationDate=1393031014000&amp;api=v2" TargetMode="External"/><Relationship Id="rId104" Type="http://schemas.openxmlformats.org/officeDocument/2006/relationships/hyperlink" Target="https://community.icann.org/download/attachments/43980848/Levy%20-%20SOI.pdf?version=1&amp;modificationDate=1392661588000&amp;api=v2" TargetMode="External"/><Relationship Id="rId7" Type="http://schemas.openxmlformats.org/officeDocument/2006/relationships/endnotes" Target="endnotes.xml"/><Relationship Id="rId71" Type="http://schemas.openxmlformats.org/officeDocument/2006/relationships/hyperlink" Target="https://community.icann.org/display/aoccnsmrmtrcs/Metric+7.3" TargetMode="External"/><Relationship Id="rId92" Type="http://schemas.openxmlformats.org/officeDocument/2006/relationships/hyperlink" Target="https://community.icann.org/download/attachments/43980848/Jeffrey%20Thomas%20-%20SOI.pdf?version=1&amp;modificationDate=1393031323000&amp;api=v2" TargetMode="External"/><Relationship Id="rId2" Type="http://schemas.openxmlformats.org/officeDocument/2006/relationships/numbering" Target="numbering.xml"/><Relationship Id="rId29" Type="http://schemas.openxmlformats.org/officeDocument/2006/relationships/hyperlink" Target="https://community.icann.org/display/aoccnsmrmtrcs/Metric+1.21" TargetMode="External"/><Relationship Id="rId24" Type="http://schemas.openxmlformats.org/officeDocument/2006/relationships/hyperlink" Target="https://community.icann.org/display/aoccnsmrmtrcs/Metric+1.16" TargetMode="External"/><Relationship Id="rId40" Type="http://schemas.openxmlformats.org/officeDocument/2006/relationships/hyperlink" Target="https://community.icann.org/display/aoccnsmrmtrcs/Metric+2.11" TargetMode="External"/><Relationship Id="rId45" Type="http://schemas.openxmlformats.org/officeDocument/2006/relationships/hyperlink" Target="https://community.icann.org/display/aoccnsmrmtrcs/Metric+3.2" TargetMode="External"/><Relationship Id="rId66" Type="http://schemas.openxmlformats.org/officeDocument/2006/relationships/hyperlink" Target="https://community.icann.org/display/aoccnsmrmtrcs/Metric+6.1" TargetMode="External"/><Relationship Id="rId87" Type="http://schemas.openxmlformats.org/officeDocument/2006/relationships/hyperlink" Target="https://community.icann.org/download/attachments/43980848/Darryl%20Wilson%20SOI.pdf?version=1&amp;modificationDate=1389024863000&amp;api=v2" TargetMode="External"/><Relationship Id="rId110" Type="http://schemas.openxmlformats.org/officeDocument/2006/relationships/footer" Target="footer1.xml"/><Relationship Id="rId61" Type="http://schemas.openxmlformats.org/officeDocument/2006/relationships/hyperlink" Target="https://community.icann.org/display/aoccnsmrmtrcs/Metric+5.2" TargetMode="External"/><Relationship Id="rId82" Type="http://schemas.openxmlformats.org/officeDocument/2006/relationships/hyperlink" Target="https://community.icann.org/display/gnsosoi/Carlton+Samuels+SOI" TargetMode="External"/><Relationship Id="rId19" Type="http://schemas.openxmlformats.org/officeDocument/2006/relationships/hyperlink" Target="https://community.icann.org/display/aoccnsmrmtrcs/Metric+1.11" TargetMode="External"/><Relationship Id="rId14" Type="http://schemas.openxmlformats.org/officeDocument/2006/relationships/hyperlink" Target="https://community.icann.org/display/aoccnsmrmtrcs/Metric+1.6" TargetMode="External"/><Relationship Id="rId30" Type="http://schemas.openxmlformats.org/officeDocument/2006/relationships/hyperlink" Target="https://community.icann.org/display/aoccnsmrmtrcs/Metric+1.22" TargetMode="External"/><Relationship Id="rId35" Type="http://schemas.openxmlformats.org/officeDocument/2006/relationships/hyperlink" Target="https://community.icann.org/display/aoccnsmrmtrcs/Metric+2.6" TargetMode="External"/><Relationship Id="rId56" Type="http://schemas.openxmlformats.org/officeDocument/2006/relationships/hyperlink" Target="https://community.icann.org/display/aoccnsmrmtrcs/Metric+4.2" TargetMode="External"/><Relationship Id="rId77" Type="http://schemas.openxmlformats.org/officeDocument/2006/relationships/hyperlink" Target="https://community.icann.org/display/aoccnsmrmtrcs/Metric+9.2" TargetMode="External"/><Relationship Id="rId100" Type="http://schemas.openxmlformats.org/officeDocument/2006/relationships/hyperlink" Target="https://community.icann.org/download/attachments/43980848/Nathalie%20Coupet.pdf?version=1&amp;modificationDate=1389025560000&amp;api=v2" TargetMode="External"/><Relationship Id="rId105" Type="http://schemas.openxmlformats.org/officeDocument/2006/relationships/hyperlink" Target="https://community.icann.org/display/gnsosoi/Ron+Andruff+SOI" TargetMode="External"/><Relationship Id="rId8" Type="http://schemas.openxmlformats.org/officeDocument/2006/relationships/hyperlink" Target="https://www.icann.org/resources/pages/rfps-2012-02-25-en" TargetMode="External"/><Relationship Id="rId51" Type="http://schemas.openxmlformats.org/officeDocument/2006/relationships/hyperlink" Target="https://community.icann.org/display/aoccnsmrmtrcs/Metric+3.8" TargetMode="External"/><Relationship Id="rId72" Type="http://schemas.openxmlformats.org/officeDocument/2006/relationships/hyperlink" Target="https://community.icann.org/display/aoccnsmrmtrcs/Metric+8.1" TargetMode="External"/><Relationship Id="rId93" Type="http://schemas.openxmlformats.org/officeDocument/2006/relationships/hyperlink" Target="https://community.icann.org/download/attachments/43980848/Jeremy%20Rowley%20-%20SOI.pdf?version=1&amp;modificationDate=1384631054000&amp;api=v2" TargetMode="External"/><Relationship Id="rId98" Type="http://schemas.openxmlformats.org/officeDocument/2006/relationships/hyperlink" Target="https://community.icann.org/display/gnsosoi/Michael+R.+Graham+SOI" TargetMode="External"/><Relationship Id="rId3" Type="http://schemas.openxmlformats.org/officeDocument/2006/relationships/styles" Target="styles.xml"/><Relationship Id="rId25" Type="http://schemas.openxmlformats.org/officeDocument/2006/relationships/hyperlink" Target="https://community.icann.org/display/aoccnsmrmtrcs/Metric+1.17" TargetMode="External"/><Relationship Id="rId46" Type="http://schemas.openxmlformats.org/officeDocument/2006/relationships/hyperlink" Target="https://community.icann.org/display/aoccnsmrmtrcs/Metric+3.3" TargetMode="External"/><Relationship Id="rId67" Type="http://schemas.openxmlformats.org/officeDocument/2006/relationships/hyperlink" Target="https://community.icann.org/display/aoccnsmrmtrcs/Metric+6.2" TargetMode="External"/><Relationship Id="rId20" Type="http://schemas.openxmlformats.org/officeDocument/2006/relationships/hyperlink" Target="https://community.icann.org/display/aoccnsmrmtrcs/Metric+1.12" TargetMode="External"/><Relationship Id="rId41" Type="http://schemas.openxmlformats.org/officeDocument/2006/relationships/hyperlink" Target="https://community.icann.org/display/aoccnsmrmtrcs/Metric+2.12" TargetMode="External"/><Relationship Id="rId62" Type="http://schemas.openxmlformats.org/officeDocument/2006/relationships/hyperlink" Target="https://community.icann.org/display/aoccnsmrmtrcs/Metric+5.3" TargetMode="External"/><Relationship Id="rId83" Type="http://schemas.openxmlformats.org/officeDocument/2006/relationships/hyperlink" Target="https://community.icann.org/display/gnsosoi/Cheryl+Langdon-Orr+SOI" TargetMode="External"/><Relationship Id="rId88" Type="http://schemas.openxmlformats.org/officeDocument/2006/relationships/hyperlink" Target="https://community.icann.org/download/attachments/43980848/David%20Stuckman%20-%20SOI.pdf?version=1&amp;modificationDate=1396476994000&amp;api=v2"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tlds/new-gtld-eval-31aug04.pdf" TargetMode="External"/><Relationship Id="rId2" Type="http://schemas.openxmlformats.org/officeDocument/2006/relationships/hyperlink" Target="http://www.oecd.org/internet/ieconomy/32996948.pdf" TargetMode="External"/><Relationship Id="rId1" Type="http://schemas.openxmlformats.org/officeDocument/2006/relationships/hyperlink" Target="http://archive.icann.org/en/committees/ntepptf/final-report-31jul02.htm" TargetMode="External"/><Relationship Id="rId4" Type="http://schemas.openxmlformats.org/officeDocument/2006/relationships/hyperlink" Target="https://features.icann.org/collection-benchmarking-metrics-new-gtld-program-support-future-aoc-review-competition-consum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icann.org\dfs\Shared\CCT-Metrics-Docs\Metrics%20review\Metrics%20evalu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icann.org\dfs\Shared\CCT-Metrics-Docs\Metrics%20review\Metrics%20evaluat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Metrics by evaluation category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Calculations!$A$25:$A$28</c:f>
              <c:strCache>
                <c:ptCount val="4"/>
                <c:pt idx="0">
                  <c:v>Surveys-studies</c:v>
                </c:pt>
                <c:pt idx="1">
                  <c:v>Important-available data</c:v>
                </c:pt>
                <c:pt idx="2">
                  <c:v>Additional context-evaluation</c:v>
                </c:pt>
                <c:pt idx="3">
                  <c:v>Not recommended</c:v>
                </c:pt>
              </c:strCache>
            </c:strRef>
          </c:cat>
          <c:val>
            <c:numRef>
              <c:f>Calculations!$B$25:$B$28</c:f>
              <c:numCache>
                <c:formatCode>0%</c:formatCode>
                <c:ptCount val="4"/>
                <c:pt idx="0">
                  <c:v>0.18571428571428572</c:v>
                </c:pt>
                <c:pt idx="1">
                  <c:v>0.58571428571428574</c:v>
                </c:pt>
                <c:pt idx="2">
                  <c:v>0.17142857142857143</c:v>
                </c:pt>
                <c:pt idx="3">
                  <c:v>7.1428571428571425E-2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Consumer trust, choice, competition by metric evaluation</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Calculations!$H$3</c:f>
              <c:strCache>
                <c:ptCount val="1"/>
                <c:pt idx="0">
                  <c:v>Surveys-studies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Calculations!$I$2:$K$2</c:f>
              <c:strCache>
                <c:ptCount val="3"/>
                <c:pt idx="0">
                  <c:v>Trust</c:v>
                </c:pt>
                <c:pt idx="1">
                  <c:v>Choice</c:v>
                </c:pt>
                <c:pt idx="2">
                  <c:v>Competition</c:v>
                </c:pt>
              </c:strCache>
            </c:strRef>
          </c:cat>
          <c:val>
            <c:numRef>
              <c:f>Calculations!$I$3:$K$3</c:f>
              <c:numCache>
                <c:formatCode>0%</c:formatCode>
                <c:ptCount val="3"/>
                <c:pt idx="0">
                  <c:v>0.13333333333333333</c:v>
                </c:pt>
                <c:pt idx="1">
                  <c:v>0.26666666666666666</c:v>
                </c:pt>
                <c:pt idx="2">
                  <c:v>0.27272727272727271</c:v>
                </c:pt>
              </c:numCache>
            </c:numRef>
          </c:val>
        </c:ser>
        <c:ser>
          <c:idx val="1"/>
          <c:order val="1"/>
          <c:tx>
            <c:strRef>
              <c:f>Calculations!$H$4</c:f>
              <c:strCache>
                <c:ptCount val="1"/>
                <c:pt idx="0">
                  <c:v>Important-available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Calculations!$I$2:$K$2</c:f>
              <c:strCache>
                <c:ptCount val="3"/>
                <c:pt idx="0">
                  <c:v>Trust</c:v>
                </c:pt>
                <c:pt idx="1">
                  <c:v>Choice</c:v>
                </c:pt>
                <c:pt idx="2">
                  <c:v>Competition</c:v>
                </c:pt>
              </c:strCache>
            </c:strRef>
          </c:cat>
          <c:val>
            <c:numRef>
              <c:f>Calculations!$I$4:$K$4</c:f>
              <c:numCache>
                <c:formatCode>0%</c:formatCode>
                <c:ptCount val="3"/>
                <c:pt idx="0">
                  <c:v>0.6</c:v>
                </c:pt>
                <c:pt idx="1">
                  <c:v>0.4</c:v>
                </c:pt>
                <c:pt idx="2">
                  <c:v>0.72727272727272729</c:v>
                </c:pt>
              </c:numCache>
            </c:numRef>
          </c:val>
        </c:ser>
        <c:ser>
          <c:idx val="2"/>
          <c:order val="2"/>
          <c:tx>
            <c:strRef>
              <c:f>Calculations!$H$5</c:f>
              <c:strCache>
                <c:ptCount val="1"/>
                <c:pt idx="0">
                  <c:v>Additional context-evaluation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Calculations!$I$2:$K$2</c:f>
              <c:strCache>
                <c:ptCount val="3"/>
                <c:pt idx="0">
                  <c:v>Trust</c:v>
                </c:pt>
                <c:pt idx="1">
                  <c:v>Choice</c:v>
                </c:pt>
                <c:pt idx="2">
                  <c:v>Competition</c:v>
                </c:pt>
              </c:strCache>
            </c:strRef>
          </c:cat>
          <c:val>
            <c:numRef>
              <c:f>Calculations!$I$5:$K$5</c:f>
              <c:numCache>
                <c:formatCode>0%</c:formatCode>
                <c:ptCount val="3"/>
                <c:pt idx="0">
                  <c:v>0.2</c:v>
                </c:pt>
                <c:pt idx="1">
                  <c:v>0.2</c:v>
                </c:pt>
                <c:pt idx="2">
                  <c:v>0</c:v>
                </c:pt>
              </c:numCache>
            </c:numRef>
          </c:val>
        </c:ser>
        <c:ser>
          <c:idx val="3"/>
          <c:order val="3"/>
          <c:tx>
            <c:strRef>
              <c:f>Calculations!$H$6</c:f>
              <c:strCache>
                <c:ptCount val="1"/>
                <c:pt idx="0">
                  <c:v>Not recommended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Calculations!$I$2:$K$2</c:f>
              <c:strCache>
                <c:ptCount val="3"/>
                <c:pt idx="0">
                  <c:v>Trust</c:v>
                </c:pt>
                <c:pt idx="1">
                  <c:v>Choice</c:v>
                </c:pt>
                <c:pt idx="2">
                  <c:v>Competition</c:v>
                </c:pt>
              </c:strCache>
            </c:strRef>
          </c:cat>
          <c:val>
            <c:numRef>
              <c:f>Calculations!$I$6:$K$6</c:f>
              <c:numCache>
                <c:formatCode>0%</c:formatCode>
                <c:ptCount val="3"/>
                <c:pt idx="0">
                  <c:v>6.6666666666666666E-2</c:v>
                </c:pt>
                <c:pt idx="1">
                  <c:v>0.13333333333333333</c:v>
                </c:pt>
                <c:pt idx="2">
                  <c:v>0</c:v>
                </c:pt>
              </c:numCache>
            </c:numRef>
          </c:val>
        </c:ser>
        <c:dLbls>
          <c:dLblPos val="ctr"/>
          <c:showLegendKey val="0"/>
          <c:showVal val="1"/>
          <c:showCatName val="0"/>
          <c:showSerName val="0"/>
          <c:showPercent val="0"/>
          <c:showBubbleSize val="0"/>
        </c:dLbls>
        <c:gapWidth val="150"/>
        <c:overlap val="100"/>
        <c:axId val="291683456"/>
        <c:axId val="297959920"/>
      </c:barChart>
      <c:catAx>
        <c:axId val="2916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959920"/>
        <c:crosses val="autoZero"/>
        <c:auto val="1"/>
        <c:lblAlgn val="ctr"/>
        <c:lblOffset val="100"/>
        <c:noMultiLvlLbl val="0"/>
      </c:catAx>
      <c:valAx>
        <c:axId val="2979599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6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AADF-D6CF-4918-A8B8-7E1E8E3E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14158</Words>
  <Characters>80704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Eleeza Agopian</dc:creator>
  <cp:keywords/>
  <dc:description/>
  <cp:lastModifiedBy>Eleeza Agopian</cp:lastModifiedBy>
  <cp:revision>7</cp:revision>
  <cp:lastPrinted>2014-09-09T00:10:00Z</cp:lastPrinted>
  <dcterms:created xsi:type="dcterms:W3CDTF">2014-09-25T23:02:00Z</dcterms:created>
  <dcterms:modified xsi:type="dcterms:W3CDTF">2014-09-29T22:00:00Z</dcterms:modified>
</cp:coreProperties>
</file>