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7" w:rsidRPr="005F6745" w:rsidRDefault="005F6745" w:rsidP="005F6745">
      <w:pPr>
        <w:jc w:val="center"/>
        <w:rPr>
          <w:b/>
          <w:sz w:val="28"/>
          <w:szCs w:val="28"/>
        </w:rPr>
      </w:pPr>
      <w:r w:rsidRPr="005F6745">
        <w:rPr>
          <w:b/>
          <w:sz w:val="28"/>
          <w:szCs w:val="28"/>
        </w:rPr>
        <w:t>CSC Linkage to Post-Transition Processes and Entities</w:t>
      </w:r>
    </w:p>
    <w:p w:rsidR="005F6745" w:rsidRDefault="005F6745">
      <w:bookmarkStart w:id="0" w:name="_GoBack"/>
      <w:bookmarkEnd w:id="0"/>
    </w:p>
    <w:p w:rsidR="00C51467" w:rsidRDefault="00C51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51467" w:rsidTr="005F6745">
        <w:trPr>
          <w:tblHeader/>
        </w:trPr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Type</w:t>
            </w:r>
          </w:p>
        </w:tc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Item</w:t>
            </w:r>
          </w:p>
        </w:tc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Description</w:t>
            </w:r>
          </w:p>
        </w:tc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Frequency</w:t>
            </w:r>
          </w:p>
        </w:tc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Triggering Org</w:t>
            </w:r>
          </w:p>
        </w:tc>
        <w:tc>
          <w:tcPr>
            <w:tcW w:w="2436" w:type="dxa"/>
            <w:shd w:val="clear" w:color="auto" w:fill="000080"/>
          </w:tcPr>
          <w:p w:rsidR="00C51467" w:rsidRPr="005F6745" w:rsidRDefault="00C51467">
            <w:pPr>
              <w:rPr>
                <w:b/>
              </w:rPr>
            </w:pPr>
            <w:r w:rsidRPr="005F6745">
              <w:rPr>
                <w:b/>
              </w:rPr>
              <w:t>CSC Role</w:t>
            </w:r>
          </w:p>
        </w:tc>
      </w:tr>
      <w:tr w:rsidR="00C51467" w:rsidTr="00C51467">
        <w:tc>
          <w:tcPr>
            <w:tcW w:w="2436" w:type="dxa"/>
          </w:tcPr>
          <w:p w:rsidR="00C51467" w:rsidRDefault="00D011DA">
            <w:r>
              <w:t xml:space="preserve">Community </w:t>
            </w:r>
            <w:r w:rsidR="00C51467">
              <w:t>Reviews</w:t>
            </w:r>
          </w:p>
        </w:tc>
        <w:tc>
          <w:tcPr>
            <w:tcW w:w="2436" w:type="dxa"/>
          </w:tcPr>
          <w:p w:rsidR="00C51467" w:rsidRDefault="00C51467">
            <w:r>
              <w:t>IANA Function Review (IFR)</w:t>
            </w:r>
          </w:p>
        </w:tc>
        <w:tc>
          <w:tcPr>
            <w:tcW w:w="2436" w:type="dxa"/>
          </w:tcPr>
          <w:p w:rsidR="00C51467" w:rsidRDefault="00C51467">
            <w:r>
              <w:t>Review of the IANA Naming Function Contract and SOW, and PTI’s performance</w:t>
            </w:r>
          </w:p>
        </w:tc>
        <w:tc>
          <w:tcPr>
            <w:tcW w:w="2436" w:type="dxa"/>
          </w:tcPr>
          <w:p w:rsidR="00C51467" w:rsidRDefault="00C51467">
            <w:r>
              <w:t>First review within 2 years of transition, every 5 years thereafter</w:t>
            </w:r>
          </w:p>
        </w:tc>
        <w:tc>
          <w:tcPr>
            <w:tcW w:w="2436" w:type="dxa"/>
          </w:tcPr>
          <w:p w:rsidR="00C51467" w:rsidRDefault="00C51467">
            <w:r>
              <w:t>ICANN Board</w:t>
            </w:r>
          </w:p>
        </w:tc>
        <w:tc>
          <w:tcPr>
            <w:tcW w:w="2436" w:type="dxa"/>
          </w:tcPr>
          <w:p w:rsidR="00C51467" w:rsidRDefault="00C51467">
            <w:r>
              <w:t>1 liaison on review team</w:t>
            </w:r>
          </w:p>
          <w:p w:rsidR="00C51467" w:rsidRDefault="00C51467"/>
          <w:p w:rsidR="00C51467" w:rsidRDefault="00C51467">
            <w:r>
              <w:t>Available for consultation requests</w:t>
            </w:r>
          </w:p>
        </w:tc>
      </w:tr>
      <w:tr w:rsidR="00C51467" w:rsidTr="00C51467">
        <w:tc>
          <w:tcPr>
            <w:tcW w:w="2436" w:type="dxa"/>
          </w:tcPr>
          <w:p w:rsidR="00C51467" w:rsidRDefault="00C51467"/>
        </w:tc>
        <w:tc>
          <w:tcPr>
            <w:tcW w:w="2436" w:type="dxa"/>
          </w:tcPr>
          <w:p w:rsidR="00C51467" w:rsidRDefault="00C51467">
            <w:r>
              <w:t>Special IFR</w:t>
            </w:r>
          </w:p>
        </w:tc>
        <w:tc>
          <w:tcPr>
            <w:tcW w:w="2436" w:type="dxa"/>
          </w:tcPr>
          <w:p w:rsidR="00C51467" w:rsidRDefault="00C51467">
            <w:r>
              <w:t>Review of deficiency or issues identified by CSC that have not been satisfactorily resolved after exhaustion of defined processes</w:t>
            </w:r>
          </w:p>
        </w:tc>
        <w:tc>
          <w:tcPr>
            <w:tcW w:w="2436" w:type="dxa"/>
          </w:tcPr>
          <w:p w:rsidR="00C51467" w:rsidRDefault="00C51467">
            <w:r>
              <w:t>As needed</w:t>
            </w:r>
          </w:p>
        </w:tc>
        <w:tc>
          <w:tcPr>
            <w:tcW w:w="2436" w:type="dxa"/>
          </w:tcPr>
          <w:p w:rsidR="00C51467" w:rsidRDefault="00C51467">
            <w:proofErr w:type="spellStart"/>
            <w:proofErr w:type="gramStart"/>
            <w:r>
              <w:t>ccNSO</w:t>
            </w:r>
            <w:proofErr w:type="spellEnd"/>
            <w:proofErr w:type="gramEnd"/>
            <w:r>
              <w:t>/GNSO</w:t>
            </w:r>
          </w:p>
        </w:tc>
        <w:tc>
          <w:tcPr>
            <w:tcW w:w="2436" w:type="dxa"/>
          </w:tcPr>
          <w:p w:rsidR="00C51467" w:rsidRDefault="00C51467">
            <w:r>
              <w:t>1 liaison on review team</w:t>
            </w:r>
          </w:p>
          <w:p w:rsidR="00C51467" w:rsidRDefault="00C51467"/>
          <w:p w:rsidR="00C51467" w:rsidRDefault="00C51467">
            <w:r>
              <w:t>Available for consultation requests</w:t>
            </w:r>
          </w:p>
        </w:tc>
      </w:tr>
      <w:tr w:rsidR="00C51467" w:rsidTr="00C51467">
        <w:tc>
          <w:tcPr>
            <w:tcW w:w="2436" w:type="dxa"/>
          </w:tcPr>
          <w:p w:rsidR="00C51467" w:rsidRDefault="00C51467"/>
        </w:tc>
        <w:tc>
          <w:tcPr>
            <w:tcW w:w="2436" w:type="dxa"/>
          </w:tcPr>
          <w:p w:rsidR="00C51467" w:rsidRDefault="00C51467">
            <w:r>
              <w:t>CSC Effectiveness Review</w:t>
            </w:r>
          </w:p>
        </w:tc>
        <w:tc>
          <w:tcPr>
            <w:tcW w:w="2436" w:type="dxa"/>
          </w:tcPr>
          <w:p w:rsidR="00C51467" w:rsidRDefault="00C51467">
            <w:r>
              <w:t>Review of CSC effectiveness</w:t>
            </w:r>
          </w:p>
        </w:tc>
        <w:tc>
          <w:tcPr>
            <w:tcW w:w="2436" w:type="dxa"/>
          </w:tcPr>
          <w:p w:rsidR="00C51467" w:rsidRDefault="00C51467">
            <w:r>
              <w:t>First review 2 years after first meeting of the CSC, every 3 years thereafter</w:t>
            </w:r>
          </w:p>
        </w:tc>
        <w:tc>
          <w:tcPr>
            <w:tcW w:w="2436" w:type="dxa"/>
          </w:tcPr>
          <w:p w:rsidR="00C51467" w:rsidRDefault="00C51467">
            <w:proofErr w:type="spellStart"/>
            <w:proofErr w:type="gramStart"/>
            <w:r>
              <w:t>ccNSO</w:t>
            </w:r>
            <w:proofErr w:type="spellEnd"/>
            <w:proofErr w:type="gramEnd"/>
            <w:r>
              <w:t>/GNSO</w:t>
            </w:r>
          </w:p>
        </w:tc>
        <w:tc>
          <w:tcPr>
            <w:tcW w:w="2436" w:type="dxa"/>
          </w:tcPr>
          <w:p w:rsidR="00C51467" w:rsidRDefault="00604130">
            <w:proofErr w:type="spellStart"/>
            <w:proofErr w:type="gramStart"/>
            <w:r>
              <w:t>ccNSO</w:t>
            </w:r>
            <w:proofErr w:type="spellEnd"/>
            <w:proofErr w:type="gramEnd"/>
            <w:r>
              <w:t>/GNSO to determine composition of review team and method</w:t>
            </w:r>
          </w:p>
          <w:p w:rsidR="00604130" w:rsidRDefault="00604130"/>
          <w:p w:rsidR="00604130" w:rsidRDefault="00604130">
            <w:r>
              <w:t>Available for consultation requests</w:t>
            </w:r>
          </w:p>
          <w:p w:rsidR="00604130" w:rsidRDefault="00604130"/>
          <w:p w:rsidR="00604130" w:rsidRDefault="00604130">
            <w:r>
              <w:t>Other materials for review may be requested</w:t>
            </w:r>
          </w:p>
        </w:tc>
      </w:tr>
      <w:tr w:rsidR="00604130" w:rsidTr="00C51467">
        <w:tc>
          <w:tcPr>
            <w:tcW w:w="2436" w:type="dxa"/>
          </w:tcPr>
          <w:p w:rsidR="00604130" w:rsidRDefault="00604130"/>
        </w:tc>
        <w:tc>
          <w:tcPr>
            <w:tcW w:w="2436" w:type="dxa"/>
          </w:tcPr>
          <w:p w:rsidR="00604130" w:rsidRDefault="00604130">
            <w:r>
              <w:t>CSC Charter Review</w:t>
            </w:r>
          </w:p>
        </w:tc>
        <w:tc>
          <w:tcPr>
            <w:tcW w:w="2436" w:type="dxa"/>
          </w:tcPr>
          <w:p w:rsidR="00604130" w:rsidRDefault="00604130">
            <w:r>
              <w:t>Review of CSC charter</w:t>
            </w:r>
          </w:p>
        </w:tc>
        <w:tc>
          <w:tcPr>
            <w:tcW w:w="2436" w:type="dxa"/>
          </w:tcPr>
          <w:p w:rsidR="00604130" w:rsidRDefault="00604130">
            <w:r>
              <w:t>First review 1 year after first meeting of the CSC, as needed thereafter</w:t>
            </w:r>
          </w:p>
        </w:tc>
        <w:tc>
          <w:tcPr>
            <w:tcW w:w="2436" w:type="dxa"/>
          </w:tcPr>
          <w:p w:rsidR="00604130" w:rsidRDefault="00604130">
            <w:r>
              <w:t>First review to be initiated by CSC</w:t>
            </w:r>
          </w:p>
          <w:p w:rsidR="00604130" w:rsidRDefault="00604130"/>
          <w:p w:rsidR="00604130" w:rsidRDefault="00604130">
            <w:r>
              <w:t xml:space="preserve">Subsequent review upon request of CSC, </w:t>
            </w:r>
            <w:proofErr w:type="spellStart"/>
            <w:r>
              <w:t>ccNSO</w:t>
            </w:r>
            <w:proofErr w:type="spellEnd"/>
            <w:r>
              <w:t>, GNSO, ICANN Board, or IFRT</w:t>
            </w:r>
          </w:p>
        </w:tc>
        <w:tc>
          <w:tcPr>
            <w:tcW w:w="2436" w:type="dxa"/>
          </w:tcPr>
          <w:p w:rsidR="00604130" w:rsidRDefault="00D011DA">
            <w:r>
              <w:t>Conduct review</w:t>
            </w:r>
          </w:p>
          <w:p w:rsidR="00604130" w:rsidRDefault="00604130"/>
          <w:p w:rsidR="00604130" w:rsidRDefault="00604130">
            <w:r>
              <w:t xml:space="preserve">Produce recommendations, which must be approved by </w:t>
            </w:r>
            <w:proofErr w:type="spellStart"/>
            <w:r>
              <w:t>ccNSO</w:t>
            </w:r>
            <w:proofErr w:type="spellEnd"/>
            <w:r>
              <w:t>/GNSO after a public comment period</w:t>
            </w:r>
          </w:p>
        </w:tc>
      </w:tr>
      <w:tr w:rsidR="00604130" w:rsidTr="00C51467">
        <w:tc>
          <w:tcPr>
            <w:tcW w:w="2436" w:type="dxa"/>
          </w:tcPr>
          <w:p w:rsidR="00604130" w:rsidRDefault="00D011DA">
            <w:r>
              <w:lastRenderedPageBreak/>
              <w:t>CSC Review</w:t>
            </w:r>
            <w:r w:rsidR="00936136">
              <w:t xml:space="preserve"> and Consultation</w:t>
            </w:r>
          </w:p>
        </w:tc>
        <w:tc>
          <w:tcPr>
            <w:tcW w:w="2436" w:type="dxa"/>
          </w:tcPr>
          <w:p w:rsidR="00604130" w:rsidRDefault="00604130">
            <w:r>
              <w:t>Service Level Expectation (SLE) Review</w:t>
            </w:r>
          </w:p>
        </w:tc>
        <w:tc>
          <w:tcPr>
            <w:tcW w:w="2436" w:type="dxa"/>
          </w:tcPr>
          <w:p w:rsidR="00604130" w:rsidRDefault="00604130">
            <w:r>
              <w:t>Review of service level targets</w:t>
            </w:r>
          </w:p>
        </w:tc>
        <w:tc>
          <w:tcPr>
            <w:tcW w:w="2436" w:type="dxa"/>
          </w:tcPr>
          <w:p w:rsidR="00604130" w:rsidRDefault="00D011DA">
            <w:r>
              <w:t>As needed</w:t>
            </w:r>
          </w:p>
        </w:tc>
        <w:tc>
          <w:tcPr>
            <w:tcW w:w="2436" w:type="dxa"/>
          </w:tcPr>
          <w:p w:rsidR="00604130" w:rsidRDefault="00D011DA">
            <w:r>
              <w:t>CSC or PTI</w:t>
            </w:r>
          </w:p>
        </w:tc>
        <w:tc>
          <w:tcPr>
            <w:tcW w:w="2436" w:type="dxa"/>
          </w:tcPr>
          <w:p w:rsidR="00604130" w:rsidRDefault="00D011DA">
            <w:r>
              <w:t>Conduct review</w:t>
            </w:r>
          </w:p>
          <w:p w:rsidR="00D011DA" w:rsidRDefault="00D011DA"/>
          <w:p w:rsidR="00D011DA" w:rsidRDefault="00D011DA">
            <w:r>
              <w:t xml:space="preserve">Produce recommendations, which must be approved by the </w:t>
            </w:r>
            <w:proofErr w:type="spellStart"/>
            <w:r>
              <w:t>ccNSO</w:t>
            </w:r>
            <w:proofErr w:type="spellEnd"/>
            <w:r>
              <w:t>/GNSO</w:t>
            </w:r>
          </w:p>
        </w:tc>
      </w:tr>
      <w:tr w:rsidR="00D011DA" w:rsidTr="00C51467">
        <w:tc>
          <w:tcPr>
            <w:tcW w:w="2436" w:type="dxa"/>
          </w:tcPr>
          <w:p w:rsidR="00D011DA" w:rsidRDefault="00D011DA"/>
        </w:tc>
        <w:tc>
          <w:tcPr>
            <w:tcW w:w="2436" w:type="dxa"/>
          </w:tcPr>
          <w:p w:rsidR="00D011DA" w:rsidRDefault="00D011DA">
            <w:r>
              <w:t>Performance of PTI</w:t>
            </w:r>
          </w:p>
        </w:tc>
        <w:tc>
          <w:tcPr>
            <w:tcW w:w="2436" w:type="dxa"/>
          </w:tcPr>
          <w:p w:rsidR="00D011DA" w:rsidRDefault="00D011DA">
            <w:r>
              <w:t>Consultation with PTI, primary customers of the naming services, ICANN community regarding performance of PTI</w:t>
            </w:r>
          </w:p>
        </w:tc>
        <w:tc>
          <w:tcPr>
            <w:tcW w:w="2436" w:type="dxa"/>
          </w:tcPr>
          <w:p w:rsidR="00D011DA" w:rsidRDefault="00D011DA">
            <w:r>
              <w:t>Annually or as needs demand</w:t>
            </w:r>
          </w:p>
        </w:tc>
        <w:tc>
          <w:tcPr>
            <w:tcW w:w="2436" w:type="dxa"/>
          </w:tcPr>
          <w:p w:rsidR="00D011DA" w:rsidRDefault="00D011DA">
            <w:r>
              <w:t>CSC</w:t>
            </w:r>
          </w:p>
        </w:tc>
        <w:tc>
          <w:tcPr>
            <w:tcW w:w="2436" w:type="dxa"/>
          </w:tcPr>
          <w:p w:rsidR="00D011DA" w:rsidRDefault="00D011DA">
            <w:r>
              <w:t>Conduct consultation</w:t>
            </w:r>
          </w:p>
          <w:p w:rsidR="00D011DA" w:rsidRDefault="00D011DA"/>
          <w:p w:rsidR="00D011DA" w:rsidRDefault="00D011DA">
            <w:r>
              <w:t>Produce findings</w:t>
            </w:r>
          </w:p>
        </w:tc>
      </w:tr>
      <w:tr w:rsidR="00D011DA" w:rsidTr="00C51467">
        <w:tc>
          <w:tcPr>
            <w:tcW w:w="2436" w:type="dxa"/>
          </w:tcPr>
          <w:p w:rsidR="00D011DA" w:rsidRDefault="00936136">
            <w:r>
              <w:t>Root Zone Evolution Review Committee (RZERC)</w:t>
            </w:r>
          </w:p>
        </w:tc>
        <w:tc>
          <w:tcPr>
            <w:tcW w:w="2436" w:type="dxa"/>
          </w:tcPr>
          <w:p w:rsidR="00D011DA" w:rsidRDefault="00936136" w:rsidP="00936136">
            <w:r>
              <w:t>RZERC</w:t>
            </w:r>
          </w:p>
        </w:tc>
        <w:tc>
          <w:tcPr>
            <w:tcW w:w="2436" w:type="dxa"/>
          </w:tcPr>
          <w:p w:rsidR="00D011DA" w:rsidRDefault="00936136" w:rsidP="00936136">
            <w:r>
              <w:t xml:space="preserve">RZERC considers issues with potential impact of architectural changes to the root zone </w:t>
            </w:r>
          </w:p>
        </w:tc>
        <w:tc>
          <w:tcPr>
            <w:tcW w:w="2436" w:type="dxa"/>
          </w:tcPr>
          <w:p w:rsidR="00D011DA" w:rsidRDefault="00936136">
            <w:r>
              <w:t>As needed</w:t>
            </w:r>
          </w:p>
        </w:tc>
        <w:tc>
          <w:tcPr>
            <w:tcW w:w="2436" w:type="dxa"/>
          </w:tcPr>
          <w:p w:rsidR="00D011DA" w:rsidRDefault="00936136">
            <w:r>
              <w:t>RZERC, CSC</w:t>
            </w:r>
          </w:p>
        </w:tc>
        <w:tc>
          <w:tcPr>
            <w:tcW w:w="2436" w:type="dxa"/>
          </w:tcPr>
          <w:p w:rsidR="00D011DA" w:rsidRDefault="00936136">
            <w:r>
              <w:t>CSC can bring issues to RZERC’s attention</w:t>
            </w:r>
          </w:p>
          <w:p w:rsidR="00936136" w:rsidRDefault="00936136"/>
          <w:p w:rsidR="00936136" w:rsidRDefault="00936136" w:rsidP="00936136">
            <w:r>
              <w:t>RZERC will ensure</w:t>
            </w:r>
            <w:r w:rsidR="00983A34">
              <w:t xml:space="preserve"> appropriate communications with the CSC on relevant issues that it considers</w:t>
            </w:r>
          </w:p>
        </w:tc>
      </w:tr>
      <w:tr w:rsidR="00983A34" w:rsidTr="00C51467">
        <w:tc>
          <w:tcPr>
            <w:tcW w:w="2436" w:type="dxa"/>
          </w:tcPr>
          <w:p w:rsidR="00983A34" w:rsidRDefault="00983A34">
            <w:r>
              <w:t>Reporting</w:t>
            </w:r>
          </w:p>
        </w:tc>
        <w:tc>
          <w:tcPr>
            <w:tcW w:w="2436" w:type="dxa"/>
          </w:tcPr>
          <w:p w:rsidR="00983A34" w:rsidRDefault="00983A34" w:rsidP="00936136">
            <w:r>
              <w:t>CSC Monthly Report</w:t>
            </w:r>
          </w:p>
        </w:tc>
        <w:tc>
          <w:tcPr>
            <w:tcW w:w="2436" w:type="dxa"/>
          </w:tcPr>
          <w:p w:rsidR="00983A34" w:rsidRDefault="00983A34" w:rsidP="00936136">
            <w:r>
              <w:t>CSC reviews monthly reports from PTI and issues its findings</w:t>
            </w:r>
          </w:p>
        </w:tc>
        <w:tc>
          <w:tcPr>
            <w:tcW w:w="2436" w:type="dxa"/>
          </w:tcPr>
          <w:p w:rsidR="00983A34" w:rsidRDefault="00983A34">
            <w:r>
              <w:t>Monthly</w:t>
            </w:r>
          </w:p>
        </w:tc>
        <w:tc>
          <w:tcPr>
            <w:tcW w:w="2436" w:type="dxa"/>
          </w:tcPr>
          <w:p w:rsidR="00983A34" w:rsidRDefault="00983A34">
            <w:r>
              <w:t>CSC</w:t>
            </w:r>
          </w:p>
        </w:tc>
        <w:tc>
          <w:tcPr>
            <w:tcW w:w="2436" w:type="dxa"/>
          </w:tcPr>
          <w:p w:rsidR="00983A34" w:rsidRDefault="00983A34">
            <w:r>
              <w:t>Reviews PTI reports and drafts findings</w:t>
            </w:r>
          </w:p>
        </w:tc>
      </w:tr>
      <w:tr w:rsidR="00983A34" w:rsidTr="00C51467">
        <w:tc>
          <w:tcPr>
            <w:tcW w:w="2436" w:type="dxa"/>
          </w:tcPr>
          <w:p w:rsidR="00983A34" w:rsidRDefault="00983A34"/>
        </w:tc>
        <w:tc>
          <w:tcPr>
            <w:tcW w:w="2436" w:type="dxa"/>
          </w:tcPr>
          <w:p w:rsidR="00983A34" w:rsidRDefault="00983A34" w:rsidP="00936136">
            <w:r>
              <w:t>Updates to customers of the naming function</w:t>
            </w:r>
          </w:p>
        </w:tc>
        <w:tc>
          <w:tcPr>
            <w:tcW w:w="2436" w:type="dxa"/>
          </w:tcPr>
          <w:p w:rsidR="00983A34" w:rsidRDefault="00983A34" w:rsidP="00936136">
            <w:r>
              <w:t xml:space="preserve">CSC to provide regular updates (no less than 3 a year) to customers of the naming function (may be provided to </w:t>
            </w:r>
            <w:proofErr w:type="spellStart"/>
            <w:r>
              <w:t>RySG</w:t>
            </w:r>
            <w:proofErr w:type="spellEnd"/>
            <w:r>
              <w:t xml:space="preserve"> and </w:t>
            </w:r>
            <w:proofErr w:type="spellStart"/>
            <w:r>
              <w:t>ccNSO</w:t>
            </w:r>
            <w:proofErr w:type="spellEnd"/>
            <w:r>
              <w:t xml:space="preserve"> during ICANN meetings)</w:t>
            </w:r>
          </w:p>
        </w:tc>
        <w:tc>
          <w:tcPr>
            <w:tcW w:w="2436" w:type="dxa"/>
          </w:tcPr>
          <w:p w:rsidR="00983A34" w:rsidRDefault="00983A34">
            <w:r>
              <w:t>No less than 3 times a year</w:t>
            </w:r>
          </w:p>
        </w:tc>
        <w:tc>
          <w:tcPr>
            <w:tcW w:w="2436" w:type="dxa"/>
          </w:tcPr>
          <w:p w:rsidR="00983A34" w:rsidRDefault="00983A34">
            <w:r>
              <w:t>CSC</w:t>
            </w:r>
          </w:p>
        </w:tc>
        <w:tc>
          <w:tcPr>
            <w:tcW w:w="2436" w:type="dxa"/>
          </w:tcPr>
          <w:p w:rsidR="00983A34" w:rsidRDefault="00983A34">
            <w:r>
              <w:t>Drafts and provides updates</w:t>
            </w:r>
          </w:p>
        </w:tc>
      </w:tr>
      <w:tr w:rsidR="00983A34" w:rsidTr="00C51467">
        <w:tc>
          <w:tcPr>
            <w:tcW w:w="2436" w:type="dxa"/>
          </w:tcPr>
          <w:p w:rsidR="00983A34" w:rsidRDefault="00983A34"/>
        </w:tc>
        <w:tc>
          <w:tcPr>
            <w:tcW w:w="2436" w:type="dxa"/>
          </w:tcPr>
          <w:p w:rsidR="00983A34" w:rsidRDefault="00983A34" w:rsidP="00936136">
            <w:r>
              <w:t>Updates to other groups</w:t>
            </w:r>
          </w:p>
        </w:tc>
        <w:tc>
          <w:tcPr>
            <w:tcW w:w="2436" w:type="dxa"/>
          </w:tcPr>
          <w:p w:rsidR="00983A34" w:rsidRDefault="00983A34" w:rsidP="00936136">
            <w:r>
              <w:t>CSC will consider requests from other groups for updates regarding PTI’s performance</w:t>
            </w:r>
          </w:p>
        </w:tc>
        <w:tc>
          <w:tcPr>
            <w:tcW w:w="2436" w:type="dxa"/>
          </w:tcPr>
          <w:p w:rsidR="00983A34" w:rsidRDefault="00983A34">
            <w:r>
              <w:t>As needed</w:t>
            </w:r>
          </w:p>
        </w:tc>
        <w:tc>
          <w:tcPr>
            <w:tcW w:w="2436" w:type="dxa"/>
          </w:tcPr>
          <w:p w:rsidR="00983A34" w:rsidRDefault="00983A34">
            <w:r>
              <w:t>CSC</w:t>
            </w:r>
          </w:p>
        </w:tc>
        <w:tc>
          <w:tcPr>
            <w:tcW w:w="2436" w:type="dxa"/>
          </w:tcPr>
          <w:p w:rsidR="00983A34" w:rsidRDefault="00983A34">
            <w:r>
              <w:t>Drafts and provides updates</w:t>
            </w:r>
          </w:p>
        </w:tc>
      </w:tr>
      <w:tr w:rsidR="00983A34" w:rsidTr="00C51467">
        <w:tc>
          <w:tcPr>
            <w:tcW w:w="2436" w:type="dxa"/>
          </w:tcPr>
          <w:p w:rsidR="00983A34" w:rsidRDefault="00983A34">
            <w:r>
              <w:t>Escalation</w:t>
            </w:r>
          </w:p>
        </w:tc>
        <w:tc>
          <w:tcPr>
            <w:tcW w:w="2436" w:type="dxa"/>
          </w:tcPr>
          <w:p w:rsidR="00983A34" w:rsidRDefault="00983A34" w:rsidP="00936136">
            <w:r>
              <w:t>Complaint Resolution Process</w:t>
            </w:r>
          </w:p>
        </w:tc>
        <w:tc>
          <w:tcPr>
            <w:tcW w:w="2436" w:type="dxa"/>
          </w:tcPr>
          <w:p w:rsidR="00983A34" w:rsidRDefault="00983A34" w:rsidP="00983A34">
            <w:r>
              <w:t>If after efforts by PTI to resolve a complaint, the complainant is still dissatisfied, the co</w:t>
            </w:r>
            <w:r w:rsidR="00122EEA">
              <w:t>mplainant may escalate</w:t>
            </w:r>
            <w:r>
              <w:t xml:space="preserve"> to PTI’s management team, at which time PTI will notify the CSC</w:t>
            </w:r>
            <w:r w:rsidR="00122EEA">
              <w:t>. The CSC will review the complaint to determine if there is a performance issue.</w:t>
            </w:r>
          </w:p>
        </w:tc>
        <w:tc>
          <w:tcPr>
            <w:tcW w:w="2436" w:type="dxa"/>
          </w:tcPr>
          <w:p w:rsidR="00983A34" w:rsidRDefault="00122EEA">
            <w:r>
              <w:t>As needed</w:t>
            </w:r>
          </w:p>
        </w:tc>
        <w:tc>
          <w:tcPr>
            <w:tcW w:w="2436" w:type="dxa"/>
          </w:tcPr>
          <w:p w:rsidR="00983A34" w:rsidRDefault="00122EEA">
            <w:r>
              <w:t>CSC</w:t>
            </w:r>
          </w:p>
        </w:tc>
        <w:tc>
          <w:tcPr>
            <w:tcW w:w="2436" w:type="dxa"/>
          </w:tcPr>
          <w:p w:rsidR="00983A34" w:rsidRDefault="00122EEA">
            <w:r>
              <w:t>Reviews complaint</w:t>
            </w:r>
          </w:p>
          <w:p w:rsidR="00122EEA" w:rsidRDefault="00122EEA"/>
          <w:p w:rsidR="00122EEA" w:rsidRDefault="00122EEA">
            <w:r>
              <w:t>Determines if there is a performance issue</w:t>
            </w:r>
          </w:p>
          <w:p w:rsidR="00122EEA" w:rsidRDefault="00122EEA"/>
          <w:p w:rsidR="00122EEA" w:rsidRDefault="00122EEA">
            <w:r>
              <w:t>Trigger IANA Problem Resolution Process if the determination is that there is a performance issue</w:t>
            </w:r>
          </w:p>
        </w:tc>
      </w:tr>
      <w:tr w:rsidR="00122EEA" w:rsidTr="00C51467">
        <w:tc>
          <w:tcPr>
            <w:tcW w:w="2436" w:type="dxa"/>
          </w:tcPr>
          <w:p w:rsidR="00122EEA" w:rsidRDefault="00122EEA"/>
        </w:tc>
        <w:tc>
          <w:tcPr>
            <w:tcW w:w="2436" w:type="dxa"/>
          </w:tcPr>
          <w:p w:rsidR="00122EEA" w:rsidRDefault="00122EEA" w:rsidP="00936136">
            <w:r>
              <w:t>IANA Problem Resolution Process</w:t>
            </w:r>
          </w:p>
        </w:tc>
        <w:tc>
          <w:tcPr>
            <w:tcW w:w="2436" w:type="dxa"/>
          </w:tcPr>
          <w:p w:rsidR="00122EEA" w:rsidRDefault="00122EEA" w:rsidP="00983A34">
            <w:r>
              <w:t>To be developed by CSC and PTI</w:t>
            </w:r>
          </w:p>
        </w:tc>
        <w:tc>
          <w:tcPr>
            <w:tcW w:w="2436" w:type="dxa"/>
          </w:tcPr>
          <w:p w:rsidR="00122EEA" w:rsidRDefault="00122EEA"/>
        </w:tc>
        <w:tc>
          <w:tcPr>
            <w:tcW w:w="2436" w:type="dxa"/>
          </w:tcPr>
          <w:p w:rsidR="00122EEA" w:rsidRDefault="00122EEA"/>
        </w:tc>
        <w:tc>
          <w:tcPr>
            <w:tcW w:w="2436" w:type="dxa"/>
          </w:tcPr>
          <w:p w:rsidR="00122EEA" w:rsidRDefault="00122EEA"/>
        </w:tc>
      </w:tr>
      <w:tr w:rsidR="00122EEA" w:rsidTr="00C51467">
        <w:tc>
          <w:tcPr>
            <w:tcW w:w="2436" w:type="dxa"/>
          </w:tcPr>
          <w:p w:rsidR="00122EEA" w:rsidRDefault="00122EEA"/>
        </w:tc>
        <w:tc>
          <w:tcPr>
            <w:tcW w:w="2436" w:type="dxa"/>
          </w:tcPr>
          <w:p w:rsidR="00122EEA" w:rsidRDefault="00122EEA" w:rsidP="00936136">
            <w:r>
              <w:t>Separation Cross Community Working Group (SCWG)</w:t>
            </w:r>
          </w:p>
        </w:tc>
        <w:tc>
          <w:tcPr>
            <w:tcW w:w="2436" w:type="dxa"/>
          </w:tcPr>
          <w:p w:rsidR="00122EEA" w:rsidRDefault="00122EEA" w:rsidP="00983A34">
            <w:r>
              <w:t xml:space="preserve">If an IFRT recommends that an IANA Naming Function Separation Process is necessary, the ICANN Board will form a SCWG. </w:t>
            </w:r>
          </w:p>
        </w:tc>
        <w:tc>
          <w:tcPr>
            <w:tcW w:w="2436" w:type="dxa"/>
          </w:tcPr>
          <w:p w:rsidR="00122EEA" w:rsidRDefault="00122EEA">
            <w:r>
              <w:t>As needed</w:t>
            </w:r>
          </w:p>
        </w:tc>
        <w:tc>
          <w:tcPr>
            <w:tcW w:w="2436" w:type="dxa"/>
          </w:tcPr>
          <w:p w:rsidR="00122EEA" w:rsidRDefault="005F6745">
            <w:r>
              <w:t>ICANN Board</w:t>
            </w:r>
          </w:p>
        </w:tc>
        <w:tc>
          <w:tcPr>
            <w:tcW w:w="2436" w:type="dxa"/>
          </w:tcPr>
          <w:p w:rsidR="00122EEA" w:rsidRDefault="005F6745">
            <w:r>
              <w:t>1 CSC liaison on working group</w:t>
            </w:r>
          </w:p>
          <w:p w:rsidR="005F6745" w:rsidRDefault="005F6745"/>
          <w:p w:rsidR="005F6745" w:rsidRDefault="005F6745">
            <w:r>
              <w:t>Available for consultation requests</w:t>
            </w:r>
          </w:p>
        </w:tc>
      </w:tr>
      <w:tr w:rsidR="005F6745" w:rsidTr="00C51467">
        <w:tc>
          <w:tcPr>
            <w:tcW w:w="2436" w:type="dxa"/>
          </w:tcPr>
          <w:p w:rsidR="005F6745" w:rsidRPr="005F6745" w:rsidRDefault="005F6745">
            <w:pPr>
              <w:rPr>
                <w:highlight w:val="yellow"/>
              </w:rPr>
            </w:pPr>
            <w:r w:rsidRPr="005F6745">
              <w:rPr>
                <w:highlight w:val="yellow"/>
              </w:rPr>
              <w:t>IANA trademark</w:t>
            </w:r>
          </w:p>
        </w:tc>
        <w:tc>
          <w:tcPr>
            <w:tcW w:w="2436" w:type="dxa"/>
          </w:tcPr>
          <w:p w:rsidR="005F6745" w:rsidRPr="005F6745" w:rsidRDefault="005F6745" w:rsidP="00936136">
            <w:pPr>
              <w:rPr>
                <w:highlight w:val="yellow"/>
              </w:rPr>
            </w:pPr>
            <w:r w:rsidRPr="005F6745">
              <w:rPr>
                <w:highlight w:val="yellow"/>
              </w:rPr>
              <w:t>IANA Community Coordination Group (CCG)</w:t>
            </w:r>
          </w:p>
        </w:tc>
        <w:tc>
          <w:tcPr>
            <w:tcW w:w="2436" w:type="dxa"/>
          </w:tcPr>
          <w:p w:rsidR="005F6745" w:rsidRPr="005F6745" w:rsidRDefault="005F6745" w:rsidP="00983A34">
            <w:pPr>
              <w:rPr>
                <w:highlight w:val="yellow"/>
              </w:rPr>
            </w:pPr>
          </w:p>
        </w:tc>
        <w:tc>
          <w:tcPr>
            <w:tcW w:w="2436" w:type="dxa"/>
          </w:tcPr>
          <w:p w:rsidR="005F6745" w:rsidRPr="005F6745" w:rsidRDefault="005F6745">
            <w:pPr>
              <w:rPr>
                <w:highlight w:val="yellow"/>
              </w:rPr>
            </w:pPr>
          </w:p>
        </w:tc>
        <w:tc>
          <w:tcPr>
            <w:tcW w:w="2436" w:type="dxa"/>
          </w:tcPr>
          <w:p w:rsidR="005F6745" w:rsidRPr="005F6745" w:rsidRDefault="005F6745">
            <w:pPr>
              <w:rPr>
                <w:highlight w:val="yellow"/>
              </w:rPr>
            </w:pPr>
          </w:p>
        </w:tc>
        <w:tc>
          <w:tcPr>
            <w:tcW w:w="2436" w:type="dxa"/>
          </w:tcPr>
          <w:p w:rsidR="005F6745" w:rsidRPr="005F6745" w:rsidRDefault="005F6745">
            <w:pPr>
              <w:rPr>
                <w:highlight w:val="yellow"/>
              </w:rPr>
            </w:pPr>
          </w:p>
        </w:tc>
      </w:tr>
    </w:tbl>
    <w:p w:rsidR="00C51467" w:rsidRDefault="00C51467"/>
    <w:sectPr w:rsidR="00C51467" w:rsidSect="00C5146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67"/>
    <w:rsid w:val="00122EEA"/>
    <w:rsid w:val="00215FD3"/>
    <w:rsid w:val="005F6745"/>
    <w:rsid w:val="00604130"/>
    <w:rsid w:val="00936136"/>
    <w:rsid w:val="00983A34"/>
    <w:rsid w:val="00C51467"/>
    <w:rsid w:val="00D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8C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</cp:revision>
  <dcterms:created xsi:type="dcterms:W3CDTF">2016-11-17T17:06:00Z</dcterms:created>
  <dcterms:modified xsi:type="dcterms:W3CDTF">2016-11-17T18:34:00Z</dcterms:modified>
</cp:coreProperties>
</file>