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33" w:type="dxa"/>
        <w:tblLook w:val="04A0" w:firstRow="1" w:lastRow="0" w:firstColumn="1" w:lastColumn="0" w:noHBand="0" w:noVBand="1"/>
      </w:tblPr>
      <w:tblGrid>
        <w:gridCol w:w="7621"/>
        <w:gridCol w:w="1701"/>
        <w:gridCol w:w="4111"/>
      </w:tblGrid>
      <w:tr w:rsidR="00360C41" w:rsidTr="005827AB">
        <w:trPr>
          <w:trHeight w:val="1831"/>
        </w:trPr>
        <w:tc>
          <w:tcPr>
            <w:tcW w:w="7621" w:type="dxa"/>
          </w:tcPr>
          <w:p w:rsidR="00360C41" w:rsidRDefault="00360C41" w:rsidP="00963363">
            <w:pPr>
              <w:jc w:val="center"/>
              <w:rPr>
                <w:b/>
                <w:sz w:val="32"/>
                <w:szCs w:val="32"/>
                <w:u w:val="single"/>
              </w:rPr>
            </w:pPr>
            <w:bookmarkStart w:id="0" w:name="_GoBack"/>
            <w:bookmarkEnd w:id="0"/>
          </w:p>
          <w:p w:rsidR="00360C41" w:rsidRDefault="00360C41" w:rsidP="00963363">
            <w:pPr>
              <w:jc w:val="center"/>
              <w:rPr>
                <w:b/>
                <w:sz w:val="32"/>
                <w:szCs w:val="32"/>
                <w:u w:val="single"/>
              </w:rPr>
            </w:pPr>
            <w:r w:rsidRPr="008C328A">
              <w:rPr>
                <w:b/>
                <w:sz w:val="32"/>
                <w:szCs w:val="32"/>
                <w:u w:val="single"/>
              </w:rPr>
              <w:t>CSC –</w:t>
            </w:r>
            <w:r>
              <w:rPr>
                <w:b/>
                <w:sz w:val="32"/>
                <w:szCs w:val="32"/>
                <w:u w:val="single"/>
              </w:rPr>
              <w:t xml:space="preserve"> Roles and Responsibilities Flowing from ICANN Bylaws, CSC Charter and the IANA Naming Function Contract</w:t>
            </w:r>
          </w:p>
          <w:p w:rsidR="00360C41" w:rsidRDefault="00360C41" w:rsidP="00963363">
            <w:pPr>
              <w:jc w:val="center"/>
            </w:pPr>
          </w:p>
        </w:tc>
        <w:tc>
          <w:tcPr>
            <w:tcW w:w="1701" w:type="dxa"/>
          </w:tcPr>
          <w:p w:rsidR="00360C41" w:rsidRDefault="00360C41" w:rsidP="008C328A">
            <w:pPr>
              <w:jc w:val="center"/>
              <w:rPr>
                <w:b/>
                <w:sz w:val="28"/>
                <w:szCs w:val="28"/>
              </w:rPr>
            </w:pPr>
          </w:p>
          <w:p w:rsidR="00360C41" w:rsidRPr="008C328A" w:rsidRDefault="00360C41" w:rsidP="008C328A">
            <w:pPr>
              <w:jc w:val="center"/>
              <w:rPr>
                <w:b/>
                <w:sz w:val="28"/>
                <w:szCs w:val="28"/>
              </w:rPr>
            </w:pPr>
            <w:r w:rsidRPr="008C328A">
              <w:rPr>
                <w:b/>
                <w:sz w:val="28"/>
                <w:szCs w:val="28"/>
              </w:rPr>
              <w:t>Reference</w:t>
            </w:r>
          </w:p>
          <w:p w:rsidR="00360C41" w:rsidRPr="008C328A" w:rsidRDefault="00360C41" w:rsidP="008C328A">
            <w:pPr>
              <w:jc w:val="center"/>
              <w:rPr>
                <w:b/>
                <w:sz w:val="28"/>
                <w:szCs w:val="28"/>
              </w:rPr>
            </w:pPr>
            <w:r w:rsidRPr="00963363">
              <w:rPr>
                <w:b/>
                <w:sz w:val="24"/>
                <w:szCs w:val="24"/>
              </w:rPr>
              <w:t>ICANN Bylaws</w:t>
            </w:r>
          </w:p>
        </w:tc>
        <w:tc>
          <w:tcPr>
            <w:tcW w:w="4111" w:type="dxa"/>
          </w:tcPr>
          <w:p w:rsidR="00360C41" w:rsidRDefault="00360C41" w:rsidP="008C328A">
            <w:pPr>
              <w:jc w:val="center"/>
              <w:rPr>
                <w:b/>
                <w:sz w:val="28"/>
                <w:szCs w:val="28"/>
              </w:rPr>
            </w:pPr>
          </w:p>
          <w:p w:rsidR="00360C41" w:rsidRPr="008C328A" w:rsidRDefault="00360C41" w:rsidP="008C328A">
            <w:pPr>
              <w:jc w:val="center"/>
              <w:rPr>
                <w:b/>
                <w:sz w:val="28"/>
                <w:szCs w:val="28"/>
              </w:rPr>
            </w:pPr>
            <w:r>
              <w:rPr>
                <w:b/>
                <w:sz w:val="28"/>
                <w:szCs w:val="28"/>
              </w:rPr>
              <w:t>Comment</w:t>
            </w:r>
          </w:p>
        </w:tc>
      </w:tr>
      <w:tr w:rsidR="005827AB" w:rsidTr="005827AB">
        <w:tc>
          <w:tcPr>
            <w:tcW w:w="7621" w:type="dxa"/>
          </w:tcPr>
          <w:p w:rsidR="005827AB" w:rsidRDefault="005827AB" w:rsidP="00360C41">
            <w:r>
              <w:t>GNSO and ccNSO to approve the initial set of proposed members and liaisons</w:t>
            </w:r>
          </w:p>
        </w:tc>
        <w:tc>
          <w:tcPr>
            <w:tcW w:w="1701" w:type="dxa"/>
          </w:tcPr>
          <w:p w:rsidR="005827AB" w:rsidRDefault="005827AB" w:rsidP="008C328A">
            <w:pPr>
              <w:jc w:val="center"/>
            </w:pPr>
            <w:r>
              <w:t>17.2 (c)</w:t>
            </w:r>
          </w:p>
        </w:tc>
        <w:tc>
          <w:tcPr>
            <w:tcW w:w="4111" w:type="dxa"/>
          </w:tcPr>
          <w:p w:rsidR="005827AB" w:rsidRDefault="005827AB" w:rsidP="005827AB">
            <w:r>
              <w:t>Done</w:t>
            </w:r>
          </w:p>
        </w:tc>
      </w:tr>
      <w:tr w:rsidR="005827AB" w:rsidTr="005827AB">
        <w:tc>
          <w:tcPr>
            <w:tcW w:w="7621" w:type="dxa"/>
          </w:tcPr>
          <w:p w:rsidR="005827AB" w:rsidRDefault="005827AB" w:rsidP="00071E84">
            <w:r>
              <w:t>ICANN to provide administrative and operational support</w:t>
            </w:r>
          </w:p>
          <w:p w:rsidR="005827AB" w:rsidRDefault="005827AB" w:rsidP="00360C41"/>
        </w:tc>
        <w:tc>
          <w:tcPr>
            <w:tcW w:w="1701" w:type="dxa"/>
          </w:tcPr>
          <w:p w:rsidR="005827AB" w:rsidRDefault="005827AB" w:rsidP="008C328A">
            <w:pPr>
              <w:jc w:val="center"/>
            </w:pPr>
            <w:r>
              <w:t>17.4</w:t>
            </w:r>
          </w:p>
        </w:tc>
        <w:tc>
          <w:tcPr>
            <w:tcW w:w="4111" w:type="dxa"/>
          </w:tcPr>
          <w:p w:rsidR="005827AB" w:rsidRDefault="005827AB" w:rsidP="005827AB">
            <w:r>
              <w:t>ICANN is engaged on this</w:t>
            </w:r>
          </w:p>
        </w:tc>
      </w:tr>
      <w:tr w:rsidR="005827AB" w:rsidTr="005827AB">
        <w:tc>
          <w:tcPr>
            <w:tcW w:w="7621" w:type="dxa"/>
          </w:tcPr>
          <w:p w:rsidR="005827AB" w:rsidRDefault="005827AB"/>
        </w:tc>
        <w:tc>
          <w:tcPr>
            <w:tcW w:w="1701" w:type="dxa"/>
          </w:tcPr>
          <w:p w:rsidR="005827AB" w:rsidRPr="00CD4C08" w:rsidRDefault="005827AB" w:rsidP="008C328A">
            <w:pPr>
              <w:jc w:val="center"/>
              <w:rPr>
                <w:b/>
              </w:rPr>
            </w:pPr>
            <w:r w:rsidRPr="00CD4C08">
              <w:rPr>
                <w:b/>
              </w:rPr>
              <w:t>CSC Charter</w:t>
            </w:r>
            <w:r>
              <w:rPr>
                <w:b/>
              </w:rPr>
              <w:t xml:space="preserve"> - Line</w:t>
            </w:r>
          </w:p>
        </w:tc>
        <w:tc>
          <w:tcPr>
            <w:tcW w:w="4111" w:type="dxa"/>
          </w:tcPr>
          <w:p w:rsidR="005827AB" w:rsidRPr="00CD4C08" w:rsidRDefault="005827AB" w:rsidP="005827AB">
            <w:pPr>
              <w:rPr>
                <w:b/>
              </w:rPr>
            </w:pPr>
          </w:p>
        </w:tc>
      </w:tr>
      <w:tr w:rsidR="005827AB" w:rsidTr="005827AB">
        <w:tc>
          <w:tcPr>
            <w:tcW w:w="7621" w:type="dxa"/>
          </w:tcPr>
          <w:p w:rsidR="005827AB" w:rsidRDefault="005827AB" w:rsidP="00071E84">
            <w:r>
              <w:t>CSC to analyze IANA reports on a monthly basis; CSC to publish its findings</w:t>
            </w:r>
          </w:p>
          <w:p w:rsidR="005827AB" w:rsidRDefault="005827AB" w:rsidP="00C62B91"/>
        </w:tc>
        <w:tc>
          <w:tcPr>
            <w:tcW w:w="1701" w:type="dxa"/>
          </w:tcPr>
          <w:p w:rsidR="005827AB" w:rsidRDefault="005827AB" w:rsidP="008C328A">
            <w:pPr>
              <w:jc w:val="center"/>
            </w:pPr>
            <w:r>
              <w:t>28</w:t>
            </w:r>
          </w:p>
        </w:tc>
        <w:tc>
          <w:tcPr>
            <w:tcW w:w="4111" w:type="dxa"/>
          </w:tcPr>
          <w:p w:rsidR="005827AB" w:rsidRDefault="005827AB" w:rsidP="005827AB">
            <w:r>
              <w:t>This is well in hand</w:t>
            </w:r>
          </w:p>
        </w:tc>
      </w:tr>
      <w:tr w:rsidR="005827AB" w:rsidTr="005827AB">
        <w:tc>
          <w:tcPr>
            <w:tcW w:w="7621" w:type="dxa"/>
          </w:tcPr>
          <w:p w:rsidR="005827AB" w:rsidRDefault="005827AB">
            <w:r w:rsidRPr="00071E84">
              <w:t>The Remedial Action Procedures are to be developed and agreed to by the CSC and the IANA Functions Operator post-transition, once the CSC is formed</w:t>
            </w:r>
            <w:r>
              <w:t>.</w:t>
            </w:r>
          </w:p>
          <w:p w:rsidR="005827AB" w:rsidRDefault="005827AB" w:rsidP="00C62B91"/>
        </w:tc>
        <w:tc>
          <w:tcPr>
            <w:tcW w:w="1701" w:type="dxa"/>
          </w:tcPr>
          <w:p w:rsidR="005827AB" w:rsidRDefault="005827AB" w:rsidP="008C328A">
            <w:pPr>
              <w:jc w:val="center"/>
            </w:pPr>
            <w:r>
              <w:t>33</w:t>
            </w:r>
          </w:p>
        </w:tc>
        <w:tc>
          <w:tcPr>
            <w:tcW w:w="4111" w:type="dxa"/>
          </w:tcPr>
          <w:p w:rsidR="005827AB" w:rsidRDefault="005827AB" w:rsidP="005827AB">
            <w:r>
              <w:t>A set of ‘illustrative procedures’ are contained in the charter beginning at line 226.  Also, section 8.1 of the Naming Functions Contract contains a specific ‘Customer Service Complaint Resolution Process’</w:t>
            </w:r>
          </w:p>
        </w:tc>
      </w:tr>
      <w:tr w:rsidR="005827AB" w:rsidTr="005827AB">
        <w:tc>
          <w:tcPr>
            <w:tcW w:w="7621" w:type="dxa"/>
          </w:tcPr>
          <w:p w:rsidR="005827AB" w:rsidRDefault="005827AB" w:rsidP="00C62B91">
            <w:r>
              <w:t>The CSC may receive complaints regarding IANA performance but is not to become involved in individual disputes</w:t>
            </w:r>
          </w:p>
        </w:tc>
        <w:tc>
          <w:tcPr>
            <w:tcW w:w="1701" w:type="dxa"/>
          </w:tcPr>
          <w:p w:rsidR="005827AB" w:rsidRDefault="005827AB" w:rsidP="008C328A">
            <w:pPr>
              <w:jc w:val="center"/>
            </w:pPr>
            <w:r>
              <w:t>40</w:t>
            </w:r>
          </w:p>
        </w:tc>
        <w:tc>
          <w:tcPr>
            <w:tcW w:w="4111" w:type="dxa"/>
          </w:tcPr>
          <w:p w:rsidR="005827AB" w:rsidRDefault="005827AB" w:rsidP="005827AB"/>
        </w:tc>
      </w:tr>
      <w:tr w:rsidR="005827AB" w:rsidTr="005827AB">
        <w:tc>
          <w:tcPr>
            <w:tcW w:w="7621" w:type="dxa"/>
          </w:tcPr>
          <w:p w:rsidR="005827AB" w:rsidRDefault="005827AB">
            <w:r>
              <w:t>CSC is to review individual complaints to identify patterns of poor performance.</w:t>
            </w:r>
          </w:p>
          <w:p w:rsidR="005827AB" w:rsidRDefault="005827AB" w:rsidP="00360C41"/>
        </w:tc>
        <w:tc>
          <w:tcPr>
            <w:tcW w:w="1701" w:type="dxa"/>
          </w:tcPr>
          <w:p w:rsidR="005827AB" w:rsidRDefault="005827AB" w:rsidP="008C328A">
            <w:pPr>
              <w:jc w:val="center"/>
            </w:pPr>
            <w:r>
              <w:t>44</w:t>
            </w:r>
          </w:p>
        </w:tc>
        <w:tc>
          <w:tcPr>
            <w:tcW w:w="4111" w:type="dxa"/>
          </w:tcPr>
          <w:p w:rsidR="005827AB" w:rsidRDefault="005827AB" w:rsidP="00151E88">
            <w:r>
              <w:t>The Naming Functions Contract (see section 8 below</w:t>
            </w:r>
            <w:proofErr w:type="gramStart"/>
            <w:r>
              <w:t>)envisages</w:t>
            </w:r>
            <w:proofErr w:type="gramEnd"/>
            <w:r>
              <w:t xml:space="preserve"> </w:t>
            </w:r>
            <w:r w:rsidR="00151E88" w:rsidRPr="00151E88">
              <w:rPr>
                <w:i/>
              </w:rPr>
              <w:t>possible</w:t>
            </w:r>
            <w:r w:rsidR="00151E88">
              <w:t xml:space="preserve"> </w:t>
            </w:r>
            <w:r>
              <w:t xml:space="preserve">a role </w:t>
            </w:r>
            <w:r w:rsidR="00151E88">
              <w:t xml:space="preserve">for CSC in complaints resolution.  As a start, </w:t>
            </w:r>
            <w:proofErr w:type="gramStart"/>
            <w:r w:rsidR="00151E88">
              <w:t xml:space="preserve">PTI </w:t>
            </w:r>
            <w:r>
              <w:t xml:space="preserve"> should</w:t>
            </w:r>
            <w:proofErr w:type="gramEnd"/>
            <w:r>
              <w:t xml:space="preserve"> be requested to provide CSC with an evergreen list of complaints and propose a way of categorizing them to facilitate CSC’s monitoring.  An initial step could be to have Elise G. brief CSC on any outstanding complaints.</w:t>
            </w:r>
          </w:p>
        </w:tc>
      </w:tr>
      <w:tr w:rsidR="005827AB" w:rsidTr="005827AB">
        <w:tc>
          <w:tcPr>
            <w:tcW w:w="7621" w:type="dxa"/>
          </w:tcPr>
          <w:p w:rsidR="005827AB" w:rsidRDefault="005827AB" w:rsidP="00360C41">
            <w:r>
              <w:t xml:space="preserve">CSC is to annually, or as needed, consult with PTI, </w:t>
            </w:r>
            <w:proofErr w:type="spellStart"/>
            <w:r>
              <w:t>ccNSO</w:t>
            </w:r>
            <w:proofErr w:type="spellEnd"/>
            <w:r>
              <w:t xml:space="preserve">, </w:t>
            </w:r>
            <w:proofErr w:type="spellStart"/>
            <w:r>
              <w:t>RySG</w:t>
            </w:r>
            <w:proofErr w:type="spellEnd"/>
            <w:r>
              <w:t>, and the ‘ICANN Community’ about PTI performance</w:t>
            </w:r>
          </w:p>
        </w:tc>
        <w:tc>
          <w:tcPr>
            <w:tcW w:w="1701" w:type="dxa"/>
          </w:tcPr>
          <w:p w:rsidR="005827AB" w:rsidRDefault="005827AB" w:rsidP="008C328A">
            <w:pPr>
              <w:jc w:val="center"/>
            </w:pPr>
            <w:r>
              <w:t>55</w:t>
            </w:r>
          </w:p>
        </w:tc>
        <w:tc>
          <w:tcPr>
            <w:tcW w:w="4111" w:type="dxa"/>
          </w:tcPr>
          <w:p w:rsidR="005827AB" w:rsidRDefault="005827AB" w:rsidP="005827AB">
            <w:r>
              <w:t xml:space="preserve">Need to discuss timing and frequency of these discussions and decide if the format for all will be the same e.g. </w:t>
            </w:r>
            <w:proofErr w:type="spellStart"/>
            <w:r>
              <w:t>ccNSO</w:t>
            </w:r>
            <w:proofErr w:type="spellEnd"/>
            <w:r>
              <w:t xml:space="preserve">, </w:t>
            </w:r>
            <w:proofErr w:type="spellStart"/>
            <w:r>
              <w:t>RySG</w:t>
            </w:r>
            <w:proofErr w:type="spellEnd"/>
            <w:r>
              <w:t xml:space="preserve"> </w:t>
            </w:r>
            <w:r>
              <w:lastRenderedPageBreak/>
              <w:t xml:space="preserve">consultations could be during regular </w:t>
            </w:r>
            <w:proofErr w:type="spellStart"/>
            <w:r>
              <w:t>ccNSO</w:t>
            </w:r>
            <w:proofErr w:type="spellEnd"/>
            <w:r>
              <w:t xml:space="preserve">, </w:t>
            </w:r>
            <w:proofErr w:type="spellStart"/>
            <w:r>
              <w:t>RySG</w:t>
            </w:r>
            <w:proofErr w:type="spellEnd"/>
            <w:r>
              <w:t>/GNSO meetings while broader consultation could be during CSC meetings</w:t>
            </w:r>
          </w:p>
        </w:tc>
      </w:tr>
      <w:tr w:rsidR="005827AB" w:rsidTr="005827AB">
        <w:tc>
          <w:tcPr>
            <w:tcW w:w="7621" w:type="dxa"/>
          </w:tcPr>
          <w:p w:rsidR="005827AB" w:rsidRDefault="005827AB" w:rsidP="00360C41">
            <w:r>
              <w:lastRenderedPageBreak/>
              <w:t>CSC to provide a liaison to any IANA Function Review Team (IFR) team or to any Separation Cross Community Working Group</w:t>
            </w:r>
          </w:p>
        </w:tc>
        <w:tc>
          <w:tcPr>
            <w:tcW w:w="1701" w:type="dxa"/>
          </w:tcPr>
          <w:p w:rsidR="005827AB" w:rsidRDefault="005827AB" w:rsidP="008C328A">
            <w:pPr>
              <w:jc w:val="center"/>
            </w:pPr>
            <w:r>
              <w:t>71</w:t>
            </w:r>
          </w:p>
        </w:tc>
        <w:tc>
          <w:tcPr>
            <w:tcW w:w="4111" w:type="dxa"/>
          </w:tcPr>
          <w:p w:rsidR="005827AB" w:rsidRDefault="005827AB" w:rsidP="005827AB">
            <w:r>
              <w:t>This could likely be deferred until either of these groups are established</w:t>
            </w:r>
          </w:p>
        </w:tc>
      </w:tr>
      <w:tr w:rsidR="005827AB" w:rsidTr="005827AB">
        <w:tc>
          <w:tcPr>
            <w:tcW w:w="7621" w:type="dxa"/>
          </w:tcPr>
          <w:p w:rsidR="005827AB" w:rsidRDefault="005827AB" w:rsidP="00360C41">
            <w:r>
              <w:t>CSC members are disclose any conflict relative to an issue or complaint</w:t>
            </w:r>
          </w:p>
        </w:tc>
        <w:tc>
          <w:tcPr>
            <w:tcW w:w="1701" w:type="dxa"/>
          </w:tcPr>
          <w:p w:rsidR="005827AB" w:rsidRDefault="005827AB" w:rsidP="008C328A">
            <w:pPr>
              <w:jc w:val="center"/>
            </w:pPr>
            <w:r>
              <w:t>80</w:t>
            </w:r>
          </w:p>
        </w:tc>
        <w:tc>
          <w:tcPr>
            <w:tcW w:w="4111" w:type="dxa"/>
          </w:tcPr>
          <w:p w:rsidR="005827AB" w:rsidRDefault="005827AB" w:rsidP="005827AB"/>
        </w:tc>
      </w:tr>
      <w:tr w:rsidR="005827AB" w:rsidTr="005827AB">
        <w:tc>
          <w:tcPr>
            <w:tcW w:w="7621" w:type="dxa"/>
          </w:tcPr>
          <w:p w:rsidR="005827AB" w:rsidRDefault="005827AB" w:rsidP="00360C41">
            <w:r>
              <w:t>CSC chair to be chosen, on an annual basis</w:t>
            </w:r>
          </w:p>
        </w:tc>
        <w:tc>
          <w:tcPr>
            <w:tcW w:w="1701" w:type="dxa"/>
          </w:tcPr>
          <w:p w:rsidR="005827AB" w:rsidRDefault="005827AB" w:rsidP="008C328A">
            <w:pPr>
              <w:jc w:val="center"/>
            </w:pPr>
            <w:r>
              <w:t>111</w:t>
            </w:r>
          </w:p>
        </w:tc>
        <w:tc>
          <w:tcPr>
            <w:tcW w:w="4111" w:type="dxa"/>
          </w:tcPr>
          <w:p w:rsidR="005827AB" w:rsidRDefault="005827AB" w:rsidP="005827AB"/>
        </w:tc>
      </w:tr>
      <w:tr w:rsidR="005827AB" w:rsidTr="005827AB">
        <w:tc>
          <w:tcPr>
            <w:tcW w:w="7621" w:type="dxa"/>
          </w:tcPr>
          <w:p w:rsidR="005827AB" w:rsidRDefault="005827AB" w:rsidP="00360C41">
            <w:r>
              <w:t>CSC and PTI to establish primary and secondary points of contact</w:t>
            </w:r>
          </w:p>
        </w:tc>
        <w:tc>
          <w:tcPr>
            <w:tcW w:w="1701" w:type="dxa"/>
          </w:tcPr>
          <w:p w:rsidR="005827AB" w:rsidRDefault="005827AB" w:rsidP="008C328A">
            <w:pPr>
              <w:jc w:val="center"/>
            </w:pPr>
            <w:r>
              <w:t>115</w:t>
            </w:r>
          </w:p>
        </w:tc>
        <w:tc>
          <w:tcPr>
            <w:tcW w:w="4111" w:type="dxa"/>
          </w:tcPr>
          <w:p w:rsidR="005827AB" w:rsidRDefault="005827AB" w:rsidP="005827AB">
            <w:r>
              <w:t>Can this be considered to have been formally done?</w:t>
            </w:r>
          </w:p>
        </w:tc>
      </w:tr>
      <w:tr w:rsidR="005827AB" w:rsidTr="005827AB">
        <w:tc>
          <w:tcPr>
            <w:tcW w:w="7621" w:type="dxa"/>
          </w:tcPr>
          <w:p w:rsidR="005827AB" w:rsidRDefault="005827AB" w:rsidP="002C4D61">
            <w:r>
              <w:t>CSC to determine who will act as liaison to IFRT</w:t>
            </w:r>
          </w:p>
        </w:tc>
        <w:tc>
          <w:tcPr>
            <w:tcW w:w="1701" w:type="dxa"/>
          </w:tcPr>
          <w:p w:rsidR="005827AB" w:rsidRDefault="005827AB" w:rsidP="008C328A">
            <w:pPr>
              <w:jc w:val="center"/>
            </w:pPr>
            <w:r>
              <w:t>118</w:t>
            </w:r>
          </w:p>
        </w:tc>
        <w:tc>
          <w:tcPr>
            <w:tcW w:w="4111" w:type="dxa"/>
          </w:tcPr>
          <w:p w:rsidR="005827AB" w:rsidRDefault="005827AB" w:rsidP="005827AB">
            <w:r>
              <w:t>Can likely be deferred until the first IFRT is established</w:t>
            </w:r>
          </w:p>
        </w:tc>
      </w:tr>
      <w:tr w:rsidR="005827AB" w:rsidTr="005827AB">
        <w:tc>
          <w:tcPr>
            <w:tcW w:w="7621" w:type="dxa"/>
          </w:tcPr>
          <w:p w:rsidR="005827AB" w:rsidRDefault="005827AB">
            <w:r>
              <w:t>All registry operators are eligible to participate in CSC meetings</w:t>
            </w:r>
          </w:p>
          <w:p w:rsidR="005827AB" w:rsidRDefault="005827AB" w:rsidP="002C4D61">
            <w:pPr>
              <w:pStyle w:val="ListParagraph"/>
              <w:ind w:left="772"/>
            </w:pPr>
          </w:p>
        </w:tc>
        <w:tc>
          <w:tcPr>
            <w:tcW w:w="1701" w:type="dxa"/>
          </w:tcPr>
          <w:p w:rsidR="005827AB" w:rsidRDefault="005827AB" w:rsidP="008C328A">
            <w:pPr>
              <w:jc w:val="center"/>
            </w:pPr>
            <w:r>
              <w:t>140</w:t>
            </w:r>
          </w:p>
        </w:tc>
        <w:tc>
          <w:tcPr>
            <w:tcW w:w="4111" w:type="dxa"/>
          </w:tcPr>
          <w:p w:rsidR="005827AB" w:rsidRDefault="005827AB" w:rsidP="005827AB">
            <w:r>
              <w:t>Our meetings are open so can we consider this requirement to have been met?</w:t>
            </w:r>
          </w:p>
        </w:tc>
      </w:tr>
      <w:tr w:rsidR="005827AB" w:rsidTr="005827AB">
        <w:tc>
          <w:tcPr>
            <w:tcW w:w="7621" w:type="dxa"/>
          </w:tcPr>
          <w:p w:rsidR="005827AB" w:rsidRDefault="005827AB" w:rsidP="002C4D61">
            <w:r>
              <w:t>Terms of all CSC members and liaisons is to be two years, but ‘at least half’ of the inaugural appointees are to be for three years; subsequent terms are to be for two years</w:t>
            </w:r>
          </w:p>
        </w:tc>
        <w:tc>
          <w:tcPr>
            <w:tcW w:w="1701" w:type="dxa"/>
          </w:tcPr>
          <w:p w:rsidR="005827AB" w:rsidRDefault="005827AB" w:rsidP="008C328A">
            <w:pPr>
              <w:jc w:val="center"/>
            </w:pPr>
            <w:r>
              <w:t>161</w:t>
            </w:r>
          </w:p>
        </w:tc>
        <w:tc>
          <w:tcPr>
            <w:tcW w:w="4111" w:type="dxa"/>
          </w:tcPr>
          <w:p w:rsidR="005827AB" w:rsidRDefault="005827AB" w:rsidP="005827AB">
            <w:r>
              <w:t>We have done this already.</w:t>
            </w:r>
          </w:p>
        </w:tc>
      </w:tr>
      <w:tr w:rsidR="005827AB" w:rsidTr="005827AB">
        <w:tc>
          <w:tcPr>
            <w:tcW w:w="7621" w:type="dxa"/>
          </w:tcPr>
          <w:p w:rsidR="005827AB" w:rsidRDefault="005827AB" w:rsidP="002C4D61">
            <w:r>
              <w:t>CSC to meet at least once a month with timing to be agreed to by the members</w:t>
            </w:r>
          </w:p>
        </w:tc>
        <w:tc>
          <w:tcPr>
            <w:tcW w:w="1701" w:type="dxa"/>
          </w:tcPr>
          <w:p w:rsidR="005827AB" w:rsidRDefault="005827AB" w:rsidP="008C328A">
            <w:pPr>
              <w:jc w:val="center"/>
            </w:pPr>
            <w:r>
              <w:t>183</w:t>
            </w:r>
          </w:p>
        </w:tc>
        <w:tc>
          <w:tcPr>
            <w:tcW w:w="4111" w:type="dxa"/>
          </w:tcPr>
          <w:p w:rsidR="005827AB" w:rsidRDefault="005827AB" w:rsidP="005827AB">
            <w:r>
              <w:t>Being done</w:t>
            </w:r>
          </w:p>
        </w:tc>
      </w:tr>
      <w:tr w:rsidR="005827AB" w:rsidTr="005827AB">
        <w:tc>
          <w:tcPr>
            <w:tcW w:w="7621" w:type="dxa"/>
          </w:tcPr>
          <w:p w:rsidR="005827AB" w:rsidRDefault="005827AB" w:rsidP="002C4D61">
            <w:r>
              <w:t>Minutes of teleconferences are to be made public within 5 business days</w:t>
            </w:r>
          </w:p>
        </w:tc>
        <w:tc>
          <w:tcPr>
            <w:tcW w:w="1701" w:type="dxa"/>
          </w:tcPr>
          <w:p w:rsidR="005827AB" w:rsidRDefault="005827AB" w:rsidP="008C328A">
            <w:pPr>
              <w:jc w:val="center"/>
            </w:pPr>
            <w:r>
              <w:t>194</w:t>
            </w:r>
          </w:p>
        </w:tc>
        <w:tc>
          <w:tcPr>
            <w:tcW w:w="4111" w:type="dxa"/>
          </w:tcPr>
          <w:p w:rsidR="005827AB" w:rsidRDefault="005827AB" w:rsidP="005827AB">
            <w:r>
              <w:t>Being done</w:t>
            </w:r>
          </w:p>
        </w:tc>
      </w:tr>
      <w:tr w:rsidR="005827AB" w:rsidTr="005827AB">
        <w:tc>
          <w:tcPr>
            <w:tcW w:w="7621" w:type="dxa"/>
          </w:tcPr>
          <w:p w:rsidR="005827AB" w:rsidRDefault="005827AB">
            <w:r>
              <w:t>Information sessions at ICANN meetings are to be open, with transcripts and presentations to be made public</w:t>
            </w:r>
          </w:p>
        </w:tc>
        <w:tc>
          <w:tcPr>
            <w:tcW w:w="1701" w:type="dxa"/>
          </w:tcPr>
          <w:p w:rsidR="005827AB" w:rsidRDefault="005827AB" w:rsidP="008C328A">
            <w:pPr>
              <w:jc w:val="center"/>
            </w:pPr>
            <w:r>
              <w:t>198</w:t>
            </w:r>
          </w:p>
        </w:tc>
        <w:tc>
          <w:tcPr>
            <w:tcW w:w="4111" w:type="dxa"/>
          </w:tcPr>
          <w:p w:rsidR="005827AB" w:rsidRDefault="005827AB" w:rsidP="005827AB">
            <w:r>
              <w:t xml:space="preserve">Our Hyderabad CSC meeting was open.  We should discuss before the Copenhagen ICANN meeting whether a separate ‘information session;’ is required. </w:t>
            </w:r>
          </w:p>
        </w:tc>
      </w:tr>
      <w:tr w:rsidR="005827AB" w:rsidTr="005827AB">
        <w:tc>
          <w:tcPr>
            <w:tcW w:w="7621" w:type="dxa"/>
          </w:tcPr>
          <w:p w:rsidR="005827AB" w:rsidRDefault="005827AB" w:rsidP="002C4D61">
            <w:r>
              <w:t xml:space="preserve">The ‘IANA Functions Operator’ (PTI) is to provide secretariat support and facilitate remote participation </w:t>
            </w:r>
          </w:p>
        </w:tc>
        <w:tc>
          <w:tcPr>
            <w:tcW w:w="1701" w:type="dxa"/>
          </w:tcPr>
          <w:p w:rsidR="005827AB" w:rsidRDefault="005827AB" w:rsidP="008C328A">
            <w:pPr>
              <w:jc w:val="center"/>
            </w:pPr>
            <w:r>
              <w:t>201</w:t>
            </w:r>
          </w:p>
        </w:tc>
        <w:tc>
          <w:tcPr>
            <w:tcW w:w="4111" w:type="dxa"/>
          </w:tcPr>
          <w:p w:rsidR="005827AB" w:rsidRDefault="005827AB" w:rsidP="005827AB">
            <w:r>
              <w:t>This is well underway.</w:t>
            </w:r>
          </w:p>
        </w:tc>
      </w:tr>
      <w:tr w:rsidR="005827AB" w:rsidTr="005827AB">
        <w:tc>
          <w:tcPr>
            <w:tcW w:w="7621" w:type="dxa"/>
          </w:tcPr>
          <w:p w:rsidR="005827AB" w:rsidRDefault="005827AB" w:rsidP="002C4D61">
            <w:r>
              <w:t xml:space="preserve">Charter of CSC to be reviewed by committee from </w:t>
            </w:r>
            <w:proofErr w:type="spellStart"/>
            <w:r>
              <w:t>ccNSO</w:t>
            </w:r>
            <w:proofErr w:type="spellEnd"/>
            <w:r>
              <w:t xml:space="preserve">, </w:t>
            </w:r>
            <w:proofErr w:type="spellStart"/>
            <w:r>
              <w:t>RySG</w:t>
            </w:r>
            <w:proofErr w:type="spellEnd"/>
            <w:r>
              <w:t xml:space="preserve"> one year from first CSC meeting. </w:t>
            </w:r>
          </w:p>
        </w:tc>
        <w:tc>
          <w:tcPr>
            <w:tcW w:w="1701" w:type="dxa"/>
          </w:tcPr>
          <w:p w:rsidR="005827AB" w:rsidRDefault="005827AB" w:rsidP="008C328A">
            <w:pPr>
              <w:jc w:val="center"/>
            </w:pPr>
            <w:r>
              <w:t>207</w:t>
            </w:r>
          </w:p>
        </w:tc>
        <w:tc>
          <w:tcPr>
            <w:tcW w:w="4111" w:type="dxa"/>
          </w:tcPr>
          <w:p w:rsidR="005827AB" w:rsidRDefault="005827AB" w:rsidP="005827AB">
            <w:r>
              <w:t>We will at some point have to consider how this requirement will be fulfilled given that the first IFRT is also supposed to begin at the same time.  Should these processes be combined?</w:t>
            </w:r>
          </w:p>
        </w:tc>
      </w:tr>
      <w:tr w:rsidR="005827AB" w:rsidTr="005827AB">
        <w:tc>
          <w:tcPr>
            <w:tcW w:w="7621" w:type="dxa"/>
          </w:tcPr>
          <w:p w:rsidR="005827AB" w:rsidRDefault="005827AB"/>
        </w:tc>
        <w:tc>
          <w:tcPr>
            <w:tcW w:w="1701" w:type="dxa"/>
          </w:tcPr>
          <w:p w:rsidR="005827AB" w:rsidRPr="00963363" w:rsidRDefault="005827AB" w:rsidP="00F46BF3">
            <w:pPr>
              <w:jc w:val="center"/>
              <w:rPr>
                <w:b/>
                <w:sz w:val="24"/>
                <w:szCs w:val="24"/>
              </w:rPr>
            </w:pPr>
            <w:r>
              <w:rPr>
                <w:b/>
                <w:sz w:val="24"/>
                <w:szCs w:val="24"/>
              </w:rPr>
              <w:t>Naming Functions Agreement</w:t>
            </w:r>
          </w:p>
        </w:tc>
        <w:tc>
          <w:tcPr>
            <w:tcW w:w="4111" w:type="dxa"/>
          </w:tcPr>
          <w:p w:rsidR="005827AB" w:rsidRDefault="005827AB" w:rsidP="005827AB">
            <w:pPr>
              <w:rPr>
                <w:b/>
                <w:sz w:val="24"/>
                <w:szCs w:val="24"/>
              </w:rPr>
            </w:pPr>
          </w:p>
        </w:tc>
      </w:tr>
      <w:tr w:rsidR="005827AB" w:rsidTr="005827AB">
        <w:tc>
          <w:tcPr>
            <w:tcW w:w="7621" w:type="dxa"/>
          </w:tcPr>
          <w:p w:rsidR="005827AB" w:rsidRDefault="005827AB" w:rsidP="005827AB">
            <w:r>
              <w:lastRenderedPageBreak/>
              <w:t>General Manager of PTI to meet with CSC</w:t>
            </w:r>
          </w:p>
        </w:tc>
        <w:tc>
          <w:tcPr>
            <w:tcW w:w="1701" w:type="dxa"/>
          </w:tcPr>
          <w:p w:rsidR="005827AB" w:rsidRDefault="005827AB" w:rsidP="008C328A">
            <w:pPr>
              <w:jc w:val="center"/>
            </w:pPr>
            <w:r>
              <w:t>4.9 (c)</w:t>
            </w:r>
          </w:p>
        </w:tc>
        <w:tc>
          <w:tcPr>
            <w:tcW w:w="4111" w:type="dxa"/>
          </w:tcPr>
          <w:p w:rsidR="005827AB" w:rsidRDefault="005827AB" w:rsidP="005827AB">
            <w:r>
              <w:t>Being done</w:t>
            </w:r>
          </w:p>
        </w:tc>
      </w:tr>
      <w:tr w:rsidR="005827AB" w:rsidTr="005827AB">
        <w:tc>
          <w:tcPr>
            <w:tcW w:w="7621" w:type="dxa"/>
          </w:tcPr>
          <w:p w:rsidR="005827AB" w:rsidRDefault="005827AB" w:rsidP="005827AB">
            <w:r>
              <w:t>Customer Complaint Resolution Process</w:t>
            </w:r>
          </w:p>
        </w:tc>
        <w:tc>
          <w:tcPr>
            <w:tcW w:w="1701" w:type="dxa"/>
          </w:tcPr>
          <w:p w:rsidR="005827AB" w:rsidRDefault="005827AB" w:rsidP="008C328A">
            <w:pPr>
              <w:jc w:val="center"/>
            </w:pPr>
            <w:r>
              <w:t>8.1(a)</w:t>
            </w:r>
          </w:p>
        </w:tc>
        <w:tc>
          <w:tcPr>
            <w:tcW w:w="4111" w:type="dxa"/>
          </w:tcPr>
          <w:p w:rsidR="005827AB" w:rsidRDefault="005827AB" w:rsidP="005827AB">
            <w:r>
              <w:t>This specifies a specific escalation process (general manager, PTI CEO, ICANN Ombudsman); Note that there is no role for CSC here</w:t>
            </w:r>
            <w:r w:rsidR="00151E88">
              <w:t>.</w:t>
            </w:r>
          </w:p>
        </w:tc>
      </w:tr>
      <w:tr w:rsidR="005827AB" w:rsidTr="005827AB">
        <w:tc>
          <w:tcPr>
            <w:tcW w:w="7621" w:type="dxa"/>
          </w:tcPr>
          <w:p w:rsidR="005827AB" w:rsidRDefault="005827AB" w:rsidP="006B038B"/>
        </w:tc>
        <w:tc>
          <w:tcPr>
            <w:tcW w:w="1701" w:type="dxa"/>
          </w:tcPr>
          <w:p w:rsidR="005827AB" w:rsidRDefault="005827AB" w:rsidP="008C328A">
            <w:pPr>
              <w:jc w:val="center"/>
            </w:pPr>
            <w:r>
              <w:t>8.1(b)</w:t>
            </w:r>
          </w:p>
        </w:tc>
        <w:tc>
          <w:tcPr>
            <w:tcW w:w="4111" w:type="dxa"/>
          </w:tcPr>
          <w:p w:rsidR="005827AB" w:rsidRDefault="005827AB" w:rsidP="005827AB">
            <w:r>
              <w:t xml:space="preserve">If process outlined in 8.1(a) is unsuccessful, CSC </w:t>
            </w:r>
            <w:r w:rsidRPr="006B038B">
              <w:rPr>
                <w:b/>
                <w:i/>
              </w:rPr>
              <w:t>may</w:t>
            </w:r>
            <w:r>
              <w:t xml:space="preserve"> conduct a review if performance issue is persistent; CSC can seek remediation using process in 8.2</w:t>
            </w:r>
            <w:r w:rsidR="00151E88">
              <w:t xml:space="preserve">  See the comments on this above on line 44 of the CSC Charter</w:t>
            </w:r>
          </w:p>
        </w:tc>
      </w:tr>
      <w:tr w:rsidR="005827AB" w:rsidTr="005827AB">
        <w:tc>
          <w:tcPr>
            <w:tcW w:w="7621" w:type="dxa"/>
          </w:tcPr>
          <w:p w:rsidR="005827AB" w:rsidRDefault="005827AB" w:rsidP="00151E88">
            <w:r>
              <w:t>CSC is to work with PTI to develop Remedial Action Procedures</w:t>
            </w:r>
          </w:p>
        </w:tc>
        <w:tc>
          <w:tcPr>
            <w:tcW w:w="1701" w:type="dxa"/>
          </w:tcPr>
          <w:p w:rsidR="005827AB" w:rsidRDefault="005827AB" w:rsidP="008C328A">
            <w:pPr>
              <w:jc w:val="center"/>
            </w:pPr>
            <w:r>
              <w:t>8.2</w:t>
            </w:r>
          </w:p>
        </w:tc>
        <w:tc>
          <w:tcPr>
            <w:tcW w:w="4111" w:type="dxa"/>
          </w:tcPr>
          <w:p w:rsidR="005827AB" w:rsidRDefault="005827AB" w:rsidP="005827AB"/>
        </w:tc>
      </w:tr>
      <w:tr w:rsidR="005827AB" w:rsidTr="005827AB">
        <w:tc>
          <w:tcPr>
            <w:tcW w:w="7621" w:type="dxa"/>
          </w:tcPr>
          <w:p w:rsidR="005827AB" w:rsidRDefault="005827AB" w:rsidP="007032D5">
            <w:r>
              <w:t>ICANN to develop a plan to transition IANA functions to another operator; ICANN to review this plan once every five years, with CSC ‘if necessary’</w:t>
            </w:r>
          </w:p>
        </w:tc>
        <w:tc>
          <w:tcPr>
            <w:tcW w:w="1701" w:type="dxa"/>
          </w:tcPr>
          <w:p w:rsidR="005827AB" w:rsidRDefault="005827AB" w:rsidP="008C328A">
            <w:pPr>
              <w:jc w:val="center"/>
            </w:pPr>
            <w:r>
              <w:t>9.3</w:t>
            </w:r>
          </w:p>
        </w:tc>
        <w:tc>
          <w:tcPr>
            <w:tcW w:w="4111" w:type="dxa"/>
          </w:tcPr>
          <w:p w:rsidR="005827AB" w:rsidRDefault="00151E88" w:rsidP="005827AB">
            <w:r>
              <w:t>Yet another i</w:t>
            </w:r>
            <w:r w:rsidR="00097CF1">
              <w:t>ssue to deal with, but perhaps not a priority</w:t>
            </w:r>
          </w:p>
        </w:tc>
      </w:tr>
      <w:tr w:rsidR="005827AB" w:rsidTr="005827AB">
        <w:tc>
          <w:tcPr>
            <w:tcW w:w="7621" w:type="dxa"/>
          </w:tcPr>
          <w:p w:rsidR="005827AB" w:rsidRDefault="005827AB" w:rsidP="00097CF1">
            <w:r>
              <w:t>CSC has to agree with PTI on the m</w:t>
            </w:r>
            <w:r w:rsidRPr="00EE4A21">
              <w:t xml:space="preserve">onthly </w:t>
            </w:r>
            <w:r>
              <w:t>performance progress reports</w:t>
            </w:r>
          </w:p>
        </w:tc>
        <w:tc>
          <w:tcPr>
            <w:tcW w:w="1701" w:type="dxa"/>
          </w:tcPr>
          <w:p w:rsidR="005827AB" w:rsidRDefault="005827AB" w:rsidP="00EE4A21">
            <w:pPr>
              <w:jc w:val="center"/>
            </w:pPr>
            <w:r>
              <w:t>Annex A,  section 3(b)</w:t>
            </w:r>
          </w:p>
        </w:tc>
        <w:tc>
          <w:tcPr>
            <w:tcW w:w="4111" w:type="dxa"/>
          </w:tcPr>
          <w:p w:rsidR="005827AB" w:rsidRDefault="00097CF1" w:rsidP="005827AB">
            <w:r>
              <w:t>Well underway</w:t>
            </w:r>
          </w:p>
        </w:tc>
      </w:tr>
      <w:tr w:rsidR="005827AB" w:rsidTr="005827AB">
        <w:tc>
          <w:tcPr>
            <w:tcW w:w="7621" w:type="dxa"/>
          </w:tcPr>
          <w:p w:rsidR="005827AB" w:rsidRDefault="005827AB" w:rsidP="00097CF1">
            <w:r>
              <w:t>The contract specifies that PTI ‘</w:t>
            </w:r>
            <w:r w:rsidRPr="00EE4A21">
              <w:t>shall work collaboratively with ICANN and its customers to produce the dashboard to report Service Level Expectations for Root Zone Management, which will be used for real-time reporting of Contractor’s performance.</w:t>
            </w:r>
            <w:r>
              <w:t>’</w:t>
            </w:r>
          </w:p>
        </w:tc>
        <w:tc>
          <w:tcPr>
            <w:tcW w:w="1701" w:type="dxa"/>
          </w:tcPr>
          <w:p w:rsidR="005827AB" w:rsidRDefault="005827AB" w:rsidP="00EE4A21">
            <w:pPr>
              <w:jc w:val="center"/>
            </w:pPr>
            <w:r>
              <w:t>Annex A,  section 3(c)</w:t>
            </w:r>
          </w:p>
        </w:tc>
        <w:tc>
          <w:tcPr>
            <w:tcW w:w="4111" w:type="dxa"/>
          </w:tcPr>
          <w:p w:rsidR="005827AB" w:rsidRDefault="00097CF1" w:rsidP="005827AB">
            <w:r>
              <w:t>Done</w:t>
            </w:r>
            <w:r w:rsidR="00C31121">
              <w:t>,</w:t>
            </w:r>
            <w:r>
              <w:t xml:space="preserve"> I believe</w:t>
            </w:r>
            <w:r w:rsidR="00C31121">
              <w:t>.  Are we satisfied with it?</w:t>
            </w:r>
          </w:p>
        </w:tc>
      </w:tr>
      <w:tr w:rsidR="005827AB" w:rsidTr="005827AB">
        <w:tc>
          <w:tcPr>
            <w:tcW w:w="7621" w:type="dxa"/>
          </w:tcPr>
          <w:p w:rsidR="005827AB" w:rsidRDefault="005827AB" w:rsidP="0082712C">
            <w:r>
              <w:t xml:space="preserve">PTI is to </w:t>
            </w:r>
            <w:r w:rsidRPr="007032D5">
              <w:t xml:space="preserve">collaborate with the CSC to develop, maintain, enhance and </w:t>
            </w:r>
            <w:proofErr w:type="spellStart"/>
            <w:r w:rsidRPr="007032D5">
              <w:t>post</w:t>
            </w:r>
            <w:r>
              <w:t xml:space="preserve"> </w:t>
            </w:r>
            <w:r w:rsidRPr="007032D5">
              <w:t>performance</w:t>
            </w:r>
            <w:proofErr w:type="spellEnd"/>
            <w:r w:rsidRPr="007032D5">
              <w:t xml:space="preserve"> standards for Root Zone Management</w:t>
            </w:r>
          </w:p>
          <w:p w:rsidR="005827AB" w:rsidRDefault="005827AB" w:rsidP="00097CF1"/>
        </w:tc>
        <w:tc>
          <w:tcPr>
            <w:tcW w:w="1701" w:type="dxa"/>
          </w:tcPr>
          <w:p w:rsidR="005827AB" w:rsidRDefault="005827AB" w:rsidP="0082712C">
            <w:pPr>
              <w:jc w:val="center"/>
            </w:pPr>
            <w:r>
              <w:t>Annex A</w:t>
            </w:r>
          </w:p>
          <w:p w:rsidR="005827AB" w:rsidRDefault="005827AB" w:rsidP="0082712C">
            <w:pPr>
              <w:jc w:val="center"/>
            </w:pPr>
            <w:r>
              <w:t>Section 3(d)</w:t>
            </w:r>
          </w:p>
        </w:tc>
        <w:tc>
          <w:tcPr>
            <w:tcW w:w="4111" w:type="dxa"/>
          </w:tcPr>
          <w:p w:rsidR="005827AB" w:rsidRDefault="00097CF1" w:rsidP="00097CF1">
            <w:r>
              <w:t xml:space="preserve">We will need to work out how any review of the SLE’s get done, given that the first IFRT is to begin in the fall of 2107.  Should the CSC do this anyway, or should it be folded in with the IFRT?  </w:t>
            </w:r>
          </w:p>
        </w:tc>
      </w:tr>
      <w:tr w:rsidR="005827AB" w:rsidTr="005827AB">
        <w:tc>
          <w:tcPr>
            <w:tcW w:w="7621" w:type="dxa"/>
          </w:tcPr>
          <w:p w:rsidR="005827AB" w:rsidRDefault="005827AB" w:rsidP="00097CF1">
            <w:r>
              <w:t xml:space="preserve">PTI is to collaborate with CSC on an </w:t>
            </w:r>
            <w:r w:rsidR="00097CF1">
              <w:t>annual customer service survey</w:t>
            </w:r>
          </w:p>
        </w:tc>
        <w:tc>
          <w:tcPr>
            <w:tcW w:w="1701" w:type="dxa"/>
          </w:tcPr>
          <w:p w:rsidR="005827AB" w:rsidRDefault="005827AB" w:rsidP="00EE4A21">
            <w:pPr>
              <w:jc w:val="center"/>
            </w:pPr>
            <w:r>
              <w:t>Annex A,  section 3(e)</w:t>
            </w:r>
          </w:p>
        </w:tc>
        <w:tc>
          <w:tcPr>
            <w:tcW w:w="4111" w:type="dxa"/>
          </w:tcPr>
          <w:p w:rsidR="005827AB" w:rsidRDefault="00097CF1" w:rsidP="005827AB">
            <w:r>
              <w:t xml:space="preserve">I understand that PTI has already begun its annual customer survey process.  How should CSC get involved in this?  We could start by asking Elise to bring us up to date on where she is on this.  </w:t>
            </w:r>
          </w:p>
        </w:tc>
      </w:tr>
      <w:tr w:rsidR="005827AB" w:rsidTr="005827AB">
        <w:tc>
          <w:tcPr>
            <w:tcW w:w="7621" w:type="dxa"/>
          </w:tcPr>
          <w:p w:rsidR="005827AB" w:rsidRDefault="005827AB" w:rsidP="00AF0CD5">
            <w:r>
              <w:t>PTI’s audit system must be capable of producing reports on an ad hoc basis for CSC</w:t>
            </w:r>
          </w:p>
        </w:tc>
        <w:tc>
          <w:tcPr>
            <w:tcW w:w="1701" w:type="dxa"/>
          </w:tcPr>
          <w:p w:rsidR="005827AB" w:rsidRDefault="005827AB" w:rsidP="008C328A">
            <w:pPr>
              <w:jc w:val="center"/>
            </w:pPr>
            <w:r>
              <w:t>Annex A,  section 3(f)</w:t>
            </w:r>
          </w:p>
        </w:tc>
        <w:tc>
          <w:tcPr>
            <w:tcW w:w="4111" w:type="dxa"/>
          </w:tcPr>
          <w:p w:rsidR="005827AB" w:rsidRDefault="00097CF1" w:rsidP="005827AB">
            <w:r>
              <w:t xml:space="preserve">Yet another issue to be dealt with.  But perhaps deferrable. </w:t>
            </w:r>
          </w:p>
        </w:tc>
      </w:tr>
    </w:tbl>
    <w:p w:rsidR="000F79A3" w:rsidRDefault="000F79A3"/>
    <w:sectPr w:rsidR="000F79A3" w:rsidSect="00360C41">
      <w:headerReference w:type="default" r:id="rId8"/>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CF" w:rsidRDefault="001478CF" w:rsidP="001D0929">
      <w:pPr>
        <w:spacing w:after="0" w:line="240" w:lineRule="auto"/>
      </w:pPr>
      <w:r>
        <w:separator/>
      </w:r>
    </w:p>
  </w:endnote>
  <w:endnote w:type="continuationSeparator" w:id="0">
    <w:p w:rsidR="001478CF" w:rsidRDefault="001478CF" w:rsidP="001D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CF" w:rsidRDefault="001478CF" w:rsidP="001D0929">
      <w:pPr>
        <w:spacing w:after="0" w:line="240" w:lineRule="auto"/>
      </w:pPr>
      <w:r>
        <w:separator/>
      </w:r>
    </w:p>
  </w:footnote>
  <w:footnote w:type="continuationSeparator" w:id="0">
    <w:p w:rsidR="001478CF" w:rsidRDefault="001478CF" w:rsidP="001D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59244"/>
      <w:docPartObj>
        <w:docPartGallery w:val="Page Numbers (Top of Page)"/>
        <w:docPartUnique/>
      </w:docPartObj>
    </w:sdtPr>
    <w:sdtEndPr>
      <w:rPr>
        <w:noProof/>
      </w:rPr>
    </w:sdtEndPr>
    <w:sdtContent>
      <w:p w:rsidR="001D0929" w:rsidRDefault="001D0929">
        <w:pPr>
          <w:pStyle w:val="Header"/>
          <w:jc w:val="center"/>
        </w:pPr>
        <w:r>
          <w:fldChar w:fldCharType="begin"/>
        </w:r>
        <w:r>
          <w:instrText xml:space="preserve"> PAGE   \* MERGEFORMAT </w:instrText>
        </w:r>
        <w:r>
          <w:fldChar w:fldCharType="separate"/>
        </w:r>
        <w:r w:rsidR="006F4D01">
          <w:rPr>
            <w:noProof/>
          </w:rPr>
          <w:t>3</w:t>
        </w:r>
        <w:r>
          <w:rPr>
            <w:noProof/>
          </w:rPr>
          <w:fldChar w:fldCharType="end"/>
        </w:r>
      </w:p>
    </w:sdtContent>
  </w:sdt>
  <w:p w:rsidR="001D0929" w:rsidRDefault="001D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F17"/>
    <w:multiLevelType w:val="hybridMultilevel"/>
    <w:tmpl w:val="0938E6DE"/>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1">
    <w:nsid w:val="21DD50F4"/>
    <w:multiLevelType w:val="hybridMultilevel"/>
    <w:tmpl w:val="4086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2D513A"/>
    <w:multiLevelType w:val="hybridMultilevel"/>
    <w:tmpl w:val="BE068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2616A2"/>
    <w:multiLevelType w:val="hybridMultilevel"/>
    <w:tmpl w:val="D0642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933799"/>
    <w:multiLevelType w:val="hybridMultilevel"/>
    <w:tmpl w:val="0FB4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A3"/>
    <w:rsid w:val="00016776"/>
    <w:rsid w:val="00071E84"/>
    <w:rsid w:val="00097CF1"/>
    <w:rsid w:val="000F79A3"/>
    <w:rsid w:val="001245D1"/>
    <w:rsid w:val="001478CF"/>
    <w:rsid w:val="00151E88"/>
    <w:rsid w:val="001D0929"/>
    <w:rsid w:val="0028055B"/>
    <w:rsid w:val="002C4D61"/>
    <w:rsid w:val="00360C41"/>
    <w:rsid w:val="004B486B"/>
    <w:rsid w:val="00571736"/>
    <w:rsid w:val="005827AB"/>
    <w:rsid w:val="006746EC"/>
    <w:rsid w:val="006B038B"/>
    <w:rsid w:val="006F0821"/>
    <w:rsid w:val="006F4D01"/>
    <w:rsid w:val="007032D5"/>
    <w:rsid w:val="0084447A"/>
    <w:rsid w:val="008539AC"/>
    <w:rsid w:val="008C328A"/>
    <w:rsid w:val="008D4F7C"/>
    <w:rsid w:val="00921F16"/>
    <w:rsid w:val="00963363"/>
    <w:rsid w:val="00AF0CD5"/>
    <w:rsid w:val="00AF498A"/>
    <w:rsid w:val="00AF50F8"/>
    <w:rsid w:val="00B41642"/>
    <w:rsid w:val="00C14313"/>
    <w:rsid w:val="00C31121"/>
    <w:rsid w:val="00C33309"/>
    <w:rsid w:val="00C56BB3"/>
    <w:rsid w:val="00C62B91"/>
    <w:rsid w:val="00C8187F"/>
    <w:rsid w:val="00CB4B15"/>
    <w:rsid w:val="00CD4C08"/>
    <w:rsid w:val="00D120BF"/>
    <w:rsid w:val="00EE4A21"/>
    <w:rsid w:val="00F46BF3"/>
    <w:rsid w:val="00FE2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E84"/>
    <w:pPr>
      <w:ind w:left="720"/>
      <w:contextualSpacing/>
    </w:pPr>
  </w:style>
  <w:style w:type="paragraph" w:styleId="Header">
    <w:name w:val="header"/>
    <w:basedOn w:val="Normal"/>
    <w:link w:val="HeaderChar"/>
    <w:uiPriority w:val="99"/>
    <w:unhideWhenUsed/>
    <w:rsid w:val="001D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29"/>
  </w:style>
  <w:style w:type="paragraph" w:styleId="Footer">
    <w:name w:val="footer"/>
    <w:basedOn w:val="Normal"/>
    <w:link w:val="FooterChar"/>
    <w:uiPriority w:val="99"/>
    <w:unhideWhenUsed/>
    <w:rsid w:val="001D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29"/>
  </w:style>
  <w:style w:type="paragraph" w:styleId="BalloonText">
    <w:name w:val="Balloon Text"/>
    <w:basedOn w:val="Normal"/>
    <w:link w:val="BalloonTextChar"/>
    <w:uiPriority w:val="99"/>
    <w:semiHidden/>
    <w:unhideWhenUsed/>
    <w:rsid w:val="004B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E84"/>
    <w:pPr>
      <w:ind w:left="720"/>
      <w:contextualSpacing/>
    </w:pPr>
  </w:style>
  <w:style w:type="paragraph" w:styleId="Header">
    <w:name w:val="header"/>
    <w:basedOn w:val="Normal"/>
    <w:link w:val="HeaderChar"/>
    <w:uiPriority w:val="99"/>
    <w:unhideWhenUsed/>
    <w:rsid w:val="001D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29"/>
  </w:style>
  <w:style w:type="paragraph" w:styleId="Footer">
    <w:name w:val="footer"/>
    <w:basedOn w:val="Normal"/>
    <w:link w:val="FooterChar"/>
    <w:uiPriority w:val="99"/>
    <w:unhideWhenUsed/>
    <w:rsid w:val="001D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29"/>
  </w:style>
  <w:style w:type="paragraph" w:styleId="BalloonText">
    <w:name w:val="Balloon Text"/>
    <w:basedOn w:val="Normal"/>
    <w:link w:val="BalloonTextChar"/>
    <w:uiPriority w:val="99"/>
    <w:semiHidden/>
    <w:unhideWhenUsed/>
    <w:rsid w:val="004B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Holland</dc:creator>
  <cp:lastModifiedBy>Byron Holland</cp:lastModifiedBy>
  <cp:revision>2</cp:revision>
  <cp:lastPrinted>2016-08-12T14:42:00Z</cp:lastPrinted>
  <dcterms:created xsi:type="dcterms:W3CDTF">2016-12-08T20:26:00Z</dcterms:created>
  <dcterms:modified xsi:type="dcterms:W3CDTF">2016-12-08T20:26:00Z</dcterms:modified>
</cp:coreProperties>
</file>