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34C0" w14:textId="2C7394A8" w:rsidR="00C51467" w:rsidRPr="005F6745" w:rsidRDefault="005F6745" w:rsidP="005F6745">
      <w:pPr>
        <w:jc w:val="center"/>
        <w:rPr>
          <w:b/>
          <w:sz w:val="28"/>
          <w:szCs w:val="28"/>
        </w:rPr>
      </w:pPr>
      <w:r w:rsidRPr="005F6745">
        <w:rPr>
          <w:b/>
          <w:sz w:val="28"/>
          <w:szCs w:val="28"/>
        </w:rPr>
        <w:t>CSC Linkage to Post-Transition Processes and Entities</w:t>
      </w:r>
      <w:r w:rsidR="007A146F">
        <w:rPr>
          <w:b/>
          <w:sz w:val="28"/>
          <w:szCs w:val="28"/>
        </w:rPr>
        <w:t xml:space="preserve"> + Schedule</w:t>
      </w:r>
    </w:p>
    <w:p w14:paraId="16DC828B" w14:textId="77777777" w:rsidR="005F6745" w:rsidRDefault="005F6745"/>
    <w:p w14:paraId="2488CB57" w14:textId="77777777" w:rsidR="00C51467" w:rsidRDefault="00C51467"/>
    <w:tbl>
      <w:tblPr>
        <w:tblStyle w:val="TableGrid"/>
        <w:tblW w:w="23148" w:type="dxa"/>
        <w:tblLook w:val="04A0" w:firstRow="1" w:lastRow="0" w:firstColumn="1" w:lastColumn="0" w:noHBand="0" w:noVBand="1"/>
      </w:tblPr>
      <w:tblGrid>
        <w:gridCol w:w="2138"/>
        <w:gridCol w:w="4180"/>
        <w:gridCol w:w="4050"/>
        <w:gridCol w:w="2162"/>
        <w:gridCol w:w="2162"/>
        <w:gridCol w:w="2075"/>
        <w:gridCol w:w="2140"/>
        <w:gridCol w:w="4241"/>
      </w:tblGrid>
      <w:tr w:rsidR="007143BB" w14:paraId="112B5D39" w14:textId="77777777" w:rsidTr="00465144">
        <w:trPr>
          <w:tblHeader/>
        </w:trPr>
        <w:tc>
          <w:tcPr>
            <w:tcW w:w="2138" w:type="dxa"/>
            <w:tcBorders>
              <w:bottom w:val="single" w:sz="4" w:space="0" w:color="auto"/>
            </w:tcBorders>
            <w:shd w:val="clear" w:color="auto" w:fill="0C0C0C"/>
          </w:tcPr>
          <w:p w14:paraId="6A9262B5" w14:textId="77777777" w:rsidR="007143BB" w:rsidRPr="005F6745" w:rsidRDefault="007143BB">
            <w:pPr>
              <w:rPr>
                <w:b/>
              </w:rPr>
            </w:pPr>
            <w:r w:rsidRPr="005F6745">
              <w:rPr>
                <w:b/>
              </w:rPr>
              <w:t>Item</w:t>
            </w:r>
          </w:p>
        </w:tc>
        <w:tc>
          <w:tcPr>
            <w:tcW w:w="4180" w:type="dxa"/>
            <w:tcBorders>
              <w:bottom w:val="single" w:sz="4" w:space="0" w:color="auto"/>
            </w:tcBorders>
            <w:shd w:val="clear" w:color="auto" w:fill="0C0C0C"/>
          </w:tcPr>
          <w:p w14:paraId="0CE1B6D0" w14:textId="77777777" w:rsidR="007143BB" w:rsidRPr="005F6745" w:rsidRDefault="007143BB">
            <w:pPr>
              <w:rPr>
                <w:b/>
              </w:rPr>
            </w:pPr>
            <w:r w:rsidRPr="005F6745">
              <w:rPr>
                <w:b/>
              </w:rPr>
              <w:t>Description</w:t>
            </w:r>
          </w:p>
        </w:tc>
        <w:tc>
          <w:tcPr>
            <w:tcW w:w="4050" w:type="dxa"/>
            <w:tcBorders>
              <w:bottom w:val="single" w:sz="4" w:space="0" w:color="auto"/>
            </w:tcBorders>
            <w:shd w:val="clear" w:color="auto" w:fill="0C0C0C"/>
          </w:tcPr>
          <w:p w14:paraId="05C53245" w14:textId="2C7B34E6" w:rsidR="007143BB" w:rsidRDefault="007143BB" w:rsidP="007A146F">
            <w:pPr>
              <w:jc w:val="center"/>
              <w:rPr>
                <w:b/>
              </w:rPr>
            </w:pPr>
            <w:r w:rsidRPr="005F6745">
              <w:rPr>
                <w:b/>
              </w:rPr>
              <w:t>CSC Role</w:t>
            </w:r>
          </w:p>
        </w:tc>
        <w:tc>
          <w:tcPr>
            <w:tcW w:w="2162" w:type="dxa"/>
            <w:tcBorders>
              <w:bottom w:val="single" w:sz="4" w:space="0" w:color="auto"/>
            </w:tcBorders>
            <w:shd w:val="clear" w:color="auto" w:fill="0C0C0C"/>
          </w:tcPr>
          <w:p w14:paraId="20D527BD" w14:textId="7A8586FB" w:rsidR="007143BB" w:rsidRDefault="007143BB" w:rsidP="007A146F">
            <w:pPr>
              <w:jc w:val="center"/>
              <w:rPr>
                <w:b/>
              </w:rPr>
            </w:pPr>
            <w:r>
              <w:rPr>
                <w:b/>
              </w:rPr>
              <w:t>Reference</w:t>
            </w:r>
          </w:p>
        </w:tc>
        <w:tc>
          <w:tcPr>
            <w:tcW w:w="2162" w:type="dxa"/>
            <w:tcBorders>
              <w:bottom w:val="single" w:sz="4" w:space="0" w:color="auto"/>
            </w:tcBorders>
            <w:shd w:val="clear" w:color="auto" w:fill="0C0C0C"/>
          </w:tcPr>
          <w:p w14:paraId="33862B9D" w14:textId="3085A864" w:rsidR="007143BB" w:rsidRPr="005F6745" w:rsidRDefault="007143BB" w:rsidP="003C455F">
            <w:pPr>
              <w:jc w:val="center"/>
              <w:rPr>
                <w:b/>
              </w:rPr>
            </w:pPr>
            <w:r>
              <w:rPr>
                <w:b/>
              </w:rPr>
              <w:t xml:space="preserve">Expected </w:t>
            </w:r>
            <w:r w:rsidR="003C455F">
              <w:rPr>
                <w:b/>
              </w:rPr>
              <w:t>Start Date</w:t>
            </w:r>
          </w:p>
        </w:tc>
        <w:tc>
          <w:tcPr>
            <w:tcW w:w="2075" w:type="dxa"/>
            <w:tcBorders>
              <w:bottom w:val="single" w:sz="4" w:space="0" w:color="auto"/>
            </w:tcBorders>
            <w:shd w:val="clear" w:color="auto" w:fill="0C0C0C"/>
          </w:tcPr>
          <w:p w14:paraId="4A2F031B" w14:textId="0602C682" w:rsidR="007143BB" w:rsidRPr="005F6745" w:rsidRDefault="007143BB">
            <w:pPr>
              <w:rPr>
                <w:b/>
              </w:rPr>
            </w:pPr>
            <w:r w:rsidRPr="005F6745">
              <w:rPr>
                <w:b/>
              </w:rPr>
              <w:t>Frequency</w:t>
            </w:r>
          </w:p>
        </w:tc>
        <w:tc>
          <w:tcPr>
            <w:tcW w:w="2140" w:type="dxa"/>
            <w:tcBorders>
              <w:bottom w:val="single" w:sz="4" w:space="0" w:color="auto"/>
            </w:tcBorders>
            <w:shd w:val="clear" w:color="auto" w:fill="0C0C0C"/>
          </w:tcPr>
          <w:p w14:paraId="08970FD5" w14:textId="77777777" w:rsidR="007143BB" w:rsidRPr="005F6745" w:rsidRDefault="007143BB">
            <w:pPr>
              <w:rPr>
                <w:b/>
              </w:rPr>
            </w:pPr>
            <w:r w:rsidRPr="005F6745">
              <w:rPr>
                <w:b/>
              </w:rPr>
              <w:t>Triggering Org</w:t>
            </w:r>
          </w:p>
        </w:tc>
        <w:tc>
          <w:tcPr>
            <w:tcW w:w="4241" w:type="dxa"/>
            <w:tcBorders>
              <w:bottom w:val="single" w:sz="4" w:space="0" w:color="auto"/>
            </w:tcBorders>
            <w:shd w:val="clear" w:color="auto" w:fill="0C0C0C"/>
          </w:tcPr>
          <w:p w14:paraId="26471CDF" w14:textId="6F984098" w:rsidR="007143BB" w:rsidRPr="005F6745" w:rsidRDefault="007143BB" w:rsidP="007143BB">
            <w:pPr>
              <w:jc w:val="center"/>
              <w:rPr>
                <w:b/>
              </w:rPr>
            </w:pPr>
            <w:r>
              <w:rPr>
                <w:b/>
              </w:rPr>
              <w:t>Comment</w:t>
            </w:r>
          </w:p>
        </w:tc>
      </w:tr>
      <w:tr w:rsidR="007143BB" w14:paraId="593DD535" w14:textId="77777777" w:rsidTr="00465144">
        <w:tc>
          <w:tcPr>
            <w:tcW w:w="23148" w:type="dxa"/>
            <w:gridSpan w:val="8"/>
            <w:shd w:val="clear" w:color="auto" w:fill="B3B3B3"/>
          </w:tcPr>
          <w:p w14:paraId="02823BD4" w14:textId="37BA3158" w:rsidR="007143BB" w:rsidRDefault="007143BB" w:rsidP="007143BB">
            <w:pPr>
              <w:jc w:val="both"/>
            </w:pPr>
            <w:r w:rsidRPr="007143BB">
              <w:rPr>
                <w:b/>
              </w:rPr>
              <w:t>Reviews</w:t>
            </w:r>
          </w:p>
        </w:tc>
      </w:tr>
      <w:tr w:rsidR="007143BB" w14:paraId="46ADF7BF" w14:textId="77777777" w:rsidTr="00465144">
        <w:tc>
          <w:tcPr>
            <w:tcW w:w="2138" w:type="dxa"/>
          </w:tcPr>
          <w:p w14:paraId="7BD6BAAE" w14:textId="77777777" w:rsidR="007143BB" w:rsidRDefault="007143BB">
            <w:r>
              <w:t>IANA Function Review (IFR)</w:t>
            </w:r>
          </w:p>
        </w:tc>
        <w:tc>
          <w:tcPr>
            <w:tcW w:w="4180" w:type="dxa"/>
          </w:tcPr>
          <w:p w14:paraId="77C4AABB" w14:textId="77777777" w:rsidR="007143BB" w:rsidRDefault="007143BB">
            <w:r>
              <w:t>Review of the IANA Naming Function Contract and SOW, and PTI’s performance</w:t>
            </w:r>
          </w:p>
        </w:tc>
        <w:tc>
          <w:tcPr>
            <w:tcW w:w="4050" w:type="dxa"/>
          </w:tcPr>
          <w:p w14:paraId="210F48B2" w14:textId="77777777" w:rsidR="003C455F" w:rsidRDefault="007143BB" w:rsidP="003C455F">
            <w:pPr>
              <w:pStyle w:val="ListParagraph"/>
              <w:numPr>
                <w:ilvl w:val="0"/>
                <w:numId w:val="1"/>
              </w:numPr>
              <w:ind w:left="252" w:hanging="252"/>
            </w:pPr>
            <w:r>
              <w:t>1 liaison on review team</w:t>
            </w:r>
          </w:p>
          <w:p w14:paraId="41F0D5C9" w14:textId="77777777" w:rsidR="003C455F" w:rsidRDefault="007143BB" w:rsidP="003C455F">
            <w:pPr>
              <w:pStyle w:val="ListParagraph"/>
              <w:numPr>
                <w:ilvl w:val="0"/>
                <w:numId w:val="1"/>
              </w:numPr>
              <w:ind w:left="252" w:hanging="252"/>
            </w:pPr>
            <w:r>
              <w:t>Available for consultation requests</w:t>
            </w:r>
          </w:p>
          <w:p w14:paraId="4BC2D2C2" w14:textId="4F466360" w:rsidR="007143BB" w:rsidRPr="003C455F" w:rsidRDefault="007143BB" w:rsidP="003C455F">
            <w:pPr>
              <w:pStyle w:val="ListParagraph"/>
              <w:numPr>
                <w:ilvl w:val="0"/>
                <w:numId w:val="1"/>
              </w:numPr>
              <w:ind w:left="252" w:hanging="252"/>
            </w:pPr>
            <w:r>
              <w:t>Provide reports and input to the review</w:t>
            </w:r>
          </w:p>
        </w:tc>
        <w:tc>
          <w:tcPr>
            <w:tcW w:w="2162" w:type="dxa"/>
          </w:tcPr>
          <w:p w14:paraId="50626219" w14:textId="3567F8B4" w:rsidR="007143BB" w:rsidRPr="007143BB" w:rsidRDefault="007143BB">
            <w:r w:rsidRPr="007143BB">
              <w:t>ICANN Bylaws – Article 18</w:t>
            </w:r>
          </w:p>
        </w:tc>
        <w:tc>
          <w:tcPr>
            <w:tcW w:w="2162" w:type="dxa"/>
          </w:tcPr>
          <w:p w14:paraId="745A4A71" w14:textId="5A5F2E2B" w:rsidR="007143BB" w:rsidRPr="003C455F" w:rsidRDefault="003C455F">
            <w:r>
              <w:t xml:space="preserve">By </w:t>
            </w:r>
            <w:r w:rsidR="007143BB" w:rsidRPr="003C455F">
              <w:t>Oc</w:t>
            </w:r>
            <w:r w:rsidRPr="003C455F">
              <w:t>to</w:t>
            </w:r>
            <w:r w:rsidR="007143BB" w:rsidRPr="003C455F">
              <w:t>ber 2018</w:t>
            </w:r>
          </w:p>
        </w:tc>
        <w:tc>
          <w:tcPr>
            <w:tcW w:w="2075" w:type="dxa"/>
          </w:tcPr>
          <w:p w14:paraId="4ED6BC26" w14:textId="3D43FD54" w:rsidR="007143BB" w:rsidRDefault="007143BB">
            <w:r>
              <w:t>First review within 2 years of transition, every 5 years thereafter</w:t>
            </w:r>
          </w:p>
        </w:tc>
        <w:tc>
          <w:tcPr>
            <w:tcW w:w="2140" w:type="dxa"/>
          </w:tcPr>
          <w:p w14:paraId="1EFCCD28" w14:textId="77777777" w:rsidR="007143BB" w:rsidRDefault="007143BB">
            <w:r>
              <w:t>ICANN Board</w:t>
            </w:r>
          </w:p>
        </w:tc>
        <w:tc>
          <w:tcPr>
            <w:tcW w:w="4241" w:type="dxa"/>
          </w:tcPr>
          <w:p w14:paraId="24D97D70" w14:textId="2B102A59" w:rsidR="007143BB" w:rsidRDefault="003C455F">
            <w:r>
              <w:t>Could likely be deferred until RT is formed</w:t>
            </w:r>
          </w:p>
        </w:tc>
      </w:tr>
      <w:tr w:rsidR="007143BB" w14:paraId="40544016" w14:textId="77777777" w:rsidTr="00465144">
        <w:tc>
          <w:tcPr>
            <w:tcW w:w="2138" w:type="dxa"/>
          </w:tcPr>
          <w:p w14:paraId="571A11BC" w14:textId="77777777" w:rsidR="007143BB" w:rsidRDefault="007143BB">
            <w:r>
              <w:t>Special IFR</w:t>
            </w:r>
          </w:p>
        </w:tc>
        <w:tc>
          <w:tcPr>
            <w:tcW w:w="4180" w:type="dxa"/>
          </w:tcPr>
          <w:p w14:paraId="1E2737B5" w14:textId="77777777" w:rsidR="007143BB" w:rsidRDefault="007143BB">
            <w:r>
              <w:t>Review of deficiency or issues identified by CSC that have not been satisfactorily resolved after exhaustion of defined processes</w:t>
            </w:r>
          </w:p>
        </w:tc>
        <w:tc>
          <w:tcPr>
            <w:tcW w:w="4050" w:type="dxa"/>
          </w:tcPr>
          <w:p w14:paraId="0DD04C56" w14:textId="3AA310BA" w:rsidR="007143BB" w:rsidRDefault="007143BB" w:rsidP="003C455F">
            <w:pPr>
              <w:pStyle w:val="ListParagraph"/>
              <w:numPr>
                <w:ilvl w:val="0"/>
                <w:numId w:val="1"/>
              </w:numPr>
              <w:ind w:left="252" w:hanging="252"/>
            </w:pPr>
            <w:r>
              <w:t>1 liaison on review team</w:t>
            </w:r>
          </w:p>
          <w:p w14:paraId="1CC5934D" w14:textId="77777777" w:rsidR="007143BB" w:rsidRPr="003C455F" w:rsidRDefault="007143BB" w:rsidP="003C455F">
            <w:pPr>
              <w:pStyle w:val="ListParagraph"/>
              <w:numPr>
                <w:ilvl w:val="0"/>
                <w:numId w:val="1"/>
              </w:numPr>
              <w:ind w:left="252" w:hanging="252"/>
              <w:rPr>
                <w:b/>
              </w:rPr>
            </w:pPr>
            <w:r>
              <w:t>Available for consultation requests</w:t>
            </w:r>
          </w:p>
          <w:p w14:paraId="34816EE3" w14:textId="62B0C1BE" w:rsidR="003C455F" w:rsidRPr="00A04C1B" w:rsidRDefault="003C455F" w:rsidP="003C455F">
            <w:pPr>
              <w:pStyle w:val="ListParagraph"/>
              <w:numPr>
                <w:ilvl w:val="0"/>
                <w:numId w:val="1"/>
              </w:numPr>
              <w:ind w:left="252" w:hanging="252"/>
              <w:rPr>
                <w:b/>
              </w:rPr>
            </w:pPr>
            <w:r>
              <w:t>Provide reports and input to the review</w:t>
            </w:r>
          </w:p>
        </w:tc>
        <w:tc>
          <w:tcPr>
            <w:tcW w:w="2162" w:type="dxa"/>
          </w:tcPr>
          <w:p w14:paraId="463AA411" w14:textId="743DC6DC" w:rsidR="007143BB" w:rsidRPr="007143BB" w:rsidRDefault="003C455F">
            <w:r>
              <w:t>ICANN Bylaws – Section 18.12</w:t>
            </w:r>
          </w:p>
        </w:tc>
        <w:tc>
          <w:tcPr>
            <w:tcW w:w="2162" w:type="dxa"/>
          </w:tcPr>
          <w:p w14:paraId="1DE59429" w14:textId="0102D7E4" w:rsidR="007143BB" w:rsidRPr="003C455F" w:rsidRDefault="003C455F">
            <w:r>
              <w:t>N/A</w:t>
            </w:r>
          </w:p>
        </w:tc>
        <w:tc>
          <w:tcPr>
            <w:tcW w:w="2075" w:type="dxa"/>
          </w:tcPr>
          <w:p w14:paraId="6190EF7F" w14:textId="46E6C377" w:rsidR="007143BB" w:rsidRDefault="007143BB">
            <w:r>
              <w:t>As needed</w:t>
            </w:r>
          </w:p>
        </w:tc>
        <w:tc>
          <w:tcPr>
            <w:tcW w:w="2140" w:type="dxa"/>
          </w:tcPr>
          <w:p w14:paraId="1040C5B0" w14:textId="77777777" w:rsidR="007143BB" w:rsidRDefault="007143BB">
            <w:proofErr w:type="spellStart"/>
            <w:proofErr w:type="gramStart"/>
            <w:r>
              <w:t>ccNSO</w:t>
            </w:r>
            <w:proofErr w:type="spellEnd"/>
            <w:proofErr w:type="gramEnd"/>
            <w:r>
              <w:t>/GNSO</w:t>
            </w:r>
          </w:p>
        </w:tc>
        <w:tc>
          <w:tcPr>
            <w:tcW w:w="4241" w:type="dxa"/>
          </w:tcPr>
          <w:p w14:paraId="765BF1B2" w14:textId="63241590" w:rsidR="007143BB" w:rsidRDefault="002A07BF">
            <w:r>
              <w:t>Could likely be deferred until RT is formed</w:t>
            </w:r>
          </w:p>
        </w:tc>
      </w:tr>
      <w:tr w:rsidR="00C41599" w14:paraId="04BA078F" w14:textId="77777777" w:rsidTr="00465144">
        <w:tc>
          <w:tcPr>
            <w:tcW w:w="2138" w:type="dxa"/>
          </w:tcPr>
          <w:p w14:paraId="159F763D" w14:textId="63178474" w:rsidR="00C41599" w:rsidRDefault="00C41599">
            <w:r>
              <w:t>Separation Cross Community Working Group (SCWG)</w:t>
            </w:r>
          </w:p>
        </w:tc>
        <w:tc>
          <w:tcPr>
            <w:tcW w:w="4180" w:type="dxa"/>
          </w:tcPr>
          <w:p w14:paraId="2187C958" w14:textId="184152AD" w:rsidR="00C41599" w:rsidRDefault="00C41599">
            <w:r>
              <w:t xml:space="preserve">If an IFRT recommends that an IANA Naming Function Separation Process is necessary, the ICANN Board will form a SCWG. </w:t>
            </w:r>
          </w:p>
        </w:tc>
        <w:tc>
          <w:tcPr>
            <w:tcW w:w="4050" w:type="dxa"/>
          </w:tcPr>
          <w:p w14:paraId="260E0B54" w14:textId="7065B9C5" w:rsidR="00C41599" w:rsidRDefault="00C41599" w:rsidP="00C41599">
            <w:pPr>
              <w:pStyle w:val="ListParagraph"/>
              <w:numPr>
                <w:ilvl w:val="0"/>
                <w:numId w:val="1"/>
              </w:numPr>
              <w:ind w:left="252" w:hanging="252"/>
            </w:pPr>
            <w:r>
              <w:t>1 CSC liaison on working group</w:t>
            </w:r>
          </w:p>
          <w:p w14:paraId="7143FDDF" w14:textId="03D55163" w:rsidR="00C41599" w:rsidRDefault="00C41599" w:rsidP="003C455F">
            <w:pPr>
              <w:pStyle w:val="ListParagraph"/>
              <w:numPr>
                <w:ilvl w:val="0"/>
                <w:numId w:val="1"/>
              </w:numPr>
              <w:ind w:left="252" w:hanging="252"/>
            </w:pPr>
            <w:r>
              <w:t>Available for consultation requests</w:t>
            </w:r>
          </w:p>
        </w:tc>
        <w:tc>
          <w:tcPr>
            <w:tcW w:w="2162" w:type="dxa"/>
          </w:tcPr>
          <w:p w14:paraId="586F4A19" w14:textId="6093C353" w:rsidR="00C41599" w:rsidRDefault="002A07BF">
            <w:r>
              <w:t>ICANN BYLAWS – SECTION 19.5</w:t>
            </w:r>
          </w:p>
        </w:tc>
        <w:tc>
          <w:tcPr>
            <w:tcW w:w="2162" w:type="dxa"/>
          </w:tcPr>
          <w:p w14:paraId="407A851D" w14:textId="1FB93274" w:rsidR="00C41599" w:rsidRDefault="002A07BF">
            <w:r>
              <w:t>N/A</w:t>
            </w:r>
          </w:p>
        </w:tc>
        <w:tc>
          <w:tcPr>
            <w:tcW w:w="2075" w:type="dxa"/>
          </w:tcPr>
          <w:p w14:paraId="37516FD2" w14:textId="299FFB76" w:rsidR="00C41599" w:rsidRDefault="00C41599">
            <w:r>
              <w:t>As needed</w:t>
            </w:r>
          </w:p>
        </w:tc>
        <w:tc>
          <w:tcPr>
            <w:tcW w:w="2140" w:type="dxa"/>
          </w:tcPr>
          <w:p w14:paraId="4A3B8D4D" w14:textId="797EB60E" w:rsidR="00C41599" w:rsidRDefault="00C41599">
            <w:r>
              <w:t>ICANN Board</w:t>
            </w:r>
          </w:p>
        </w:tc>
        <w:tc>
          <w:tcPr>
            <w:tcW w:w="4241" w:type="dxa"/>
          </w:tcPr>
          <w:p w14:paraId="69A89DC9" w14:textId="6A7344D2" w:rsidR="00C41599" w:rsidRDefault="002A07BF" w:rsidP="003C455F">
            <w:r>
              <w:t>Could likely be deferred until RT is formed</w:t>
            </w:r>
          </w:p>
        </w:tc>
      </w:tr>
      <w:tr w:rsidR="00C41599" w14:paraId="09D0E5B1" w14:textId="77777777" w:rsidTr="00465144">
        <w:tc>
          <w:tcPr>
            <w:tcW w:w="2138" w:type="dxa"/>
          </w:tcPr>
          <w:p w14:paraId="4A2AF6D8" w14:textId="77777777" w:rsidR="00C41599" w:rsidRDefault="00C41599">
            <w:r>
              <w:t>CSC Effectiveness Review</w:t>
            </w:r>
          </w:p>
        </w:tc>
        <w:tc>
          <w:tcPr>
            <w:tcW w:w="4180" w:type="dxa"/>
          </w:tcPr>
          <w:p w14:paraId="6D4CA1B2" w14:textId="77777777" w:rsidR="00C41599" w:rsidRDefault="00C41599">
            <w:r>
              <w:t>Review of CSC effectiveness</w:t>
            </w:r>
          </w:p>
        </w:tc>
        <w:tc>
          <w:tcPr>
            <w:tcW w:w="4050" w:type="dxa"/>
          </w:tcPr>
          <w:p w14:paraId="3E60D855" w14:textId="0BE906BC" w:rsidR="00C41599" w:rsidRDefault="00C41599" w:rsidP="003C455F">
            <w:pPr>
              <w:pStyle w:val="ListParagraph"/>
              <w:numPr>
                <w:ilvl w:val="0"/>
                <w:numId w:val="1"/>
              </w:numPr>
              <w:ind w:left="252" w:hanging="252"/>
            </w:pPr>
            <w:r>
              <w:t>Available for consultation requests</w:t>
            </w:r>
          </w:p>
          <w:p w14:paraId="49644BF5" w14:textId="371EE371" w:rsidR="00C41599" w:rsidRPr="00A04C1B" w:rsidRDefault="00C41599" w:rsidP="003C455F">
            <w:pPr>
              <w:pStyle w:val="ListParagraph"/>
              <w:numPr>
                <w:ilvl w:val="0"/>
                <w:numId w:val="1"/>
              </w:numPr>
              <w:ind w:left="252" w:hanging="252"/>
              <w:rPr>
                <w:b/>
              </w:rPr>
            </w:pPr>
            <w:r>
              <w:t>Provide reports and input to the review</w:t>
            </w:r>
          </w:p>
        </w:tc>
        <w:tc>
          <w:tcPr>
            <w:tcW w:w="2162" w:type="dxa"/>
          </w:tcPr>
          <w:p w14:paraId="056C4BAB" w14:textId="46C28F3A" w:rsidR="00C41599" w:rsidRPr="007143BB" w:rsidRDefault="00C41599">
            <w:r>
              <w:t>ICANN Bylaws – Section 17.3</w:t>
            </w:r>
          </w:p>
        </w:tc>
        <w:tc>
          <w:tcPr>
            <w:tcW w:w="2162" w:type="dxa"/>
          </w:tcPr>
          <w:p w14:paraId="2029DE74" w14:textId="53CCB0E3" w:rsidR="00C41599" w:rsidRPr="003C455F" w:rsidRDefault="00C41599">
            <w:r>
              <w:t>October 2018</w:t>
            </w:r>
          </w:p>
        </w:tc>
        <w:tc>
          <w:tcPr>
            <w:tcW w:w="2075" w:type="dxa"/>
          </w:tcPr>
          <w:p w14:paraId="2FE412B7" w14:textId="0B7199E7" w:rsidR="00C41599" w:rsidRDefault="00C41599">
            <w:r>
              <w:t>First review 2 years after first meeting of the CSC, every 3 years thereafter</w:t>
            </w:r>
          </w:p>
        </w:tc>
        <w:tc>
          <w:tcPr>
            <w:tcW w:w="2140" w:type="dxa"/>
          </w:tcPr>
          <w:p w14:paraId="5BAEC36E" w14:textId="77777777" w:rsidR="00C41599" w:rsidRDefault="00C41599">
            <w:proofErr w:type="spellStart"/>
            <w:proofErr w:type="gramStart"/>
            <w:r>
              <w:t>ccNSO</w:t>
            </w:r>
            <w:proofErr w:type="spellEnd"/>
            <w:proofErr w:type="gramEnd"/>
            <w:r>
              <w:t>/GNSO</w:t>
            </w:r>
          </w:p>
        </w:tc>
        <w:tc>
          <w:tcPr>
            <w:tcW w:w="4241" w:type="dxa"/>
          </w:tcPr>
          <w:p w14:paraId="64361502" w14:textId="00E4C72C" w:rsidR="00C41599" w:rsidRDefault="00C41599" w:rsidP="003C455F">
            <w:proofErr w:type="spellStart"/>
            <w:proofErr w:type="gramStart"/>
            <w:r>
              <w:t>ccNSO</w:t>
            </w:r>
            <w:proofErr w:type="spellEnd"/>
            <w:proofErr w:type="gramEnd"/>
            <w:r>
              <w:t>/GNSO to determine composition of review team and method</w:t>
            </w:r>
          </w:p>
        </w:tc>
      </w:tr>
      <w:tr w:rsidR="00C41599" w14:paraId="1CEF1AE0" w14:textId="77777777" w:rsidTr="00465144">
        <w:tc>
          <w:tcPr>
            <w:tcW w:w="2138" w:type="dxa"/>
            <w:tcBorders>
              <w:bottom w:val="single" w:sz="4" w:space="0" w:color="auto"/>
            </w:tcBorders>
          </w:tcPr>
          <w:p w14:paraId="12D892C5" w14:textId="77777777" w:rsidR="00C41599" w:rsidRDefault="00C41599">
            <w:r>
              <w:t>CSC Charter Review</w:t>
            </w:r>
          </w:p>
        </w:tc>
        <w:tc>
          <w:tcPr>
            <w:tcW w:w="4180" w:type="dxa"/>
            <w:tcBorders>
              <w:bottom w:val="single" w:sz="4" w:space="0" w:color="auto"/>
            </w:tcBorders>
          </w:tcPr>
          <w:p w14:paraId="19835AF2" w14:textId="77777777" w:rsidR="00C41599" w:rsidRDefault="00C41599">
            <w:r>
              <w:t>Review of CSC charter</w:t>
            </w:r>
          </w:p>
        </w:tc>
        <w:tc>
          <w:tcPr>
            <w:tcW w:w="4050" w:type="dxa"/>
            <w:tcBorders>
              <w:bottom w:val="single" w:sz="4" w:space="0" w:color="auto"/>
            </w:tcBorders>
          </w:tcPr>
          <w:p w14:paraId="10D67234" w14:textId="3D7CA8F7" w:rsidR="00C41599" w:rsidRDefault="00C41599" w:rsidP="00442508">
            <w:pPr>
              <w:pStyle w:val="ListParagraph"/>
              <w:numPr>
                <w:ilvl w:val="0"/>
                <w:numId w:val="1"/>
              </w:numPr>
              <w:ind w:left="252" w:hanging="252"/>
            </w:pPr>
            <w:r>
              <w:t>Conduct review</w:t>
            </w:r>
          </w:p>
          <w:p w14:paraId="7744E7CB" w14:textId="0DE7E4C6" w:rsidR="00C41599" w:rsidRPr="00A04C1B" w:rsidRDefault="00C41599" w:rsidP="00442508">
            <w:pPr>
              <w:pStyle w:val="ListParagraph"/>
              <w:numPr>
                <w:ilvl w:val="0"/>
                <w:numId w:val="1"/>
              </w:numPr>
              <w:ind w:left="252" w:hanging="252"/>
              <w:rPr>
                <w:b/>
              </w:rPr>
            </w:pPr>
            <w:r>
              <w:t xml:space="preserve">Produce recommendations, which must be approved by </w:t>
            </w:r>
            <w:proofErr w:type="spellStart"/>
            <w:r>
              <w:t>ccNSO</w:t>
            </w:r>
            <w:proofErr w:type="spellEnd"/>
            <w:r>
              <w:t>/GNSO after a public comment period</w:t>
            </w:r>
          </w:p>
        </w:tc>
        <w:tc>
          <w:tcPr>
            <w:tcW w:w="2162" w:type="dxa"/>
            <w:tcBorders>
              <w:bottom w:val="single" w:sz="4" w:space="0" w:color="auto"/>
            </w:tcBorders>
          </w:tcPr>
          <w:p w14:paraId="5593890D" w14:textId="0835CD3A" w:rsidR="00C41599" w:rsidRPr="007143BB" w:rsidRDefault="00C41599">
            <w:r>
              <w:t>ICANN Bylaws – Section 17.3</w:t>
            </w:r>
          </w:p>
        </w:tc>
        <w:tc>
          <w:tcPr>
            <w:tcW w:w="2162" w:type="dxa"/>
            <w:tcBorders>
              <w:bottom w:val="single" w:sz="4" w:space="0" w:color="auto"/>
            </w:tcBorders>
          </w:tcPr>
          <w:p w14:paraId="3B062AC4" w14:textId="1DF18C28" w:rsidR="00C41599" w:rsidRPr="003C455F" w:rsidRDefault="00C41599">
            <w:r>
              <w:t>Oc</w:t>
            </w:r>
            <w:r w:rsidRPr="003C455F">
              <w:t>t</w:t>
            </w:r>
            <w:r>
              <w:t>o</w:t>
            </w:r>
            <w:r w:rsidRPr="003C455F">
              <w:t>ber 2017</w:t>
            </w:r>
          </w:p>
        </w:tc>
        <w:tc>
          <w:tcPr>
            <w:tcW w:w="2075" w:type="dxa"/>
            <w:tcBorders>
              <w:bottom w:val="single" w:sz="4" w:space="0" w:color="auto"/>
            </w:tcBorders>
          </w:tcPr>
          <w:p w14:paraId="5F44C569" w14:textId="0147D013" w:rsidR="00C41599" w:rsidRDefault="00C41599">
            <w:r>
              <w:t>First review 1 year after first meeting of the CSC, as needed thereafter</w:t>
            </w:r>
          </w:p>
        </w:tc>
        <w:tc>
          <w:tcPr>
            <w:tcW w:w="2140" w:type="dxa"/>
            <w:tcBorders>
              <w:bottom w:val="single" w:sz="4" w:space="0" w:color="auto"/>
            </w:tcBorders>
          </w:tcPr>
          <w:p w14:paraId="6C5642A1" w14:textId="2EA8C75E" w:rsidR="00C41599" w:rsidRDefault="00C41599">
            <w:proofErr w:type="spellStart"/>
            <w:proofErr w:type="gramStart"/>
            <w:r>
              <w:t>ccNSO</w:t>
            </w:r>
            <w:proofErr w:type="spellEnd"/>
            <w:proofErr w:type="gramEnd"/>
            <w:r>
              <w:t>/</w:t>
            </w:r>
            <w:proofErr w:type="spellStart"/>
            <w:r>
              <w:t>RySG</w:t>
            </w:r>
            <w:proofErr w:type="spellEnd"/>
          </w:p>
          <w:p w14:paraId="4447137F" w14:textId="77777777" w:rsidR="00C41599" w:rsidRDefault="00C41599"/>
          <w:p w14:paraId="75C3D676" w14:textId="77777777" w:rsidR="00C41599" w:rsidRDefault="00C41599">
            <w:r>
              <w:t xml:space="preserve">Subsequent review upon request of CSC, </w:t>
            </w:r>
            <w:proofErr w:type="spellStart"/>
            <w:r>
              <w:t>ccNSO</w:t>
            </w:r>
            <w:proofErr w:type="spellEnd"/>
            <w:r>
              <w:t>, GNSO, ICANN Board, or IFRT</w:t>
            </w:r>
          </w:p>
        </w:tc>
        <w:tc>
          <w:tcPr>
            <w:tcW w:w="4241" w:type="dxa"/>
            <w:tcBorders>
              <w:bottom w:val="single" w:sz="4" w:space="0" w:color="auto"/>
            </w:tcBorders>
          </w:tcPr>
          <w:p w14:paraId="47BF9CCC" w14:textId="7EA59BC7" w:rsidR="00C41599" w:rsidRDefault="00C41599">
            <w:r>
              <w:t>We will at some point have to consider how this requirement will be fulfilled given that the first IFRT is also supposed to begin at the same time.  Should these processes be combined?</w:t>
            </w:r>
          </w:p>
        </w:tc>
      </w:tr>
      <w:tr w:rsidR="00C41599" w14:paraId="34B1F4FA" w14:textId="77777777" w:rsidTr="00465144">
        <w:tc>
          <w:tcPr>
            <w:tcW w:w="23148" w:type="dxa"/>
            <w:gridSpan w:val="8"/>
            <w:shd w:val="clear" w:color="auto" w:fill="B3B3B3"/>
          </w:tcPr>
          <w:p w14:paraId="51689892" w14:textId="25C01D4E" w:rsidR="00C41599" w:rsidRDefault="00C41599">
            <w:r>
              <w:rPr>
                <w:b/>
              </w:rPr>
              <w:t>Monitoring of PTI Performance and Reporting</w:t>
            </w:r>
          </w:p>
        </w:tc>
      </w:tr>
      <w:tr w:rsidR="00C41599" w14:paraId="1CA8B7C7" w14:textId="77777777" w:rsidTr="00465144">
        <w:tc>
          <w:tcPr>
            <w:tcW w:w="2138" w:type="dxa"/>
          </w:tcPr>
          <w:p w14:paraId="7C43E366" w14:textId="77777777" w:rsidR="00C41599" w:rsidRDefault="00C41599">
            <w:r>
              <w:t>Service Level Expectation (SLE) Review</w:t>
            </w:r>
          </w:p>
        </w:tc>
        <w:tc>
          <w:tcPr>
            <w:tcW w:w="4180" w:type="dxa"/>
          </w:tcPr>
          <w:p w14:paraId="5377C341" w14:textId="48806D88" w:rsidR="00C41599" w:rsidRDefault="00C41599">
            <w:r>
              <w:t>Review of or changes to service level targets</w:t>
            </w:r>
          </w:p>
        </w:tc>
        <w:tc>
          <w:tcPr>
            <w:tcW w:w="4050" w:type="dxa"/>
          </w:tcPr>
          <w:p w14:paraId="47A8C398" w14:textId="18692BB5" w:rsidR="00C41599" w:rsidRPr="00A04C1B" w:rsidRDefault="00C41599" w:rsidP="009C0A3E">
            <w:pPr>
              <w:pStyle w:val="ListParagraph"/>
              <w:numPr>
                <w:ilvl w:val="0"/>
                <w:numId w:val="1"/>
              </w:numPr>
              <w:ind w:left="252" w:hanging="252"/>
              <w:rPr>
                <w:b/>
              </w:rPr>
            </w:pPr>
            <w:r>
              <w:t xml:space="preserve">Produce recommendations, which must be approved by the </w:t>
            </w:r>
            <w:proofErr w:type="spellStart"/>
            <w:r>
              <w:t>ccNSO</w:t>
            </w:r>
            <w:proofErr w:type="spellEnd"/>
            <w:r>
              <w:t>/GNSO</w:t>
            </w:r>
          </w:p>
        </w:tc>
        <w:tc>
          <w:tcPr>
            <w:tcW w:w="2162" w:type="dxa"/>
          </w:tcPr>
          <w:p w14:paraId="7727A313" w14:textId="63A930F4" w:rsidR="00C41599" w:rsidRPr="009C0A3E" w:rsidRDefault="00C41599">
            <w:r w:rsidRPr="009C0A3E">
              <w:t>CSC Charter</w:t>
            </w:r>
          </w:p>
        </w:tc>
        <w:tc>
          <w:tcPr>
            <w:tcW w:w="2162" w:type="dxa"/>
          </w:tcPr>
          <w:p w14:paraId="76C2E881" w14:textId="5587A1EF" w:rsidR="00C41599" w:rsidRPr="009C0A3E" w:rsidRDefault="00C41599">
            <w:r w:rsidRPr="009C0A3E">
              <w:t>N/A</w:t>
            </w:r>
          </w:p>
        </w:tc>
        <w:tc>
          <w:tcPr>
            <w:tcW w:w="2075" w:type="dxa"/>
          </w:tcPr>
          <w:p w14:paraId="348A708D" w14:textId="76A36E14" w:rsidR="00C41599" w:rsidRDefault="00C41599">
            <w:r>
              <w:t>As needed</w:t>
            </w:r>
          </w:p>
        </w:tc>
        <w:tc>
          <w:tcPr>
            <w:tcW w:w="2140" w:type="dxa"/>
          </w:tcPr>
          <w:p w14:paraId="3E0CA631" w14:textId="77777777" w:rsidR="00C41599" w:rsidRDefault="00C41599">
            <w:r>
              <w:t>CSC or PTI</w:t>
            </w:r>
          </w:p>
        </w:tc>
        <w:tc>
          <w:tcPr>
            <w:tcW w:w="4241" w:type="dxa"/>
          </w:tcPr>
          <w:p w14:paraId="59E0B5BB" w14:textId="5724703D" w:rsidR="00C41599" w:rsidRDefault="00C41599"/>
        </w:tc>
      </w:tr>
      <w:tr w:rsidR="00C41599" w14:paraId="5F829B4E" w14:textId="77777777" w:rsidTr="00465144">
        <w:tc>
          <w:tcPr>
            <w:tcW w:w="2138" w:type="dxa"/>
            <w:tcBorders>
              <w:bottom w:val="single" w:sz="4" w:space="0" w:color="auto"/>
            </w:tcBorders>
          </w:tcPr>
          <w:p w14:paraId="6517F2C4" w14:textId="7DA7935C" w:rsidR="00C41599" w:rsidRDefault="00C41599" w:rsidP="009C0A3E">
            <w:r>
              <w:t>Consultation Regarding Performance of PTI</w:t>
            </w:r>
          </w:p>
        </w:tc>
        <w:tc>
          <w:tcPr>
            <w:tcW w:w="4180" w:type="dxa"/>
            <w:tcBorders>
              <w:bottom w:val="single" w:sz="4" w:space="0" w:color="auto"/>
            </w:tcBorders>
          </w:tcPr>
          <w:p w14:paraId="62C93DB7" w14:textId="77777777" w:rsidR="00C41599" w:rsidRDefault="00C41599">
            <w:r>
              <w:t>Consultation with PTI, primary customers of the naming services, ICANN community regarding performance of PTI</w:t>
            </w:r>
          </w:p>
        </w:tc>
        <w:tc>
          <w:tcPr>
            <w:tcW w:w="4050" w:type="dxa"/>
            <w:tcBorders>
              <w:bottom w:val="single" w:sz="4" w:space="0" w:color="auto"/>
            </w:tcBorders>
          </w:tcPr>
          <w:p w14:paraId="466A9085" w14:textId="6A75076A" w:rsidR="00C41599" w:rsidRDefault="00C41599" w:rsidP="009C0A3E">
            <w:pPr>
              <w:pStyle w:val="ListParagraph"/>
              <w:numPr>
                <w:ilvl w:val="0"/>
                <w:numId w:val="1"/>
              </w:numPr>
              <w:ind w:left="252" w:hanging="252"/>
            </w:pPr>
            <w:r>
              <w:t>Conduct consultation</w:t>
            </w:r>
          </w:p>
          <w:p w14:paraId="1A0E013C" w14:textId="01371204" w:rsidR="00C41599" w:rsidRPr="00A04C1B" w:rsidRDefault="00C41599" w:rsidP="009C0A3E">
            <w:pPr>
              <w:pStyle w:val="ListParagraph"/>
              <w:numPr>
                <w:ilvl w:val="0"/>
                <w:numId w:val="1"/>
              </w:numPr>
              <w:ind w:left="252" w:hanging="252"/>
              <w:rPr>
                <w:b/>
              </w:rPr>
            </w:pPr>
            <w:r>
              <w:t>Produce findings</w:t>
            </w:r>
          </w:p>
        </w:tc>
        <w:tc>
          <w:tcPr>
            <w:tcW w:w="2162" w:type="dxa"/>
            <w:tcBorders>
              <w:bottom w:val="single" w:sz="4" w:space="0" w:color="auto"/>
            </w:tcBorders>
          </w:tcPr>
          <w:p w14:paraId="37341C5B" w14:textId="6CC7DEF9" w:rsidR="00C41599" w:rsidRPr="009C0A3E" w:rsidRDefault="00C41599">
            <w:r>
              <w:t>CSC Charter</w:t>
            </w:r>
          </w:p>
        </w:tc>
        <w:tc>
          <w:tcPr>
            <w:tcW w:w="2162" w:type="dxa"/>
            <w:tcBorders>
              <w:bottom w:val="single" w:sz="4" w:space="0" w:color="auto"/>
            </w:tcBorders>
          </w:tcPr>
          <w:p w14:paraId="7B1910D2" w14:textId="360E23E9" w:rsidR="00C41599" w:rsidRPr="009C0A3E" w:rsidRDefault="00C41599">
            <w:r>
              <w:t>October 2017</w:t>
            </w:r>
          </w:p>
        </w:tc>
        <w:tc>
          <w:tcPr>
            <w:tcW w:w="2075" w:type="dxa"/>
            <w:tcBorders>
              <w:bottom w:val="single" w:sz="4" w:space="0" w:color="auto"/>
            </w:tcBorders>
          </w:tcPr>
          <w:p w14:paraId="5D5180A0" w14:textId="2E5E84CA" w:rsidR="00C41599" w:rsidRDefault="00C41599">
            <w:r>
              <w:t>Annually or as needs demand</w:t>
            </w:r>
          </w:p>
        </w:tc>
        <w:tc>
          <w:tcPr>
            <w:tcW w:w="2140" w:type="dxa"/>
            <w:tcBorders>
              <w:bottom w:val="single" w:sz="4" w:space="0" w:color="auto"/>
            </w:tcBorders>
          </w:tcPr>
          <w:p w14:paraId="1AC07097" w14:textId="77777777" w:rsidR="00C41599" w:rsidRDefault="00C41599">
            <w:r>
              <w:t>CSC</w:t>
            </w:r>
          </w:p>
        </w:tc>
        <w:tc>
          <w:tcPr>
            <w:tcW w:w="4241" w:type="dxa"/>
            <w:tcBorders>
              <w:bottom w:val="single" w:sz="4" w:space="0" w:color="auto"/>
            </w:tcBorders>
          </w:tcPr>
          <w:p w14:paraId="51FC84E1" w14:textId="35C95040" w:rsidR="00C41599" w:rsidRDefault="00C41599">
            <w:r>
              <w:t xml:space="preserve">Need to discuss timing and frequency of these discussions and decide if the format for all will be the same e.g. </w:t>
            </w:r>
            <w:proofErr w:type="spellStart"/>
            <w:r>
              <w:t>ccNSO</w:t>
            </w:r>
            <w:proofErr w:type="spellEnd"/>
            <w:r>
              <w:t xml:space="preserve">, </w:t>
            </w:r>
            <w:proofErr w:type="spellStart"/>
            <w:r>
              <w:t>RySG</w:t>
            </w:r>
            <w:proofErr w:type="spellEnd"/>
            <w:r>
              <w:t xml:space="preserve"> consultations could be during regular </w:t>
            </w:r>
            <w:proofErr w:type="spellStart"/>
            <w:r>
              <w:t>ccNSO</w:t>
            </w:r>
            <w:proofErr w:type="spellEnd"/>
            <w:r>
              <w:t xml:space="preserve">, </w:t>
            </w:r>
            <w:proofErr w:type="spellStart"/>
            <w:r>
              <w:t>RySG</w:t>
            </w:r>
            <w:proofErr w:type="spellEnd"/>
            <w:r>
              <w:t>/GNSO meetings while broader consultation could be during CSC meetings</w:t>
            </w:r>
          </w:p>
        </w:tc>
      </w:tr>
      <w:tr w:rsidR="00C41599" w14:paraId="66CEE827" w14:textId="77777777" w:rsidTr="00465144">
        <w:tc>
          <w:tcPr>
            <w:tcW w:w="2138" w:type="dxa"/>
          </w:tcPr>
          <w:p w14:paraId="1290E8B4" w14:textId="77777777" w:rsidR="00C41599" w:rsidRDefault="00C41599" w:rsidP="00936136">
            <w:r>
              <w:t>CSC Monthly Report</w:t>
            </w:r>
          </w:p>
        </w:tc>
        <w:tc>
          <w:tcPr>
            <w:tcW w:w="4180" w:type="dxa"/>
          </w:tcPr>
          <w:p w14:paraId="5C3C0353" w14:textId="77777777" w:rsidR="00C41599" w:rsidRDefault="00C41599" w:rsidP="00936136">
            <w:r>
              <w:t>CSC reviews monthly reports from PTI and issues its findings</w:t>
            </w:r>
          </w:p>
        </w:tc>
        <w:tc>
          <w:tcPr>
            <w:tcW w:w="4050" w:type="dxa"/>
          </w:tcPr>
          <w:p w14:paraId="1C1A1030" w14:textId="0439EF63" w:rsidR="00C41599" w:rsidRDefault="00C41599" w:rsidP="00C41599">
            <w:pPr>
              <w:pStyle w:val="ListParagraph"/>
              <w:numPr>
                <w:ilvl w:val="0"/>
                <w:numId w:val="1"/>
              </w:numPr>
              <w:ind w:left="252" w:hanging="252"/>
              <w:rPr>
                <w:b/>
              </w:rPr>
            </w:pPr>
            <w:r>
              <w:t>Reviews PTI reports and drafts findings</w:t>
            </w:r>
          </w:p>
        </w:tc>
        <w:tc>
          <w:tcPr>
            <w:tcW w:w="2162" w:type="dxa"/>
          </w:tcPr>
          <w:p w14:paraId="7A30A3C2" w14:textId="20587CE5" w:rsidR="00C41599" w:rsidRPr="009C0A3E" w:rsidRDefault="00C41599">
            <w:r>
              <w:t>CSC Charter</w:t>
            </w:r>
          </w:p>
        </w:tc>
        <w:tc>
          <w:tcPr>
            <w:tcW w:w="2162" w:type="dxa"/>
          </w:tcPr>
          <w:p w14:paraId="1A9AD736" w14:textId="0CA3924F" w:rsidR="00C41599" w:rsidRPr="009C0A3E" w:rsidRDefault="00C41599">
            <w:r w:rsidRPr="009C0A3E">
              <w:t>November 2016</w:t>
            </w:r>
          </w:p>
        </w:tc>
        <w:tc>
          <w:tcPr>
            <w:tcW w:w="2075" w:type="dxa"/>
          </w:tcPr>
          <w:p w14:paraId="0558815D" w14:textId="6F25DCF7" w:rsidR="00C41599" w:rsidRDefault="00C41599">
            <w:r>
              <w:t>Monthly</w:t>
            </w:r>
          </w:p>
        </w:tc>
        <w:tc>
          <w:tcPr>
            <w:tcW w:w="2140" w:type="dxa"/>
          </w:tcPr>
          <w:p w14:paraId="2F678A14" w14:textId="77777777" w:rsidR="00C41599" w:rsidRDefault="00C41599">
            <w:r>
              <w:t>CSC</w:t>
            </w:r>
          </w:p>
        </w:tc>
        <w:tc>
          <w:tcPr>
            <w:tcW w:w="4241" w:type="dxa"/>
          </w:tcPr>
          <w:p w14:paraId="3228EB12" w14:textId="5548F5AA" w:rsidR="00C41599" w:rsidRDefault="00C41599">
            <w:r>
              <w:t>This is well in hand</w:t>
            </w:r>
          </w:p>
        </w:tc>
      </w:tr>
      <w:tr w:rsidR="00C41599" w14:paraId="416A5FD2" w14:textId="77777777" w:rsidTr="00465144">
        <w:tc>
          <w:tcPr>
            <w:tcW w:w="2138" w:type="dxa"/>
          </w:tcPr>
          <w:p w14:paraId="4E9D2FBC" w14:textId="001A9EC4" w:rsidR="00C41599" w:rsidRDefault="003C19C2" w:rsidP="003C19C2">
            <w:r>
              <w:t>Updates to Customers of the N</w:t>
            </w:r>
            <w:r w:rsidR="00C41599">
              <w:t xml:space="preserve">aming </w:t>
            </w:r>
            <w:r>
              <w:t>F</w:t>
            </w:r>
            <w:r w:rsidR="00C41599">
              <w:t>unction</w:t>
            </w:r>
          </w:p>
        </w:tc>
        <w:tc>
          <w:tcPr>
            <w:tcW w:w="4180" w:type="dxa"/>
          </w:tcPr>
          <w:p w14:paraId="7F3D23C6" w14:textId="77777777" w:rsidR="00C41599" w:rsidRDefault="00C41599" w:rsidP="00936136">
            <w:r>
              <w:t xml:space="preserve">CSC to provide regular updates (no less than 3 a year) to customers of the naming function (may be provided to </w:t>
            </w:r>
            <w:proofErr w:type="spellStart"/>
            <w:r>
              <w:t>RySG</w:t>
            </w:r>
            <w:proofErr w:type="spellEnd"/>
            <w:r>
              <w:t xml:space="preserve"> and </w:t>
            </w:r>
            <w:proofErr w:type="spellStart"/>
            <w:r>
              <w:t>ccNSO</w:t>
            </w:r>
            <w:proofErr w:type="spellEnd"/>
            <w:r>
              <w:t xml:space="preserve"> during ICANN meetings)</w:t>
            </w:r>
          </w:p>
        </w:tc>
        <w:tc>
          <w:tcPr>
            <w:tcW w:w="4050" w:type="dxa"/>
          </w:tcPr>
          <w:p w14:paraId="2476DBF3" w14:textId="3DA16CDA" w:rsidR="00C41599" w:rsidRPr="00A04C1B" w:rsidRDefault="00C41599" w:rsidP="00C41599">
            <w:pPr>
              <w:pStyle w:val="ListParagraph"/>
              <w:numPr>
                <w:ilvl w:val="0"/>
                <w:numId w:val="1"/>
              </w:numPr>
              <w:ind w:left="252" w:hanging="252"/>
              <w:rPr>
                <w:b/>
              </w:rPr>
            </w:pPr>
            <w:r>
              <w:t>Drafts and provides updates</w:t>
            </w:r>
          </w:p>
        </w:tc>
        <w:tc>
          <w:tcPr>
            <w:tcW w:w="2162" w:type="dxa"/>
          </w:tcPr>
          <w:p w14:paraId="2B27269E" w14:textId="7DBC300F" w:rsidR="00C41599" w:rsidRPr="009C0A3E" w:rsidRDefault="00C41599">
            <w:r>
              <w:t>CSC Charter</w:t>
            </w:r>
          </w:p>
        </w:tc>
        <w:tc>
          <w:tcPr>
            <w:tcW w:w="2162" w:type="dxa"/>
          </w:tcPr>
          <w:p w14:paraId="242DC27B" w14:textId="2729F108" w:rsidR="00C41599" w:rsidRPr="009C0A3E" w:rsidRDefault="00C41599">
            <w:r>
              <w:t>March 2017 – ICANN58</w:t>
            </w:r>
          </w:p>
        </w:tc>
        <w:tc>
          <w:tcPr>
            <w:tcW w:w="2075" w:type="dxa"/>
          </w:tcPr>
          <w:p w14:paraId="67925305" w14:textId="413EE040" w:rsidR="00C41599" w:rsidRDefault="00C41599">
            <w:r>
              <w:t>No less than 3 times a year</w:t>
            </w:r>
          </w:p>
        </w:tc>
        <w:tc>
          <w:tcPr>
            <w:tcW w:w="2140" w:type="dxa"/>
          </w:tcPr>
          <w:p w14:paraId="7387DCD3" w14:textId="77777777" w:rsidR="00C41599" w:rsidRDefault="00C41599">
            <w:r>
              <w:t>CSC</w:t>
            </w:r>
          </w:p>
        </w:tc>
        <w:tc>
          <w:tcPr>
            <w:tcW w:w="4241" w:type="dxa"/>
          </w:tcPr>
          <w:p w14:paraId="3E2F8E14" w14:textId="5E8F7B92" w:rsidR="00C41599" w:rsidRDefault="00C41599"/>
        </w:tc>
      </w:tr>
      <w:tr w:rsidR="00C41599" w14:paraId="0E3D3D34" w14:textId="77777777" w:rsidTr="00465144">
        <w:tc>
          <w:tcPr>
            <w:tcW w:w="2138" w:type="dxa"/>
            <w:tcBorders>
              <w:bottom w:val="single" w:sz="4" w:space="0" w:color="auto"/>
            </w:tcBorders>
          </w:tcPr>
          <w:p w14:paraId="52755661" w14:textId="544BAC88" w:rsidR="00C41599" w:rsidRDefault="003C19C2" w:rsidP="00936136">
            <w:r>
              <w:t>Updates to O</w:t>
            </w:r>
            <w:r w:rsidR="00C41599">
              <w:t xml:space="preserve">ther </w:t>
            </w:r>
            <w:r w:rsidR="00C41599">
              <w:lastRenderedPageBreak/>
              <w:t>groups</w:t>
            </w:r>
          </w:p>
        </w:tc>
        <w:tc>
          <w:tcPr>
            <w:tcW w:w="4180" w:type="dxa"/>
            <w:tcBorders>
              <w:bottom w:val="single" w:sz="4" w:space="0" w:color="auto"/>
            </w:tcBorders>
          </w:tcPr>
          <w:p w14:paraId="7A7F95C3" w14:textId="77777777" w:rsidR="00C41599" w:rsidRDefault="00C41599" w:rsidP="00936136">
            <w:r>
              <w:lastRenderedPageBreak/>
              <w:t xml:space="preserve">CSC will consider requests from other </w:t>
            </w:r>
            <w:r>
              <w:lastRenderedPageBreak/>
              <w:t>groups for updates regarding PTI’s performance</w:t>
            </w:r>
          </w:p>
        </w:tc>
        <w:tc>
          <w:tcPr>
            <w:tcW w:w="4050" w:type="dxa"/>
            <w:tcBorders>
              <w:bottom w:val="single" w:sz="4" w:space="0" w:color="auto"/>
            </w:tcBorders>
          </w:tcPr>
          <w:p w14:paraId="0CBA9501" w14:textId="74D9B066" w:rsidR="00C41599" w:rsidRPr="00A04C1B" w:rsidRDefault="00C41599" w:rsidP="00C41599">
            <w:pPr>
              <w:pStyle w:val="ListParagraph"/>
              <w:numPr>
                <w:ilvl w:val="0"/>
                <w:numId w:val="1"/>
              </w:numPr>
              <w:ind w:left="252" w:hanging="252"/>
              <w:rPr>
                <w:b/>
              </w:rPr>
            </w:pPr>
            <w:r>
              <w:lastRenderedPageBreak/>
              <w:t>Drafts and provides updates</w:t>
            </w:r>
          </w:p>
        </w:tc>
        <w:tc>
          <w:tcPr>
            <w:tcW w:w="2162" w:type="dxa"/>
            <w:tcBorders>
              <w:bottom w:val="single" w:sz="4" w:space="0" w:color="auto"/>
            </w:tcBorders>
          </w:tcPr>
          <w:p w14:paraId="00F732F9" w14:textId="0F109A20" w:rsidR="00C41599" w:rsidRPr="009C0A3E" w:rsidRDefault="00C41599">
            <w:r>
              <w:t>CSC Charter</w:t>
            </w:r>
          </w:p>
        </w:tc>
        <w:tc>
          <w:tcPr>
            <w:tcW w:w="2162" w:type="dxa"/>
            <w:tcBorders>
              <w:bottom w:val="single" w:sz="4" w:space="0" w:color="auto"/>
            </w:tcBorders>
          </w:tcPr>
          <w:p w14:paraId="04B20A42" w14:textId="0AF5656A" w:rsidR="00C41599" w:rsidRPr="009C0A3E" w:rsidRDefault="00C41599">
            <w:r>
              <w:t>N/A</w:t>
            </w:r>
          </w:p>
        </w:tc>
        <w:tc>
          <w:tcPr>
            <w:tcW w:w="2075" w:type="dxa"/>
            <w:tcBorders>
              <w:bottom w:val="single" w:sz="4" w:space="0" w:color="auto"/>
            </w:tcBorders>
          </w:tcPr>
          <w:p w14:paraId="0BA14178" w14:textId="0A8AAA40" w:rsidR="00C41599" w:rsidRDefault="00C41599">
            <w:r>
              <w:t>As needed</w:t>
            </w:r>
          </w:p>
        </w:tc>
        <w:tc>
          <w:tcPr>
            <w:tcW w:w="2140" w:type="dxa"/>
            <w:tcBorders>
              <w:bottom w:val="single" w:sz="4" w:space="0" w:color="auto"/>
            </w:tcBorders>
          </w:tcPr>
          <w:p w14:paraId="44595429" w14:textId="77777777" w:rsidR="00C41599" w:rsidRDefault="00C41599">
            <w:r>
              <w:t>CSC</w:t>
            </w:r>
          </w:p>
        </w:tc>
        <w:tc>
          <w:tcPr>
            <w:tcW w:w="4241" w:type="dxa"/>
            <w:tcBorders>
              <w:bottom w:val="single" w:sz="4" w:space="0" w:color="auto"/>
            </w:tcBorders>
          </w:tcPr>
          <w:p w14:paraId="31FE923F" w14:textId="41848228" w:rsidR="00C41599" w:rsidRDefault="00C41599"/>
        </w:tc>
      </w:tr>
      <w:tr w:rsidR="003C19C2" w14:paraId="09416A17" w14:textId="77777777" w:rsidTr="00465144">
        <w:tc>
          <w:tcPr>
            <w:tcW w:w="2138" w:type="dxa"/>
          </w:tcPr>
          <w:p w14:paraId="399B5CA8" w14:textId="3B98C17D" w:rsidR="003C19C2" w:rsidRDefault="003C19C2" w:rsidP="00936136">
            <w:r>
              <w:lastRenderedPageBreak/>
              <w:t>Information Sessions at ICANN Meetings</w:t>
            </w:r>
          </w:p>
        </w:tc>
        <w:tc>
          <w:tcPr>
            <w:tcW w:w="4180" w:type="dxa"/>
          </w:tcPr>
          <w:p w14:paraId="183E7E30" w14:textId="51FB953A" w:rsidR="003C19C2" w:rsidRDefault="003C19C2" w:rsidP="00983A34">
            <w:r>
              <w:t>Information sessions at ICANN meetings are to be open, with transcripts and presentations to be made public</w:t>
            </w:r>
          </w:p>
        </w:tc>
        <w:tc>
          <w:tcPr>
            <w:tcW w:w="4050" w:type="dxa"/>
          </w:tcPr>
          <w:p w14:paraId="307BB328" w14:textId="7B0CDD22" w:rsidR="003C19C2" w:rsidRDefault="003C19C2" w:rsidP="00C41599">
            <w:pPr>
              <w:pStyle w:val="ListParagraph"/>
              <w:numPr>
                <w:ilvl w:val="0"/>
                <w:numId w:val="1"/>
              </w:numPr>
              <w:ind w:left="252" w:hanging="252"/>
            </w:pPr>
            <w:r>
              <w:t>Provide updates</w:t>
            </w:r>
          </w:p>
        </w:tc>
        <w:tc>
          <w:tcPr>
            <w:tcW w:w="2162" w:type="dxa"/>
          </w:tcPr>
          <w:p w14:paraId="1494D675" w14:textId="378C5AA9" w:rsidR="003C19C2" w:rsidRDefault="003C19C2">
            <w:r>
              <w:t>CSC Charter</w:t>
            </w:r>
          </w:p>
        </w:tc>
        <w:tc>
          <w:tcPr>
            <w:tcW w:w="2162" w:type="dxa"/>
          </w:tcPr>
          <w:p w14:paraId="2CF40093" w14:textId="568FB112" w:rsidR="003C19C2" w:rsidRDefault="003C19C2">
            <w:r>
              <w:t>March 2017 – ICANN58</w:t>
            </w:r>
          </w:p>
        </w:tc>
        <w:tc>
          <w:tcPr>
            <w:tcW w:w="2075" w:type="dxa"/>
          </w:tcPr>
          <w:p w14:paraId="27C6D87A" w14:textId="6188E810" w:rsidR="003C19C2" w:rsidRDefault="003C19C2">
            <w:r>
              <w:t>3 times a year</w:t>
            </w:r>
          </w:p>
        </w:tc>
        <w:tc>
          <w:tcPr>
            <w:tcW w:w="2140" w:type="dxa"/>
          </w:tcPr>
          <w:p w14:paraId="126B8854" w14:textId="5C3B9690" w:rsidR="003C19C2" w:rsidRDefault="003C19C2">
            <w:r>
              <w:t>CSC</w:t>
            </w:r>
          </w:p>
        </w:tc>
        <w:tc>
          <w:tcPr>
            <w:tcW w:w="4241" w:type="dxa"/>
          </w:tcPr>
          <w:p w14:paraId="4259C759" w14:textId="405B5971" w:rsidR="003C19C2" w:rsidRDefault="003C19C2">
            <w:r>
              <w:t>Our Hyderabad CSC meeting was open.  We should discuss before the Copenhagen ICANN meeting whether a separate ‘information session;’ is required.</w:t>
            </w:r>
          </w:p>
        </w:tc>
      </w:tr>
      <w:tr w:rsidR="00C41599" w14:paraId="63E6029C" w14:textId="77777777" w:rsidTr="00465144">
        <w:tc>
          <w:tcPr>
            <w:tcW w:w="2138" w:type="dxa"/>
          </w:tcPr>
          <w:p w14:paraId="61F1833E" w14:textId="77777777" w:rsidR="00C41599" w:rsidRDefault="00C41599" w:rsidP="00936136">
            <w:r>
              <w:t>Complaint Resolution Process</w:t>
            </w:r>
          </w:p>
        </w:tc>
        <w:tc>
          <w:tcPr>
            <w:tcW w:w="4180" w:type="dxa"/>
          </w:tcPr>
          <w:p w14:paraId="5A33576F" w14:textId="77777777" w:rsidR="00C41599" w:rsidRDefault="00C41599" w:rsidP="00983A34">
            <w:r>
              <w:t>If after efforts by PTI to resolve a complaint, the complainant is still dissatisfied, the complainant may escalate to PTI’s management team, at which time PTI will notify the CSC. The CSC will review the complaint to determine if there is a performance issue.</w:t>
            </w:r>
          </w:p>
          <w:p w14:paraId="7EAE30EF" w14:textId="77777777" w:rsidR="00055141" w:rsidRDefault="00055141" w:rsidP="00983A34"/>
          <w:p w14:paraId="0944D391" w14:textId="7B984B70" w:rsidR="00055141" w:rsidRDefault="00055141" w:rsidP="00983A34">
            <w:r>
              <w:t>The CSC may receive complaints regarding IANA performance, but is not to become involved in individual disputes</w:t>
            </w:r>
          </w:p>
        </w:tc>
        <w:tc>
          <w:tcPr>
            <w:tcW w:w="4050" w:type="dxa"/>
          </w:tcPr>
          <w:p w14:paraId="69F7EE36" w14:textId="3EB2FFA9" w:rsidR="00C41599" w:rsidRDefault="00C41599" w:rsidP="00C41599">
            <w:pPr>
              <w:pStyle w:val="ListParagraph"/>
              <w:numPr>
                <w:ilvl w:val="0"/>
                <w:numId w:val="1"/>
              </w:numPr>
              <w:ind w:left="252" w:hanging="252"/>
            </w:pPr>
            <w:r>
              <w:t>Reviews complaint</w:t>
            </w:r>
          </w:p>
          <w:p w14:paraId="60EAC220" w14:textId="30E5EFE6" w:rsidR="00C41599" w:rsidRDefault="00C41599" w:rsidP="00C41599">
            <w:pPr>
              <w:pStyle w:val="ListParagraph"/>
              <w:numPr>
                <w:ilvl w:val="0"/>
                <w:numId w:val="1"/>
              </w:numPr>
              <w:ind w:left="252" w:hanging="252"/>
            </w:pPr>
            <w:r>
              <w:t>Determines if there is a performance issue</w:t>
            </w:r>
          </w:p>
          <w:p w14:paraId="40A4DABE" w14:textId="2926411C" w:rsidR="00C41599" w:rsidRPr="00A04C1B" w:rsidRDefault="00C41599" w:rsidP="00C41599">
            <w:pPr>
              <w:pStyle w:val="ListParagraph"/>
              <w:numPr>
                <w:ilvl w:val="0"/>
                <w:numId w:val="1"/>
              </w:numPr>
              <w:ind w:left="252" w:hanging="252"/>
              <w:rPr>
                <w:b/>
              </w:rPr>
            </w:pPr>
            <w:r>
              <w:t>Trigger IANA Problem Resolution Process if the determination is that there is a performance issue</w:t>
            </w:r>
          </w:p>
        </w:tc>
        <w:tc>
          <w:tcPr>
            <w:tcW w:w="2162" w:type="dxa"/>
          </w:tcPr>
          <w:p w14:paraId="1C930964" w14:textId="77777777" w:rsidR="00C41599" w:rsidRDefault="00C41599">
            <w:r>
              <w:t>IANA Naming Function Contract – Section 8.1</w:t>
            </w:r>
          </w:p>
          <w:p w14:paraId="4FDC04FD" w14:textId="77777777" w:rsidR="00055141" w:rsidRDefault="00055141"/>
          <w:p w14:paraId="46B83893" w14:textId="77777777" w:rsidR="00055141" w:rsidRDefault="00055141"/>
          <w:p w14:paraId="245F3100" w14:textId="77777777" w:rsidR="00055141" w:rsidRDefault="00055141"/>
          <w:p w14:paraId="72E79F6B" w14:textId="77777777" w:rsidR="00055141" w:rsidRDefault="00055141"/>
          <w:p w14:paraId="3ADBC495" w14:textId="77777777" w:rsidR="00055141" w:rsidRDefault="00055141"/>
          <w:p w14:paraId="1C115396" w14:textId="77777777" w:rsidR="00055141" w:rsidRDefault="00055141"/>
          <w:p w14:paraId="7874DF81" w14:textId="5FC05198" w:rsidR="00055141" w:rsidRPr="00C41599" w:rsidRDefault="00055141">
            <w:r>
              <w:t>CSC Charter</w:t>
            </w:r>
          </w:p>
        </w:tc>
        <w:tc>
          <w:tcPr>
            <w:tcW w:w="2162" w:type="dxa"/>
          </w:tcPr>
          <w:p w14:paraId="62B83685" w14:textId="5CBA61A7" w:rsidR="00C41599" w:rsidRPr="00C41599" w:rsidRDefault="00C41599">
            <w:r>
              <w:t>N/A</w:t>
            </w:r>
          </w:p>
        </w:tc>
        <w:tc>
          <w:tcPr>
            <w:tcW w:w="2075" w:type="dxa"/>
          </w:tcPr>
          <w:p w14:paraId="307526B0" w14:textId="3D403183" w:rsidR="00C41599" w:rsidRDefault="00C41599">
            <w:r>
              <w:t>As needed</w:t>
            </w:r>
          </w:p>
        </w:tc>
        <w:tc>
          <w:tcPr>
            <w:tcW w:w="2140" w:type="dxa"/>
          </w:tcPr>
          <w:p w14:paraId="1959EC95" w14:textId="77777777" w:rsidR="00C41599" w:rsidRDefault="00C41599">
            <w:r>
              <w:t>CSC</w:t>
            </w:r>
          </w:p>
        </w:tc>
        <w:tc>
          <w:tcPr>
            <w:tcW w:w="4241" w:type="dxa"/>
          </w:tcPr>
          <w:p w14:paraId="1AAC6D33" w14:textId="6CD70D83" w:rsidR="00C41599" w:rsidRDefault="00055141">
            <w:r>
              <w:t xml:space="preserve">The Naming Functions Contract (see section 8 </w:t>
            </w:r>
            <w:proofErr w:type="gramStart"/>
            <w:r>
              <w:t>below)envisages</w:t>
            </w:r>
            <w:proofErr w:type="gramEnd"/>
            <w:r>
              <w:t xml:space="preserve"> </w:t>
            </w:r>
            <w:r w:rsidRPr="00151E88">
              <w:rPr>
                <w:i/>
              </w:rPr>
              <w:t>possible</w:t>
            </w:r>
            <w:r>
              <w:t xml:space="preserve"> a role for CSC in complaints resolution.  As a start, </w:t>
            </w:r>
            <w:proofErr w:type="gramStart"/>
            <w:r>
              <w:t>PTI  should</w:t>
            </w:r>
            <w:proofErr w:type="gramEnd"/>
            <w:r>
              <w:t xml:space="preserve"> be requested to provide CSC with an evergreen list of complaints and propose a way of categorizing them to facilitate CSC’s monitoring.  An initial step could be to have Elise G. brief CSC on any outstanding complaints.</w:t>
            </w:r>
          </w:p>
        </w:tc>
      </w:tr>
      <w:tr w:rsidR="00C41599" w14:paraId="121009E2" w14:textId="77777777" w:rsidTr="00465144">
        <w:tc>
          <w:tcPr>
            <w:tcW w:w="2138" w:type="dxa"/>
          </w:tcPr>
          <w:p w14:paraId="17AEB7F8" w14:textId="77777777" w:rsidR="00C41599" w:rsidRDefault="00C41599" w:rsidP="00936136">
            <w:r>
              <w:t>IANA Problem Resolution Process</w:t>
            </w:r>
          </w:p>
        </w:tc>
        <w:tc>
          <w:tcPr>
            <w:tcW w:w="4180" w:type="dxa"/>
          </w:tcPr>
          <w:p w14:paraId="24D45846" w14:textId="77777777" w:rsidR="00C41599" w:rsidRDefault="00C41599" w:rsidP="00983A34">
            <w:r>
              <w:t>To be developed by CSC and PTI</w:t>
            </w:r>
          </w:p>
        </w:tc>
        <w:tc>
          <w:tcPr>
            <w:tcW w:w="4050" w:type="dxa"/>
          </w:tcPr>
          <w:p w14:paraId="2F061C13" w14:textId="3564D8D9" w:rsidR="00C41599" w:rsidRPr="00A04C1B" w:rsidRDefault="00C41599" w:rsidP="00C41599">
            <w:pPr>
              <w:pStyle w:val="ListParagraph"/>
              <w:numPr>
                <w:ilvl w:val="0"/>
                <w:numId w:val="1"/>
              </w:numPr>
              <w:ind w:left="252" w:hanging="252"/>
              <w:rPr>
                <w:b/>
              </w:rPr>
            </w:pPr>
            <w:r>
              <w:t>Work with PTI to define</w:t>
            </w:r>
          </w:p>
          <w:p w14:paraId="38815B2A" w14:textId="225C3A95" w:rsidR="00C41599" w:rsidRPr="00A04C1B" w:rsidRDefault="00C41599" w:rsidP="00C41599">
            <w:pPr>
              <w:rPr>
                <w:b/>
              </w:rPr>
            </w:pPr>
          </w:p>
        </w:tc>
        <w:tc>
          <w:tcPr>
            <w:tcW w:w="2162" w:type="dxa"/>
          </w:tcPr>
          <w:p w14:paraId="7DA05F2A" w14:textId="3AE2B06F" w:rsidR="00C41599" w:rsidRPr="00C41599" w:rsidRDefault="00C41599">
            <w:r>
              <w:t>IANA Naming Function Contract – Section 8.2</w:t>
            </w:r>
          </w:p>
        </w:tc>
        <w:tc>
          <w:tcPr>
            <w:tcW w:w="2162" w:type="dxa"/>
          </w:tcPr>
          <w:p w14:paraId="2253C560" w14:textId="25977109" w:rsidR="00C41599" w:rsidRPr="00C41599" w:rsidRDefault="00C41599">
            <w:r>
              <w:t>N/A</w:t>
            </w:r>
          </w:p>
        </w:tc>
        <w:tc>
          <w:tcPr>
            <w:tcW w:w="2075" w:type="dxa"/>
          </w:tcPr>
          <w:p w14:paraId="014B2B3B" w14:textId="5010748A" w:rsidR="00C41599" w:rsidRDefault="00C41599"/>
        </w:tc>
        <w:tc>
          <w:tcPr>
            <w:tcW w:w="2140" w:type="dxa"/>
          </w:tcPr>
          <w:p w14:paraId="3BC639F2" w14:textId="3DD83086" w:rsidR="00C41599" w:rsidRDefault="00C41599">
            <w:r>
              <w:t>TBD</w:t>
            </w:r>
          </w:p>
        </w:tc>
        <w:tc>
          <w:tcPr>
            <w:tcW w:w="4241" w:type="dxa"/>
          </w:tcPr>
          <w:p w14:paraId="3EA9C5A4" w14:textId="6513E1AC" w:rsidR="00C41599" w:rsidRDefault="00055141">
            <w:proofErr w:type="gramStart"/>
            <w:r>
              <w:t>A set of ‘illustrative procedures’ are</w:t>
            </w:r>
            <w:proofErr w:type="gramEnd"/>
            <w:r>
              <w:t xml:space="preserve"> contained in the charter beginning at line 226.  Also, section 8.1 of the Naming Functions Contract contains a specific ‘Customer Service Complaint Resolution Process’</w:t>
            </w:r>
          </w:p>
        </w:tc>
      </w:tr>
      <w:tr w:rsidR="00516D2D" w14:paraId="2F6969A5" w14:textId="77777777" w:rsidTr="00465144">
        <w:tc>
          <w:tcPr>
            <w:tcW w:w="2138" w:type="dxa"/>
          </w:tcPr>
          <w:p w14:paraId="5E86BE28" w14:textId="2A4914D7" w:rsidR="00516D2D" w:rsidRDefault="00516D2D" w:rsidP="00936136">
            <w:r>
              <w:t>Processing Time for Emergency Change Requests</w:t>
            </w:r>
          </w:p>
        </w:tc>
        <w:tc>
          <w:tcPr>
            <w:tcW w:w="4180" w:type="dxa"/>
          </w:tcPr>
          <w:p w14:paraId="7239E4BD" w14:textId="3BAB9413" w:rsidR="00516D2D" w:rsidRDefault="00516D2D" w:rsidP="00983A34">
            <w:r w:rsidRPr="00516D2D">
              <w:t>Total Contractor transaction time for emergency changes should be completed within a target of 12 hours until reviewed by the CSC with Contractor.</w:t>
            </w:r>
          </w:p>
        </w:tc>
        <w:tc>
          <w:tcPr>
            <w:tcW w:w="4050" w:type="dxa"/>
          </w:tcPr>
          <w:p w14:paraId="33478B19" w14:textId="77777777" w:rsidR="00516D2D" w:rsidRDefault="00516D2D" w:rsidP="00C41599">
            <w:pPr>
              <w:pStyle w:val="ListParagraph"/>
              <w:numPr>
                <w:ilvl w:val="0"/>
                <w:numId w:val="1"/>
              </w:numPr>
              <w:ind w:left="252" w:hanging="252"/>
            </w:pPr>
            <w:r>
              <w:t>Review current processing time for emergency change requests</w:t>
            </w:r>
          </w:p>
          <w:p w14:paraId="32090931" w14:textId="2E0EA760" w:rsidR="00516D2D" w:rsidRDefault="00516D2D" w:rsidP="00C41599">
            <w:pPr>
              <w:pStyle w:val="ListParagraph"/>
              <w:numPr>
                <w:ilvl w:val="0"/>
                <w:numId w:val="1"/>
              </w:numPr>
              <w:ind w:left="252" w:hanging="252"/>
            </w:pPr>
            <w:r>
              <w:t>Determine whether there should be changes</w:t>
            </w:r>
          </w:p>
        </w:tc>
        <w:tc>
          <w:tcPr>
            <w:tcW w:w="2162" w:type="dxa"/>
          </w:tcPr>
          <w:p w14:paraId="1FB2713F" w14:textId="24F7055F" w:rsidR="00516D2D" w:rsidRDefault="00516D2D">
            <w:r>
              <w:t>IANA Naming Function Contract – Annex A.2.c</w:t>
            </w:r>
          </w:p>
        </w:tc>
        <w:tc>
          <w:tcPr>
            <w:tcW w:w="2162" w:type="dxa"/>
          </w:tcPr>
          <w:p w14:paraId="1BAF4C90" w14:textId="3395CF00" w:rsidR="00516D2D" w:rsidRDefault="00516D2D">
            <w:r>
              <w:t>N/A</w:t>
            </w:r>
          </w:p>
        </w:tc>
        <w:tc>
          <w:tcPr>
            <w:tcW w:w="2075" w:type="dxa"/>
          </w:tcPr>
          <w:p w14:paraId="2F18FF83" w14:textId="15330367" w:rsidR="00516D2D" w:rsidRDefault="00516D2D">
            <w:r>
              <w:t>As needed</w:t>
            </w:r>
          </w:p>
        </w:tc>
        <w:tc>
          <w:tcPr>
            <w:tcW w:w="2140" w:type="dxa"/>
          </w:tcPr>
          <w:p w14:paraId="6D0F1E34" w14:textId="61163612" w:rsidR="00516D2D" w:rsidRDefault="00516D2D">
            <w:r>
              <w:t>CSC</w:t>
            </w:r>
          </w:p>
        </w:tc>
        <w:tc>
          <w:tcPr>
            <w:tcW w:w="4241" w:type="dxa"/>
          </w:tcPr>
          <w:p w14:paraId="78069405" w14:textId="77777777" w:rsidR="00516D2D" w:rsidRDefault="00516D2D"/>
        </w:tc>
      </w:tr>
      <w:tr w:rsidR="00516D2D" w14:paraId="12C212C5" w14:textId="77777777" w:rsidTr="00465144">
        <w:tc>
          <w:tcPr>
            <w:tcW w:w="2138" w:type="dxa"/>
          </w:tcPr>
          <w:p w14:paraId="0925D540" w14:textId="605B1EA2" w:rsidR="00516D2D" w:rsidRDefault="00516D2D" w:rsidP="00936136">
            <w:r>
              <w:t>PTI Monthly Performance Progress Report</w:t>
            </w:r>
          </w:p>
        </w:tc>
        <w:tc>
          <w:tcPr>
            <w:tcW w:w="4180" w:type="dxa"/>
          </w:tcPr>
          <w:p w14:paraId="0B72AD74" w14:textId="3696B171" w:rsidR="00516D2D" w:rsidRPr="00516D2D" w:rsidRDefault="00516D2D" w:rsidP="00983A34">
            <w:r>
              <w:t>CSC has to agree with PTI on the m</w:t>
            </w:r>
            <w:r w:rsidRPr="00EE4A21">
              <w:t xml:space="preserve">onthly </w:t>
            </w:r>
            <w:r>
              <w:t>performance progress reports</w:t>
            </w:r>
          </w:p>
        </w:tc>
        <w:tc>
          <w:tcPr>
            <w:tcW w:w="4050" w:type="dxa"/>
          </w:tcPr>
          <w:p w14:paraId="4974ED44" w14:textId="4E22058E" w:rsidR="00516D2D" w:rsidRDefault="00516D2D" w:rsidP="00C41599">
            <w:pPr>
              <w:pStyle w:val="ListParagraph"/>
              <w:numPr>
                <w:ilvl w:val="0"/>
                <w:numId w:val="1"/>
              </w:numPr>
              <w:ind w:left="252" w:hanging="252"/>
            </w:pPr>
            <w:r>
              <w:t>Work with PTI on mutually agreeable monthly PTI performance reports</w:t>
            </w:r>
          </w:p>
        </w:tc>
        <w:tc>
          <w:tcPr>
            <w:tcW w:w="2162" w:type="dxa"/>
          </w:tcPr>
          <w:p w14:paraId="25BF3766" w14:textId="522413DF" w:rsidR="00516D2D" w:rsidRDefault="00516D2D">
            <w:r>
              <w:t>IANA Naming Function Contract – Annex A.3.b</w:t>
            </w:r>
          </w:p>
        </w:tc>
        <w:tc>
          <w:tcPr>
            <w:tcW w:w="2162" w:type="dxa"/>
          </w:tcPr>
          <w:p w14:paraId="33BD1AE6" w14:textId="4D1B38E3" w:rsidR="00516D2D" w:rsidRDefault="00516D2D">
            <w:r>
              <w:t>October 2016</w:t>
            </w:r>
          </w:p>
        </w:tc>
        <w:tc>
          <w:tcPr>
            <w:tcW w:w="2075" w:type="dxa"/>
          </w:tcPr>
          <w:p w14:paraId="78BDB108" w14:textId="6F780B68" w:rsidR="00516D2D" w:rsidRDefault="00516D2D">
            <w:r>
              <w:t>As needed</w:t>
            </w:r>
          </w:p>
        </w:tc>
        <w:tc>
          <w:tcPr>
            <w:tcW w:w="2140" w:type="dxa"/>
          </w:tcPr>
          <w:p w14:paraId="203D8B0D" w14:textId="6B5A94E8" w:rsidR="00516D2D" w:rsidRDefault="00516D2D">
            <w:r>
              <w:t>CSC/PTI</w:t>
            </w:r>
          </w:p>
        </w:tc>
        <w:tc>
          <w:tcPr>
            <w:tcW w:w="4241" w:type="dxa"/>
          </w:tcPr>
          <w:p w14:paraId="740C3109" w14:textId="284E67F9" w:rsidR="00516D2D" w:rsidRDefault="00516D2D">
            <w:r>
              <w:t>Well underway</w:t>
            </w:r>
          </w:p>
        </w:tc>
      </w:tr>
      <w:tr w:rsidR="00516D2D" w14:paraId="3E40F91A" w14:textId="77777777" w:rsidTr="00465144">
        <w:tc>
          <w:tcPr>
            <w:tcW w:w="2138" w:type="dxa"/>
          </w:tcPr>
          <w:p w14:paraId="58836D90" w14:textId="5DA12E24" w:rsidR="00516D2D" w:rsidRDefault="00516D2D" w:rsidP="00936136">
            <w:r>
              <w:t>Dashboard Reports</w:t>
            </w:r>
          </w:p>
        </w:tc>
        <w:tc>
          <w:tcPr>
            <w:tcW w:w="4180" w:type="dxa"/>
          </w:tcPr>
          <w:p w14:paraId="450F0A26" w14:textId="10E59867" w:rsidR="00516D2D" w:rsidRDefault="00516D2D" w:rsidP="00983A34">
            <w:r>
              <w:t>The contract specifies that PTI ‘</w:t>
            </w:r>
            <w:r w:rsidRPr="00EE4A21">
              <w:t>shall work collaboratively with ICANN and its customers to produce the dashboard to report Service Level Expectations for Root Zone Management, which will be used for real-time reporting of Contractor’s performance.</w:t>
            </w:r>
            <w:r>
              <w:t>’</w:t>
            </w:r>
          </w:p>
        </w:tc>
        <w:tc>
          <w:tcPr>
            <w:tcW w:w="4050" w:type="dxa"/>
          </w:tcPr>
          <w:p w14:paraId="6D052FAA" w14:textId="186B51A7" w:rsidR="00516D2D" w:rsidRDefault="00E0185F" w:rsidP="00C41599">
            <w:pPr>
              <w:pStyle w:val="ListParagraph"/>
              <w:numPr>
                <w:ilvl w:val="0"/>
                <w:numId w:val="1"/>
              </w:numPr>
              <w:ind w:left="252" w:hanging="252"/>
            </w:pPr>
            <w:r>
              <w:t>Review and provide feedback</w:t>
            </w:r>
          </w:p>
        </w:tc>
        <w:tc>
          <w:tcPr>
            <w:tcW w:w="2162" w:type="dxa"/>
          </w:tcPr>
          <w:p w14:paraId="7B02811E" w14:textId="29BCC66E" w:rsidR="00516D2D" w:rsidRDefault="00E0185F">
            <w:r>
              <w:t>IANA Naming Function Contract – Annex A.3.c</w:t>
            </w:r>
          </w:p>
        </w:tc>
        <w:tc>
          <w:tcPr>
            <w:tcW w:w="2162" w:type="dxa"/>
          </w:tcPr>
          <w:p w14:paraId="2A205F8D" w14:textId="15B44EBE" w:rsidR="00516D2D" w:rsidRDefault="00E0185F">
            <w:r>
              <w:t>Not Specified</w:t>
            </w:r>
          </w:p>
        </w:tc>
        <w:tc>
          <w:tcPr>
            <w:tcW w:w="2075" w:type="dxa"/>
          </w:tcPr>
          <w:p w14:paraId="36FE5D3E" w14:textId="1AD8DAA5" w:rsidR="00516D2D" w:rsidRDefault="00E0185F">
            <w:r>
              <w:t>Not Specified</w:t>
            </w:r>
          </w:p>
        </w:tc>
        <w:tc>
          <w:tcPr>
            <w:tcW w:w="2140" w:type="dxa"/>
          </w:tcPr>
          <w:p w14:paraId="574BF621" w14:textId="122928EA" w:rsidR="00516D2D" w:rsidRDefault="00E0185F">
            <w:r>
              <w:t>PTI</w:t>
            </w:r>
          </w:p>
        </w:tc>
        <w:tc>
          <w:tcPr>
            <w:tcW w:w="4241" w:type="dxa"/>
          </w:tcPr>
          <w:p w14:paraId="182E2B54" w14:textId="45C94CA7" w:rsidR="00516D2D" w:rsidRDefault="00E0185F">
            <w:r>
              <w:t>Done, I believe.  Are we satisfied with it?</w:t>
            </w:r>
          </w:p>
        </w:tc>
      </w:tr>
      <w:tr w:rsidR="00E0185F" w14:paraId="51DCAA7F" w14:textId="77777777" w:rsidTr="00465144">
        <w:tc>
          <w:tcPr>
            <w:tcW w:w="2138" w:type="dxa"/>
          </w:tcPr>
          <w:p w14:paraId="63B632FF" w14:textId="6AD9D488" w:rsidR="00E0185F" w:rsidRDefault="00E0185F" w:rsidP="00936136">
            <w:r>
              <w:t>Performance Standards Reports</w:t>
            </w:r>
          </w:p>
        </w:tc>
        <w:tc>
          <w:tcPr>
            <w:tcW w:w="4180" w:type="dxa"/>
          </w:tcPr>
          <w:p w14:paraId="5FCF4903" w14:textId="0E8F063A" w:rsidR="00E0185F" w:rsidRDefault="00E0185F" w:rsidP="00983A34">
            <w:r w:rsidRPr="00E0185F">
              <w:t>PTI shall develop and publish performance standard metric reports for the IANA Naming Function in consultation with the CSC. The performance standards metric reports will be published via a website every month (no later than 15 calendar days following the end of each month).</w:t>
            </w:r>
          </w:p>
        </w:tc>
        <w:tc>
          <w:tcPr>
            <w:tcW w:w="4050" w:type="dxa"/>
          </w:tcPr>
          <w:p w14:paraId="2E30D2E8" w14:textId="1F33AE21" w:rsidR="00E0185F" w:rsidRDefault="00E0185F" w:rsidP="00C41599">
            <w:pPr>
              <w:pStyle w:val="ListParagraph"/>
              <w:numPr>
                <w:ilvl w:val="0"/>
                <w:numId w:val="1"/>
              </w:numPr>
              <w:ind w:left="252" w:hanging="252"/>
            </w:pPr>
            <w:r>
              <w:t>Review and provide feedback on PTI performance standards reports</w:t>
            </w:r>
          </w:p>
        </w:tc>
        <w:tc>
          <w:tcPr>
            <w:tcW w:w="2162" w:type="dxa"/>
          </w:tcPr>
          <w:p w14:paraId="2217C774" w14:textId="1431E1F6" w:rsidR="00E0185F" w:rsidRDefault="00E0185F">
            <w:r>
              <w:t>IANA Naming Function Contract – Annex A.3.d</w:t>
            </w:r>
          </w:p>
        </w:tc>
        <w:tc>
          <w:tcPr>
            <w:tcW w:w="2162" w:type="dxa"/>
          </w:tcPr>
          <w:p w14:paraId="054B7753" w14:textId="413D845F" w:rsidR="00E0185F" w:rsidRDefault="00E0185F">
            <w:r>
              <w:t>Not Specified</w:t>
            </w:r>
          </w:p>
        </w:tc>
        <w:tc>
          <w:tcPr>
            <w:tcW w:w="2075" w:type="dxa"/>
          </w:tcPr>
          <w:p w14:paraId="3B2D57E3" w14:textId="0C489D53" w:rsidR="00E0185F" w:rsidRDefault="00E0185F">
            <w:r>
              <w:t>Not Specified</w:t>
            </w:r>
          </w:p>
        </w:tc>
        <w:tc>
          <w:tcPr>
            <w:tcW w:w="2140" w:type="dxa"/>
          </w:tcPr>
          <w:p w14:paraId="559163CC" w14:textId="58C8212A" w:rsidR="00E0185F" w:rsidRDefault="00E0185F">
            <w:r>
              <w:t>PTI</w:t>
            </w:r>
          </w:p>
        </w:tc>
        <w:tc>
          <w:tcPr>
            <w:tcW w:w="4241" w:type="dxa"/>
          </w:tcPr>
          <w:p w14:paraId="45AE7C20" w14:textId="6871EDEF" w:rsidR="00E0185F" w:rsidRDefault="00E0185F">
            <w:r>
              <w:t xml:space="preserve">We will need to work out how any review of the SLE’s get done, given that the first IFRT is to begin in the fall of 2107.  Should the CSC do this anyway, or should it be folded in with the IFRT?  </w:t>
            </w:r>
          </w:p>
        </w:tc>
      </w:tr>
      <w:tr w:rsidR="001057AD" w14:paraId="1CD1D13F" w14:textId="77777777" w:rsidTr="00465144">
        <w:tc>
          <w:tcPr>
            <w:tcW w:w="2138" w:type="dxa"/>
          </w:tcPr>
          <w:p w14:paraId="40BF3A93" w14:textId="38552751" w:rsidR="001057AD" w:rsidRDefault="001057AD" w:rsidP="00936136">
            <w:r>
              <w:t>PTI Customer Survey</w:t>
            </w:r>
          </w:p>
        </w:tc>
        <w:tc>
          <w:tcPr>
            <w:tcW w:w="4180" w:type="dxa"/>
          </w:tcPr>
          <w:p w14:paraId="0336EBC1" w14:textId="7FFA65BC" w:rsidR="001057AD" w:rsidRPr="00E0185F" w:rsidRDefault="001057AD" w:rsidP="00983A34">
            <w:r>
              <w:t xml:space="preserve">PTI </w:t>
            </w:r>
            <w:r w:rsidRPr="001057AD">
              <w:t>shall collaborate with the CSC and ICANN to maintain and enhance the annual customer service survey consistent with the performance standards for Root Zone Management. The survey shall, at a minimum, include a feedback section for the IANA Naming Function.</w:t>
            </w:r>
          </w:p>
        </w:tc>
        <w:tc>
          <w:tcPr>
            <w:tcW w:w="4050" w:type="dxa"/>
          </w:tcPr>
          <w:p w14:paraId="6CFEF020" w14:textId="441DE7B1" w:rsidR="001057AD" w:rsidRDefault="001057AD" w:rsidP="00C41599">
            <w:pPr>
              <w:pStyle w:val="ListParagraph"/>
              <w:numPr>
                <w:ilvl w:val="0"/>
                <w:numId w:val="1"/>
              </w:numPr>
              <w:ind w:left="252" w:hanging="252"/>
            </w:pPr>
            <w:r>
              <w:t>Provide feedback to PTI on customer survey</w:t>
            </w:r>
          </w:p>
        </w:tc>
        <w:tc>
          <w:tcPr>
            <w:tcW w:w="2162" w:type="dxa"/>
          </w:tcPr>
          <w:p w14:paraId="0B4EF17E" w14:textId="65A06726" w:rsidR="001057AD" w:rsidRDefault="001057AD">
            <w:r>
              <w:t>IANA Naming Function Contract – Annex A</w:t>
            </w:r>
            <w:bookmarkStart w:id="0" w:name="_GoBack"/>
            <w:bookmarkEnd w:id="0"/>
            <w:r>
              <w:t>.3.</w:t>
            </w:r>
            <w:r>
              <w:t>e</w:t>
            </w:r>
          </w:p>
        </w:tc>
        <w:tc>
          <w:tcPr>
            <w:tcW w:w="2162" w:type="dxa"/>
          </w:tcPr>
          <w:p w14:paraId="6E932E89" w14:textId="1163736C" w:rsidR="001057AD" w:rsidRDefault="001057AD">
            <w:r>
              <w:t>?????</w:t>
            </w:r>
          </w:p>
        </w:tc>
        <w:tc>
          <w:tcPr>
            <w:tcW w:w="2075" w:type="dxa"/>
          </w:tcPr>
          <w:p w14:paraId="1F6D2DB7" w14:textId="2146B9A6" w:rsidR="001057AD" w:rsidRDefault="001057AD">
            <w:r>
              <w:t>Annually</w:t>
            </w:r>
          </w:p>
        </w:tc>
        <w:tc>
          <w:tcPr>
            <w:tcW w:w="2140" w:type="dxa"/>
          </w:tcPr>
          <w:p w14:paraId="3A7F8758" w14:textId="314CE328" w:rsidR="001057AD" w:rsidRDefault="001057AD">
            <w:r>
              <w:t>PTI</w:t>
            </w:r>
          </w:p>
        </w:tc>
        <w:tc>
          <w:tcPr>
            <w:tcW w:w="4241" w:type="dxa"/>
          </w:tcPr>
          <w:p w14:paraId="497807D8" w14:textId="35A0D35A" w:rsidR="001057AD" w:rsidRDefault="001057AD">
            <w:r>
              <w:t xml:space="preserve">I understand that PTI has already begun its annual customer survey process.  How should CSC get involved in this?  We could start by asking Elise to bring us up to date on where she is on this.  </w:t>
            </w:r>
          </w:p>
        </w:tc>
      </w:tr>
      <w:tr w:rsidR="001057AD" w14:paraId="644F33FC" w14:textId="77777777" w:rsidTr="00465144">
        <w:tc>
          <w:tcPr>
            <w:tcW w:w="2138" w:type="dxa"/>
          </w:tcPr>
          <w:p w14:paraId="2E1D38F1" w14:textId="4D8A2FC6" w:rsidR="001057AD" w:rsidRDefault="001057AD" w:rsidP="00936136">
            <w:r>
              <w:t>Final Report</w:t>
            </w:r>
          </w:p>
        </w:tc>
        <w:tc>
          <w:tcPr>
            <w:tcW w:w="4180" w:type="dxa"/>
          </w:tcPr>
          <w:p w14:paraId="321E389D" w14:textId="2204BB4B" w:rsidR="001057AD" w:rsidRDefault="001057AD" w:rsidP="001057AD">
            <w:r>
              <w:t>PTI</w:t>
            </w:r>
            <w:r w:rsidRPr="001057AD">
              <w:t xml:space="preserve"> shall prepare and submit a final report on the performance of the IANA Naming Function to the CSC and ICANN no later than 30 days after the expiration or termination of the Contract</w:t>
            </w:r>
            <w:r>
              <w:t>.</w:t>
            </w:r>
          </w:p>
        </w:tc>
        <w:tc>
          <w:tcPr>
            <w:tcW w:w="4050" w:type="dxa"/>
          </w:tcPr>
          <w:p w14:paraId="4C6EA851" w14:textId="2A91FE72" w:rsidR="001057AD" w:rsidRDefault="001057AD" w:rsidP="00C41599">
            <w:pPr>
              <w:pStyle w:val="ListParagraph"/>
              <w:numPr>
                <w:ilvl w:val="0"/>
                <w:numId w:val="1"/>
              </w:numPr>
              <w:ind w:left="252" w:hanging="252"/>
            </w:pPr>
            <w:r>
              <w:t>Review report</w:t>
            </w:r>
          </w:p>
        </w:tc>
        <w:tc>
          <w:tcPr>
            <w:tcW w:w="2162" w:type="dxa"/>
          </w:tcPr>
          <w:p w14:paraId="4C3BF7A1" w14:textId="633916FD" w:rsidR="001057AD" w:rsidRDefault="001057AD">
            <w:r>
              <w:t>IANA Naming Function Contract – Annex A.3.</w:t>
            </w:r>
            <w:r>
              <w:t>f</w:t>
            </w:r>
          </w:p>
        </w:tc>
        <w:tc>
          <w:tcPr>
            <w:tcW w:w="2162" w:type="dxa"/>
          </w:tcPr>
          <w:p w14:paraId="3397AAEA" w14:textId="2033D083" w:rsidR="001057AD" w:rsidRDefault="001057AD">
            <w:r>
              <w:t>N/A</w:t>
            </w:r>
          </w:p>
        </w:tc>
        <w:tc>
          <w:tcPr>
            <w:tcW w:w="2075" w:type="dxa"/>
          </w:tcPr>
          <w:p w14:paraId="5C849B2A" w14:textId="7ED2FAF1" w:rsidR="001057AD" w:rsidRDefault="001057AD">
            <w:r>
              <w:t>N/A</w:t>
            </w:r>
          </w:p>
        </w:tc>
        <w:tc>
          <w:tcPr>
            <w:tcW w:w="2140" w:type="dxa"/>
          </w:tcPr>
          <w:p w14:paraId="66417106" w14:textId="7EF1E915" w:rsidR="001057AD" w:rsidRDefault="001057AD">
            <w:r>
              <w:t>PTI</w:t>
            </w:r>
          </w:p>
        </w:tc>
        <w:tc>
          <w:tcPr>
            <w:tcW w:w="4241" w:type="dxa"/>
          </w:tcPr>
          <w:p w14:paraId="7799DA0E" w14:textId="2187BC72" w:rsidR="001057AD" w:rsidRDefault="001057AD">
            <w:r>
              <w:t>No work needed for this item at this time.</w:t>
            </w:r>
          </w:p>
        </w:tc>
      </w:tr>
      <w:tr w:rsidR="005A10D0" w14:paraId="2B706180" w14:textId="77777777" w:rsidTr="005A10D0">
        <w:tc>
          <w:tcPr>
            <w:tcW w:w="23148" w:type="dxa"/>
            <w:gridSpan w:val="8"/>
            <w:shd w:val="clear" w:color="auto" w:fill="B3B3B3"/>
          </w:tcPr>
          <w:p w14:paraId="1412AC80" w14:textId="5AB00723" w:rsidR="005A10D0" w:rsidRPr="005F6745" w:rsidRDefault="005A10D0">
            <w:pPr>
              <w:rPr>
                <w:highlight w:val="yellow"/>
              </w:rPr>
            </w:pPr>
            <w:r w:rsidRPr="007A146F">
              <w:rPr>
                <w:b/>
              </w:rPr>
              <w:t>Root Zone Evolution Review Committee (RZERC)</w:t>
            </w:r>
          </w:p>
        </w:tc>
      </w:tr>
      <w:tr w:rsidR="00C41599" w14:paraId="262305A8" w14:textId="77777777" w:rsidTr="00465144">
        <w:tc>
          <w:tcPr>
            <w:tcW w:w="2138" w:type="dxa"/>
          </w:tcPr>
          <w:p w14:paraId="17BC2CD4" w14:textId="33352679" w:rsidR="00C41599" w:rsidRPr="007A146F" w:rsidRDefault="00C41599" w:rsidP="008B2CB6">
            <w:pPr>
              <w:rPr>
                <w:b/>
              </w:rPr>
            </w:pPr>
            <w:r>
              <w:t xml:space="preserve">RZERC considers issues with potential impact </w:t>
            </w:r>
            <w:r w:rsidR="008B2CB6">
              <w:t>to the architecture</w:t>
            </w:r>
            <w:r>
              <w:t xml:space="preserve"> </w:t>
            </w:r>
            <w:r w:rsidR="008B2CB6">
              <w:t xml:space="preserve">of the </w:t>
            </w:r>
            <w:r>
              <w:t xml:space="preserve">root zone </w:t>
            </w:r>
          </w:p>
        </w:tc>
        <w:tc>
          <w:tcPr>
            <w:tcW w:w="4180" w:type="dxa"/>
          </w:tcPr>
          <w:p w14:paraId="21BF5275" w14:textId="77777777" w:rsidR="00C41599" w:rsidRDefault="00C41599" w:rsidP="00442508">
            <w:r>
              <w:t>CSC can bring issues to RZERC’s attention</w:t>
            </w:r>
          </w:p>
          <w:p w14:paraId="43CB0E99" w14:textId="77777777" w:rsidR="00C41599" w:rsidRDefault="00C41599" w:rsidP="00442508"/>
          <w:p w14:paraId="2910705F" w14:textId="5FFBD0FB" w:rsidR="00C41599" w:rsidRPr="005F6745" w:rsidRDefault="00C41599" w:rsidP="00983A34">
            <w:pPr>
              <w:rPr>
                <w:highlight w:val="yellow"/>
              </w:rPr>
            </w:pPr>
            <w:r>
              <w:t>RZERC will ensure appropriate communications with the CSC on relevant issues that it considers</w:t>
            </w:r>
          </w:p>
        </w:tc>
        <w:tc>
          <w:tcPr>
            <w:tcW w:w="4050" w:type="dxa"/>
          </w:tcPr>
          <w:p w14:paraId="77E2E04E" w14:textId="5E0FD37D" w:rsidR="005A10D0" w:rsidRDefault="005A10D0" w:rsidP="005A10D0">
            <w:pPr>
              <w:pStyle w:val="ListParagraph"/>
              <w:numPr>
                <w:ilvl w:val="0"/>
                <w:numId w:val="1"/>
              </w:numPr>
              <w:ind w:left="252" w:hanging="252"/>
            </w:pPr>
            <w:r>
              <w:t>Considers issues brought to its attention by RZERC</w:t>
            </w:r>
          </w:p>
          <w:p w14:paraId="76B3BE8E" w14:textId="36EB525B" w:rsidR="00C41599" w:rsidRPr="005A10D0" w:rsidRDefault="00311F6D" w:rsidP="00311F6D">
            <w:pPr>
              <w:pStyle w:val="ListParagraph"/>
              <w:numPr>
                <w:ilvl w:val="0"/>
                <w:numId w:val="1"/>
              </w:numPr>
              <w:ind w:left="252" w:hanging="252"/>
            </w:pPr>
            <w:r>
              <w:t>Bring issues potentially impacting architecture of the root zone to RZERC attention</w:t>
            </w:r>
          </w:p>
        </w:tc>
        <w:tc>
          <w:tcPr>
            <w:tcW w:w="2162" w:type="dxa"/>
          </w:tcPr>
          <w:p w14:paraId="68A249D1" w14:textId="2E38E6D3" w:rsidR="00C41599" w:rsidRPr="005A10D0" w:rsidRDefault="005A10D0">
            <w:pPr>
              <w:rPr>
                <w:highlight w:val="yellow"/>
              </w:rPr>
            </w:pPr>
            <w:r w:rsidRPr="005A10D0">
              <w:t>CSC Charter</w:t>
            </w:r>
          </w:p>
        </w:tc>
        <w:tc>
          <w:tcPr>
            <w:tcW w:w="2162" w:type="dxa"/>
          </w:tcPr>
          <w:p w14:paraId="34F6B70F" w14:textId="416080C5" w:rsidR="00C41599" w:rsidRPr="005A10D0" w:rsidRDefault="005A10D0">
            <w:pPr>
              <w:rPr>
                <w:highlight w:val="yellow"/>
              </w:rPr>
            </w:pPr>
            <w:r w:rsidRPr="005A10D0">
              <w:t>N/A</w:t>
            </w:r>
          </w:p>
        </w:tc>
        <w:tc>
          <w:tcPr>
            <w:tcW w:w="2075" w:type="dxa"/>
          </w:tcPr>
          <w:p w14:paraId="77D99602" w14:textId="586BF9F1" w:rsidR="00C41599" w:rsidRPr="005F6745" w:rsidRDefault="005A10D0">
            <w:pPr>
              <w:rPr>
                <w:highlight w:val="yellow"/>
              </w:rPr>
            </w:pPr>
            <w:r>
              <w:t>As needed</w:t>
            </w:r>
          </w:p>
        </w:tc>
        <w:tc>
          <w:tcPr>
            <w:tcW w:w="2140" w:type="dxa"/>
          </w:tcPr>
          <w:p w14:paraId="715CC994" w14:textId="4A769C64" w:rsidR="00C41599" w:rsidRPr="005F6745" w:rsidRDefault="005A10D0">
            <w:pPr>
              <w:rPr>
                <w:highlight w:val="yellow"/>
              </w:rPr>
            </w:pPr>
            <w:r>
              <w:t>RZERC, CSC</w:t>
            </w:r>
          </w:p>
        </w:tc>
        <w:tc>
          <w:tcPr>
            <w:tcW w:w="4241" w:type="dxa"/>
          </w:tcPr>
          <w:p w14:paraId="0FAE208A" w14:textId="77777777" w:rsidR="00C41599" w:rsidRPr="005F6745" w:rsidRDefault="00C41599">
            <w:pPr>
              <w:rPr>
                <w:highlight w:val="yellow"/>
              </w:rPr>
            </w:pPr>
          </w:p>
        </w:tc>
      </w:tr>
      <w:tr w:rsidR="0017087B" w14:paraId="082731D1" w14:textId="77777777" w:rsidTr="0017087B">
        <w:tc>
          <w:tcPr>
            <w:tcW w:w="23148" w:type="dxa"/>
            <w:gridSpan w:val="8"/>
            <w:shd w:val="clear" w:color="auto" w:fill="B3B3B3"/>
          </w:tcPr>
          <w:p w14:paraId="34A3BA19" w14:textId="7369882F" w:rsidR="0017087B" w:rsidRPr="0017087B" w:rsidRDefault="0017087B">
            <w:pPr>
              <w:rPr>
                <w:b/>
                <w:highlight w:val="yellow"/>
              </w:rPr>
            </w:pPr>
            <w:r w:rsidRPr="0017087B">
              <w:rPr>
                <w:b/>
              </w:rPr>
              <w:t>CSC Operations</w:t>
            </w:r>
          </w:p>
        </w:tc>
      </w:tr>
      <w:tr w:rsidR="0017087B" w14:paraId="1EB8B769" w14:textId="77777777" w:rsidTr="00465144">
        <w:tc>
          <w:tcPr>
            <w:tcW w:w="2138" w:type="dxa"/>
          </w:tcPr>
          <w:p w14:paraId="62DBE5A5" w14:textId="2C0FC832" w:rsidR="0017087B" w:rsidRDefault="00055141" w:rsidP="00936136">
            <w:r>
              <w:t>Terms of CSC members and liaisons</w:t>
            </w:r>
          </w:p>
        </w:tc>
        <w:tc>
          <w:tcPr>
            <w:tcW w:w="4180" w:type="dxa"/>
          </w:tcPr>
          <w:p w14:paraId="2905E633" w14:textId="2EBA3A61" w:rsidR="0017087B" w:rsidRDefault="00055141" w:rsidP="00442508">
            <w:r>
              <w:t>Terms of all CSC members and liaisons is to be two years, but ‘at least half’ of the inaugural appointees are to be for three years; subsequent terms are to be for two years</w:t>
            </w:r>
          </w:p>
        </w:tc>
        <w:tc>
          <w:tcPr>
            <w:tcW w:w="4050" w:type="dxa"/>
          </w:tcPr>
          <w:p w14:paraId="625D04A6" w14:textId="395E5CCD" w:rsidR="0017087B" w:rsidRDefault="00055141" w:rsidP="005A10D0">
            <w:pPr>
              <w:pStyle w:val="ListParagraph"/>
              <w:numPr>
                <w:ilvl w:val="0"/>
                <w:numId w:val="1"/>
              </w:numPr>
              <w:ind w:left="252" w:hanging="252"/>
            </w:pPr>
            <w:r>
              <w:t>Decide who will serve inaugural 3-year terms</w:t>
            </w:r>
          </w:p>
        </w:tc>
        <w:tc>
          <w:tcPr>
            <w:tcW w:w="2162" w:type="dxa"/>
          </w:tcPr>
          <w:p w14:paraId="25883125" w14:textId="741AFBD6" w:rsidR="0017087B" w:rsidRPr="005A10D0" w:rsidRDefault="00055141">
            <w:r>
              <w:t>CSC Charter</w:t>
            </w:r>
          </w:p>
        </w:tc>
        <w:tc>
          <w:tcPr>
            <w:tcW w:w="2162" w:type="dxa"/>
          </w:tcPr>
          <w:p w14:paraId="74D20DF0" w14:textId="4A3C3900" w:rsidR="0017087B" w:rsidRPr="005A10D0" w:rsidRDefault="00055141">
            <w:r>
              <w:t>October 2018</w:t>
            </w:r>
          </w:p>
        </w:tc>
        <w:tc>
          <w:tcPr>
            <w:tcW w:w="2075" w:type="dxa"/>
          </w:tcPr>
          <w:p w14:paraId="396DA48D" w14:textId="0363A360" w:rsidR="0017087B" w:rsidRDefault="00055141">
            <w:r>
              <w:t>N/A</w:t>
            </w:r>
          </w:p>
        </w:tc>
        <w:tc>
          <w:tcPr>
            <w:tcW w:w="2140" w:type="dxa"/>
          </w:tcPr>
          <w:p w14:paraId="3E4E9282" w14:textId="207F3C58" w:rsidR="0017087B" w:rsidRDefault="00055141">
            <w:r>
              <w:t>CSC</w:t>
            </w:r>
          </w:p>
        </w:tc>
        <w:tc>
          <w:tcPr>
            <w:tcW w:w="4241" w:type="dxa"/>
          </w:tcPr>
          <w:p w14:paraId="67576489" w14:textId="2A835591" w:rsidR="00055141" w:rsidRPr="005F6745" w:rsidRDefault="00055141">
            <w:pPr>
              <w:rPr>
                <w:highlight w:val="yellow"/>
              </w:rPr>
            </w:pPr>
            <w:r w:rsidRPr="00055141">
              <w:t xml:space="preserve">Inaugural 3-year terms for members established. </w:t>
            </w:r>
            <w:proofErr w:type="gramStart"/>
            <w:r w:rsidRPr="00055141">
              <w:t>Same</w:t>
            </w:r>
            <w:proofErr w:type="gramEnd"/>
            <w:r w:rsidRPr="00055141">
              <w:t xml:space="preserve"> needs to be done for liaisons.</w:t>
            </w:r>
          </w:p>
        </w:tc>
      </w:tr>
      <w:tr w:rsidR="004736AB" w14:paraId="67984C8B" w14:textId="77777777" w:rsidTr="00465144">
        <w:tc>
          <w:tcPr>
            <w:tcW w:w="2138" w:type="dxa"/>
          </w:tcPr>
          <w:p w14:paraId="7ED840D4" w14:textId="58BD544D" w:rsidR="004736AB" w:rsidRDefault="004736AB" w:rsidP="00936136">
            <w:r>
              <w:t>Selection of Chair</w:t>
            </w:r>
          </w:p>
        </w:tc>
        <w:tc>
          <w:tcPr>
            <w:tcW w:w="4180" w:type="dxa"/>
          </w:tcPr>
          <w:p w14:paraId="493C12A1" w14:textId="331C3CBA" w:rsidR="004736AB" w:rsidRDefault="004736AB" w:rsidP="00442508">
            <w:r>
              <w:rPr>
                <w:rFonts w:ascii="Times" w:hAnsi="Times" w:cs="Times"/>
              </w:rPr>
              <w:t xml:space="preserve">The </w:t>
            </w:r>
            <w:proofErr w:type="gramStart"/>
            <w:r>
              <w:rPr>
                <w:rFonts w:ascii="Times" w:hAnsi="Times" w:cs="Times"/>
              </w:rPr>
              <w:t>Chair of the CSC will be elected on an annual basis by the CSC</w:t>
            </w:r>
            <w:proofErr w:type="gramEnd"/>
            <w:r>
              <w:rPr>
                <w:rFonts w:ascii="Times" w:hAnsi="Times" w:cs="Times"/>
              </w:rPr>
              <w:t>. Ideally the Chair will be a direct customer of the IANA naming function, and cannot be the IANA Functions Operator Liaison.</w:t>
            </w:r>
          </w:p>
        </w:tc>
        <w:tc>
          <w:tcPr>
            <w:tcW w:w="4050" w:type="dxa"/>
          </w:tcPr>
          <w:p w14:paraId="20A39005" w14:textId="755D9DD6" w:rsidR="004736AB" w:rsidRDefault="004736AB" w:rsidP="005A10D0">
            <w:pPr>
              <w:pStyle w:val="ListParagraph"/>
              <w:numPr>
                <w:ilvl w:val="0"/>
                <w:numId w:val="1"/>
              </w:numPr>
              <w:ind w:left="252" w:hanging="252"/>
            </w:pPr>
            <w:r>
              <w:t>Select Chair</w:t>
            </w:r>
          </w:p>
        </w:tc>
        <w:tc>
          <w:tcPr>
            <w:tcW w:w="2162" w:type="dxa"/>
          </w:tcPr>
          <w:p w14:paraId="3DD8C803" w14:textId="237D1AF2" w:rsidR="004736AB" w:rsidRDefault="004736AB">
            <w:r>
              <w:t>CSC Charter</w:t>
            </w:r>
          </w:p>
        </w:tc>
        <w:tc>
          <w:tcPr>
            <w:tcW w:w="2162" w:type="dxa"/>
          </w:tcPr>
          <w:p w14:paraId="407DFDC5" w14:textId="79DAFC78" w:rsidR="004736AB" w:rsidRDefault="004736AB">
            <w:r>
              <w:t>October 2017</w:t>
            </w:r>
          </w:p>
        </w:tc>
        <w:tc>
          <w:tcPr>
            <w:tcW w:w="2075" w:type="dxa"/>
          </w:tcPr>
          <w:p w14:paraId="3C7D50DF" w14:textId="64843EC0" w:rsidR="004736AB" w:rsidRDefault="004736AB">
            <w:r>
              <w:t>Annually</w:t>
            </w:r>
          </w:p>
        </w:tc>
        <w:tc>
          <w:tcPr>
            <w:tcW w:w="2140" w:type="dxa"/>
          </w:tcPr>
          <w:p w14:paraId="2E9460D7" w14:textId="61147669" w:rsidR="004736AB" w:rsidRDefault="004736AB">
            <w:r>
              <w:t>CSC</w:t>
            </w:r>
          </w:p>
        </w:tc>
        <w:tc>
          <w:tcPr>
            <w:tcW w:w="4241" w:type="dxa"/>
          </w:tcPr>
          <w:p w14:paraId="0D53EC2E" w14:textId="77777777" w:rsidR="004736AB" w:rsidRPr="00055141" w:rsidRDefault="004736AB"/>
        </w:tc>
      </w:tr>
      <w:tr w:rsidR="004736AB" w14:paraId="06046B9F" w14:textId="77777777" w:rsidTr="00465144">
        <w:tc>
          <w:tcPr>
            <w:tcW w:w="2138" w:type="dxa"/>
          </w:tcPr>
          <w:p w14:paraId="774C5F2D" w14:textId="3388E177" w:rsidR="004736AB" w:rsidRDefault="004736AB" w:rsidP="00936136">
            <w:r>
              <w:t>CSC and PTI Point-of-Contacts</w:t>
            </w:r>
          </w:p>
        </w:tc>
        <w:tc>
          <w:tcPr>
            <w:tcW w:w="4180" w:type="dxa"/>
          </w:tcPr>
          <w:p w14:paraId="47EC49DE" w14:textId="72A15D65" w:rsidR="004736AB" w:rsidRDefault="004736AB" w:rsidP="00442508">
            <w:pPr>
              <w:rPr>
                <w:rFonts w:ascii="Times" w:hAnsi="Times" w:cs="Times"/>
              </w:rPr>
            </w:pPr>
            <w:r>
              <w:t>CSC and PTI to establish primary and secondary points of contact</w:t>
            </w:r>
          </w:p>
        </w:tc>
        <w:tc>
          <w:tcPr>
            <w:tcW w:w="4050" w:type="dxa"/>
          </w:tcPr>
          <w:p w14:paraId="4EDAA1B0" w14:textId="253E69F9" w:rsidR="004736AB" w:rsidRDefault="004736AB" w:rsidP="005A10D0">
            <w:pPr>
              <w:pStyle w:val="ListParagraph"/>
              <w:numPr>
                <w:ilvl w:val="0"/>
                <w:numId w:val="1"/>
              </w:numPr>
              <w:ind w:left="252" w:hanging="252"/>
            </w:pPr>
            <w:r>
              <w:t>Appoint primary and secondary points of contact</w:t>
            </w:r>
          </w:p>
        </w:tc>
        <w:tc>
          <w:tcPr>
            <w:tcW w:w="2162" w:type="dxa"/>
          </w:tcPr>
          <w:p w14:paraId="3479C730" w14:textId="667443D4" w:rsidR="004736AB" w:rsidRDefault="004736AB">
            <w:r>
              <w:t>CSC Charter</w:t>
            </w:r>
          </w:p>
        </w:tc>
        <w:tc>
          <w:tcPr>
            <w:tcW w:w="2162" w:type="dxa"/>
          </w:tcPr>
          <w:p w14:paraId="3EDB45A5" w14:textId="276E3910" w:rsidR="004736AB" w:rsidRDefault="004736AB">
            <w:r>
              <w:t>October 2016</w:t>
            </w:r>
          </w:p>
        </w:tc>
        <w:tc>
          <w:tcPr>
            <w:tcW w:w="2075" w:type="dxa"/>
          </w:tcPr>
          <w:p w14:paraId="7D0B902C" w14:textId="4A8FE84A" w:rsidR="004736AB" w:rsidRDefault="004736AB">
            <w:r>
              <w:t>As needed</w:t>
            </w:r>
          </w:p>
        </w:tc>
        <w:tc>
          <w:tcPr>
            <w:tcW w:w="2140" w:type="dxa"/>
          </w:tcPr>
          <w:p w14:paraId="3FA6E1E5" w14:textId="0DCF31AF" w:rsidR="004736AB" w:rsidRDefault="004736AB">
            <w:r>
              <w:t>CSC/PTI</w:t>
            </w:r>
          </w:p>
        </w:tc>
        <w:tc>
          <w:tcPr>
            <w:tcW w:w="4241" w:type="dxa"/>
          </w:tcPr>
          <w:p w14:paraId="0034D60D" w14:textId="35FF6C28" w:rsidR="004736AB" w:rsidRPr="00055141" w:rsidRDefault="004736AB">
            <w:proofErr w:type="gramStart"/>
            <w:r>
              <w:t>Can this be considered to have been formally done</w:t>
            </w:r>
            <w:proofErr w:type="gramEnd"/>
            <w:r>
              <w:t>?</w:t>
            </w:r>
          </w:p>
        </w:tc>
      </w:tr>
      <w:tr w:rsidR="004736AB" w14:paraId="6434A371" w14:textId="77777777" w:rsidTr="00465144">
        <w:tc>
          <w:tcPr>
            <w:tcW w:w="2138" w:type="dxa"/>
          </w:tcPr>
          <w:p w14:paraId="6129B046" w14:textId="526F03C9" w:rsidR="004736AB" w:rsidRDefault="004736AB" w:rsidP="00936136">
            <w:r>
              <w:t>Conflict of Interest</w:t>
            </w:r>
          </w:p>
        </w:tc>
        <w:tc>
          <w:tcPr>
            <w:tcW w:w="4180" w:type="dxa"/>
          </w:tcPr>
          <w:p w14:paraId="175C44B9" w14:textId="07F118C7" w:rsidR="004736AB" w:rsidRDefault="004736AB" w:rsidP="00442508">
            <w:r>
              <w:t>CSC members are disclose any conflict relative to an issue or complaint</w:t>
            </w:r>
          </w:p>
        </w:tc>
        <w:tc>
          <w:tcPr>
            <w:tcW w:w="4050" w:type="dxa"/>
          </w:tcPr>
          <w:p w14:paraId="47504D34" w14:textId="77777777" w:rsidR="004736AB" w:rsidRDefault="004736AB" w:rsidP="005A10D0">
            <w:pPr>
              <w:pStyle w:val="ListParagraph"/>
              <w:numPr>
                <w:ilvl w:val="0"/>
                <w:numId w:val="1"/>
              </w:numPr>
              <w:ind w:left="252" w:hanging="252"/>
            </w:pPr>
            <w:r>
              <w:t xml:space="preserve">Disclose </w:t>
            </w:r>
            <w:proofErr w:type="spellStart"/>
            <w:r>
              <w:t>CoI</w:t>
            </w:r>
            <w:proofErr w:type="spellEnd"/>
          </w:p>
          <w:p w14:paraId="49C53823" w14:textId="3D13B307" w:rsidR="004736AB" w:rsidRDefault="004736AB" w:rsidP="005A10D0">
            <w:pPr>
              <w:pStyle w:val="ListParagraph"/>
              <w:numPr>
                <w:ilvl w:val="0"/>
                <w:numId w:val="1"/>
              </w:numPr>
              <w:ind w:left="252" w:hanging="252"/>
            </w:pPr>
            <w:r>
              <w:t xml:space="preserve">Determine how CSC will deal with </w:t>
            </w:r>
            <w:proofErr w:type="spellStart"/>
            <w:r>
              <w:t>CoI</w:t>
            </w:r>
            <w:proofErr w:type="spellEnd"/>
          </w:p>
        </w:tc>
        <w:tc>
          <w:tcPr>
            <w:tcW w:w="2162" w:type="dxa"/>
          </w:tcPr>
          <w:p w14:paraId="2E0762C5" w14:textId="37C7E24B" w:rsidR="004736AB" w:rsidRDefault="004736AB">
            <w:r>
              <w:t>CSC Charter</w:t>
            </w:r>
          </w:p>
        </w:tc>
        <w:tc>
          <w:tcPr>
            <w:tcW w:w="2162" w:type="dxa"/>
          </w:tcPr>
          <w:p w14:paraId="6C64E10D" w14:textId="0A412D6B" w:rsidR="004736AB" w:rsidRDefault="004736AB">
            <w:r>
              <w:t>N/A</w:t>
            </w:r>
          </w:p>
        </w:tc>
        <w:tc>
          <w:tcPr>
            <w:tcW w:w="2075" w:type="dxa"/>
          </w:tcPr>
          <w:p w14:paraId="751AA67B" w14:textId="01781101" w:rsidR="004736AB" w:rsidRDefault="004736AB">
            <w:r>
              <w:t>As needed</w:t>
            </w:r>
          </w:p>
        </w:tc>
        <w:tc>
          <w:tcPr>
            <w:tcW w:w="2140" w:type="dxa"/>
          </w:tcPr>
          <w:p w14:paraId="1A71B924" w14:textId="76311080" w:rsidR="004736AB" w:rsidRDefault="004736AB">
            <w:r>
              <w:t>CSC</w:t>
            </w:r>
          </w:p>
        </w:tc>
        <w:tc>
          <w:tcPr>
            <w:tcW w:w="4241" w:type="dxa"/>
          </w:tcPr>
          <w:p w14:paraId="17D868AE" w14:textId="77777777" w:rsidR="004736AB" w:rsidRDefault="004736AB"/>
        </w:tc>
      </w:tr>
      <w:tr w:rsidR="004736AB" w14:paraId="6D140819" w14:textId="77777777" w:rsidTr="00465144">
        <w:tc>
          <w:tcPr>
            <w:tcW w:w="2138" w:type="dxa"/>
          </w:tcPr>
          <w:p w14:paraId="2446E0B5" w14:textId="47E8B64A" w:rsidR="004736AB" w:rsidRDefault="004736AB" w:rsidP="00936136">
            <w:r>
              <w:t>Participation in CSC Meetings</w:t>
            </w:r>
          </w:p>
        </w:tc>
        <w:tc>
          <w:tcPr>
            <w:tcW w:w="4180" w:type="dxa"/>
          </w:tcPr>
          <w:p w14:paraId="4E274DAE" w14:textId="528B5FD8" w:rsidR="004736AB" w:rsidRDefault="004736AB" w:rsidP="00442508">
            <w:r>
              <w:t>All registry operators are eligible to participate in CSC meetings</w:t>
            </w:r>
          </w:p>
        </w:tc>
        <w:tc>
          <w:tcPr>
            <w:tcW w:w="4050" w:type="dxa"/>
          </w:tcPr>
          <w:p w14:paraId="54DBE274" w14:textId="45A60009" w:rsidR="004736AB" w:rsidRDefault="004736AB" w:rsidP="005A10D0">
            <w:pPr>
              <w:pStyle w:val="ListParagraph"/>
              <w:numPr>
                <w:ilvl w:val="0"/>
                <w:numId w:val="1"/>
              </w:numPr>
              <w:ind w:left="252" w:hanging="252"/>
            </w:pPr>
            <w:r>
              <w:t>Determine how requirement can be met</w:t>
            </w:r>
          </w:p>
        </w:tc>
        <w:tc>
          <w:tcPr>
            <w:tcW w:w="2162" w:type="dxa"/>
          </w:tcPr>
          <w:p w14:paraId="128B589B" w14:textId="0C5C3A3B" w:rsidR="004736AB" w:rsidRDefault="004736AB">
            <w:r>
              <w:t>CSC Charter</w:t>
            </w:r>
          </w:p>
        </w:tc>
        <w:tc>
          <w:tcPr>
            <w:tcW w:w="2162" w:type="dxa"/>
          </w:tcPr>
          <w:p w14:paraId="06D2EB55" w14:textId="49329E8F" w:rsidR="004736AB" w:rsidRDefault="004736AB">
            <w:r>
              <w:t>N/A</w:t>
            </w:r>
          </w:p>
        </w:tc>
        <w:tc>
          <w:tcPr>
            <w:tcW w:w="2075" w:type="dxa"/>
          </w:tcPr>
          <w:p w14:paraId="649AD81F" w14:textId="454DDE69" w:rsidR="004736AB" w:rsidRDefault="004736AB">
            <w:r>
              <w:t>N/A</w:t>
            </w:r>
          </w:p>
        </w:tc>
        <w:tc>
          <w:tcPr>
            <w:tcW w:w="2140" w:type="dxa"/>
          </w:tcPr>
          <w:p w14:paraId="2361F89A" w14:textId="35F9A579" w:rsidR="004736AB" w:rsidRDefault="004736AB">
            <w:r>
              <w:t>CSC</w:t>
            </w:r>
          </w:p>
        </w:tc>
        <w:tc>
          <w:tcPr>
            <w:tcW w:w="4241" w:type="dxa"/>
          </w:tcPr>
          <w:p w14:paraId="008AEF89" w14:textId="3B3AAA0A" w:rsidR="004736AB" w:rsidRDefault="004736AB">
            <w:r>
              <w:t>Our meetings are open so can we consider this requirement to have been met?</w:t>
            </w:r>
          </w:p>
        </w:tc>
      </w:tr>
      <w:tr w:rsidR="004736AB" w14:paraId="035AE60A" w14:textId="77777777" w:rsidTr="00465144">
        <w:tc>
          <w:tcPr>
            <w:tcW w:w="2138" w:type="dxa"/>
          </w:tcPr>
          <w:p w14:paraId="352F73EC" w14:textId="6E153312" w:rsidR="004736AB" w:rsidRDefault="004736AB" w:rsidP="00936136">
            <w:r>
              <w:t>CSC Meetings</w:t>
            </w:r>
          </w:p>
        </w:tc>
        <w:tc>
          <w:tcPr>
            <w:tcW w:w="4180" w:type="dxa"/>
          </w:tcPr>
          <w:p w14:paraId="787EE77E" w14:textId="582B2FD5" w:rsidR="004736AB" w:rsidRDefault="004736AB" w:rsidP="00442508">
            <w:r>
              <w:t>CSC to meet at least once a month with timing to be agreed to by the members</w:t>
            </w:r>
          </w:p>
        </w:tc>
        <w:tc>
          <w:tcPr>
            <w:tcW w:w="4050" w:type="dxa"/>
          </w:tcPr>
          <w:p w14:paraId="3783C6E8" w14:textId="0BD6E1AA" w:rsidR="004736AB" w:rsidRDefault="004736AB" w:rsidP="005A10D0">
            <w:pPr>
              <w:pStyle w:val="ListParagraph"/>
              <w:numPr>
                <w:ilvl w:val="0"/>
                <w:numId w:val="1"/>
              </w:numPr>
              <w:ind w:left="252" w:hanging="252"/>
            </w:pPr>
            <w:r>
              <w:t>Determine meeting cadence</w:t>
            </w:r>
          </w:p>
        </w:tc>
        <w:tc>
          <w:tcPr>
            <w:tcW w:w="2162" w:type="dxa"/>
          </w:tcPr>
          <w:p w14:paraId="55728F1E" w14:textId="4D9BDDB8" w:rsidR="004736AB" w:rsidRDefault="004736AB">
            <w:r>
              <w:t>CSC Charter</w:t>
            </w:r>
          </w:p>
        </w:tc>
        <w:tc>
          <w:tcPr>
            <w:tcW w:w="2162" w:type="dxa"/>
          </w:tcPr>
          <w:p w14:paraId="26E94DC3" w14:textId="5A5FD766" w:rsidR="004736AB" w:rsidRDefault="004736AB">
            <w:r>
              <w:t>October</w:t>
            </w:r>
            <w:r w:rsidR="003C19C2">
              <w:t xml:space="preserve"> 2016</w:t>
            </w:r>
          </w:p>
        </w:tc>
        <w:tc>
          <w:tcPr>
            <w:tcW w:w="2075" w:type="dxa"/>
          </w:tcPr>
          <w:p w14:paraId="5F58FFD7" w14:textId="6002AE3E" w:rsidR="004736AB" w:rsidRDefault="004736AB">
            <w:r>
              <w:t>Monthly</w:t>
            </w:r>
          </w:p>
        </w:tc>
        <w:tc>
          <w:tcPr>
            <w:tcW w:w="2140" w:type="dxa"/>
          </w:tcPr>
          <w:p w14:paraId="745BB850" w14:textId="61E35D0F" w:rsidR="004736AB" w:rsidRDefault="004736AB">
            <w:r>
              <w:t>CSC</w:t>
            </w:r>
          </w:p>
        </w:tc>
        <w:tc>
          <w:tcPr>
            <w:tcW w:w="4241" w:type="dxa"/>
          </w:tcPr>
          <w:p w14:paraId="7DBAD3C3" w14:textId="6A75EECD" w:rsidR="004736AB" w:rsidRDefault="004736AB">
            <w:r>
              <w:t>Being done</w:t>
            </w:r>
          </w:p>
        </w:tc>
      </w:tr>
      <w:tr w:rsidR="004736AB" w14:paraId="5995CE6A" w14:textId="77777777" w:rsidTr="00465144">
        <w:tc>
          <w:tcPr>
            <w:tcW w:w="2138" w:type="dxa"/>
          </w:tcPr>
          <w:p w14:paraId="771A2659" w14:textId="7567CEBD" w:rsidR="004736AB" w:rsidRDefault="003C19C2" w:rsidP="00936136">
            <w:r>
              <w:t>CSC Meeting Minutes</w:t>
            </w:r>
          </w:p>
        </w:tc>
        <w:tc>
          <w:tcPr>
            <w:tcW w:w="4180" w:type="dxa"/>
          </w:tcPr>
          <w:p w14:paraId="413E28F5" w14:textId="4863CDAF" w:rsidR="004736AB" w:rsidRDefault="004736AB" w:rsidP="00442508">
            <w:r>
              <w:t>Minutes of teleconferences are to be made public within 5 business days</w:t>
            </w:r>
          </w:p>
        </w:tc>
        <w:tc>
          <w:tcPr>
            <w:tcW w:w="4050" w:type="dxa"/>
          </w:tcPr>
          <w:p w14:paraId="08B605F7" w14:textId="4270C39B" w:rsidR="004736AB" w:rsidRDefault="004736AB" w:rsidP="005A10D0">
            <w:pPr>
              <w:pStyle w:val="ListParagraph"/>
              <w:numPr>
                <w:ilvl w:val="0"/>
                <w:numId w:val="1"/>
              </w:numPr>
              <w:ind w:left="252" w:hanging="252"/>
            </w:pPr>
          </w:p>
        </w:tc>
        <w:tc>
          <w:tcPr>
            <w:tcW w:w="2162" w:type="dxa"/>
          </w:tcPr>
          <w:p w14:paraId="4A0F88BB" w14:textId="196A5A06" w:rsidR="004736AB" w:rsidRDefault="004736AB">
            <w:r>
              <w:t>CSC Charter</w:t>
            </w:r>
          </w:p>
        </w:tc>
        <w:tc>
          <w:tcPr>
            <w:tcW w:w="2162" w:type="dxa"/>
          </w:tcPr>
          <w:p w14:paraId="50FD4A05" w14:textId="29D74D55" w:rsidR="004736AB" w:rsidRDefault="004736AB">
            <w:r>
              <w:t>October</w:t>
            </w:r>
            <w:r w:rsidR="003C19C2">
              <w:t xml:space="preserve"> 2016</w:t>
            </w:r>
          </w:p>
        </w:tc>
        <w:tc>
          <w:tcPr>
            <w:tcW w:w="2075" w:type="dxa"/>
          </w:tcPr>
          <w:p w14:paraId="200D84B9" w14:textId="157F7E05" w:rsidR="004736AB" w:rsidRDefault="004736AB">
            <w:r>
              <w:t>Monthly</w:t>
            </w:r>
          </w:p>
        </w:tc>
        <w:tc>
          <w:tcPr>
            <w:tcW w:w="2140" w:type="dxa"/>
          </w:tcPr>
          <w:p w14:paraId="41A97E0E" w14:textId="571252FE" w:rsidR="004736AB" w:rsidRDefault="004736AB">
            <w:r>
              <w:t>ICANN Org</w:t>
            </w:r>
          </w:p>
        </w:tc>
        <w:tc>
          <w:tcPr>
            <w:tcW w:w="4241" w:type="dxa"/>
          </w:tcPr>
          <w:p w14:paraId="1E55B88D" w14:textId="5F6EFFE2" w:rsidR="004736AB" w:rsidRDefault="004736AB">
            <w:r>
              <w:t>Being done</w:t>
            </w:r>
          </w:p>
        </w:tc>
      </w:tr>
      <w:tr w:rsidR="004736AB" w14:paraId="253167F1" w14:textId="77777777" w:rsidTr="00465144">
        <w:tc>
          <w:tcPr>
            <w:tcW w:w="2138" w:type="dxa"/>
          </w:tcPr>
          <w:p w14:paraId="05E62C6A" w14:textId="45183BAE" w:rsidR="004736AB" w:rsidRDefault="003C19C2" w:rsidP="00936136">
            <w:r>
              <w:t>CSC/PTI Coordination</w:t>
            </w:r>
          </w:p>
        </w:tc>
        <w:tc>
          <w:tcPr>
            <w:tcW w:w="4180" w:type="dxa"/>
          </w:tcPr>
          <w:p w14:paraId="6A428086" w14:textId="1249B7C0" w:rsidR="004736AB" w:rsidRDefault="003C19C2" w:rsidP="00442508">
            <w:r>
              <w:t>General Manager of PTI to meet with CSC</w:t>
            </w:r>
          </w:p>
        </w:tc>
        <w:tc>
          <w:tcPr>
            <w:tcW w:w="4050" w:type="dxa"/>
          </w:tcPr>
          <w:p w14:paraId="1449805B" w14:textId="030BC249" w:rsidR="004736AB" w:rsidRDefault="003C19C2" w:rsidP="005A10D0">
            <w:pPr>
              <w:pStyle w:val="ListParagraph"/>
              <w:numPr>
                <w:ilvl w:val="0"/>
                <w:numId w:val="1"/>
              </w:numPr>
              <w:ind w:left="252" w:hanging="252"/>
            </w:pPr>
            <w:r>
              <w:t>Meet with PTI President</w:t>
            </w:r>
          </w:p>
        </w:tc>
        <w:tc>
          <w:tcPr>
            <w:tcW w:w="2162" w:type="dxa"/>
          </w:tcPr>
          <w:p w14:paraId="62CDD735" w14:textId="2E883D11" w:rsidR="004736AB" w:rsidRDefault="003C19C2">
            <w:r>
              <w:t>IANA Naming Function Contract – Section 4.9.c</w:t>
            </w:r>
          </w:p>
        </w:tc>
        <w:tc>
          <w:tcPr>
            <w:tcW w:w="2162" w:type="dxa"/>
          </w:tcPr>
          <w:p w14:paraId="0DC5F648" w14:textId="43BE7139" w:rsidR="004736AB" w:rsidRDefault="003C19C2">
            <w:r>
              <w:t>October 2016</w:t>
            </w:r>
          </w:p>
        </w:tc>
        <w:tc>
          <w:tcPr>
            <w:tcW w:w="2075" w:type="dxa"/>
          </w:tcPr>
          <w:p w14:paraId="7E85DC74" w14:textId="7C0A6C26" w:rsidR="004736AB" w:rsidRDefault="003C19C2">
            <w:r>
              <w:t>Ongoing</w:t>
            </w:r>
          </w:p>
        </w:tc>
        <w:tc>
          <w:tcPr>
            <w:tcW w:w="2140" w:type="dxa"/>
          </w:tcPr>
          <w:p w14:paraId="70674619" w14:textId="36E3E2D8" w:rsidR="004736AB" w:rsidRDefault="003C19C2">
            <w:r>
              <w:t>CSC/PTI</w:t>
            </w:r>
          </w:p>
        </w:tc>
        <w:tc>
          <w:tcPr>
            <w:tcW w:w="4241" w:type="dxa"/>
          </w:tcPr>
          <w:p w14:paraId="44F925F1" w14:textId="5F8247D1" w:rsidR="004736AB" w:rsidRDefault="003C19C2">
            <w:r>
              <w:t>Being done</w:t>
            </w:r>
          </w:p>
        </w:tc>
      </w:tr>
      <w:tr w:rsidR="003C19C2" w14:paraId="2E7B18FB" w14:textId="77777777" w:rsidTr="00465144">
        <w:tc>
          <w:tcPr>
            <w:tcW w:w="2138" w:type="dxa"/>
          </w:tcPr>
          <w:p w14:paraId="71109AB1" w14:textId="6445C294" w:rsidR="003C19C2" w:rsidRDefault="003C19C2" w:rsidP="00936136">
            <w:r>
              <w:t>IANA Naming Function Transition Plan</w:t>
            </w:r>
          </w:p>
        </w:tc>
        <w:tc>
          <w:tcPr>
            <w:tcW w:w="4180" w:type="dxa"/>
          </w:tcPr>
          <w:p w14:paraId="250B5D62" w14:textId="341DE041" w:rsidR="003C19C2" w:rsidRDefault="003C19C2" w:rsidP="00442508">
            <w:r>
              <w:t xml:space="preserve">PTI to develop and maintain a transition plan for the IANA naming function 18 months after effective date of IANA Naming Function Contract. ICANN in conjunction with the CSC as </w:t>
            </w:r>
            <w:proofErr w:type="gramStart"/>
            <w:r>
              <w:t>necessary,</w:t>
            </w:r>
            <w:proofErr w:type="gramEnd"/>
            <w:r>
              <w:t xml:space="preserve"> shall review the transition plan at least every 5 years.</w:t>
            </w:r>
          </w:p>
        </w:tc>
        <w:tc>
          <w:tcPr>
            <w:tcW w:w="4050" w:type="dxa"/>
          </w:tcPr>
          <w:p w14:paraId="400A2D6D" w14:textId="6B92D522" w:rsidR="003C19C2" w:rsidRDefault="003C19C2" w:rsidP="005A10D0">
            <w:pPr>
              <w:pStyle w:val="ListParagraph"/>
              <w:numPr>
                <w:ilvl w:val="0"/>
                <w:numId w:val="1"/>
              </w:numPr>
              <w:ind w:left="252" w:hanging="252"/>
            </w:pPr>
            <w:r>
              <w:t>Review transition plan</w:t>
            </w:r>
          </w:p>
        </w:tc>
        <w:tc>
          <w:tcPr>
            <w:tcW w:w="2162" w:type="dxa"/>
          </w:tcPr>
          <w:p w14:paraId="617D8A9C" w14:textId="78962BDE" w:rsidR="003C19C2" w:rsidRDefault="003C19C2">
            <w:r>
              <w:t>IANA Naming Function Contract – Section 9.3</w:t>
            </w:r>
          </w:p>
        </w:tc>
        <w:tc>
          <w:tcPr>
            <w:tcW w:w="2162" w:type="dxa"/>
          </w:tcPr>
          <w:p w14:paraId="283B5E9C" w14:textId="7930FA26" w:rsidR="003C19C2" w:rsidRDefault="003C19C2">
            <w:r>
              <w:t>May 2018</w:t>
            </w:r>
          </w:p>
        </w:tc>
        <w:tc>
          <w:tcPr>
            <w:tcW w:w="2075" w:type="dxa"/>
          </w:tcPr>
          <w:p w14:paraId="08A95BA5" w14:textId="66F96A28" w:rsidR="003C19C2" w:rsidRDefault="003C19C2">
            <w:r>
              <w:t>18 months after effective date of IANA Naming Function Contract (May 2018), every 5 years thereafter</w:t>
            </w:r>
          </w:p>
        </w:tc>
        <w:tc>
          <w:tcPr>
            <w:tcW w:w="2140" w:type="dxa"/>
          </w:tcPr>
          <w:p w14:paraId="642D7BAA" w14:textId="096A5F2B" w:rsidR="003C19C2" w:rsidRDefault="003C19C2">
            <w:r>
              <w:t>ICANN</w:t>
            </w:r>
          </w:p>
        </w:tc>
        <w:tc>
          <w:tcPr>
            <w:tcW w:w="4241" w:type="dxa"/>
          </w:tcPr>
          <w:p w14:paraId="3FEE27D6" w14:textId="1BF82348" w:rsidR="003C19C2" w:rsidRDefault="00516D2D">
            <w:r>
              <w:t>Yet another issue to deal with, but perhaps not a priority</w:t>
            </w:r>
          </w:p>
        </w:tc>
      </w:tr>
    </w:tbl>
    <w:p w14:paraId="490E104B" w14:textId="6EAEA598" w:rsidR="00C51467" w:rsidRDefault="00C51467"/>
    <w:sectPr w:rsidR="00C51467" w:rsidSect="007143BB">
      <w:pgSz w:w="2448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79D"/>
    <w:multiLevelType w:val="hybridMultilevel"/>
    <w:tmpl w:val="B36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67"/>
    <w:rsid w:val="00055141"/>
    <w:rsid w:val="001057AD"/>
    <w:rsid w:val="00122EEA"/>
    <w:rsid w:val="0017087B"/>
    <w:rsid w:val="00215FD3"/>
    <w:rsid w:val="002A07BF"/>
    <w:rsid w:val="00311F6D"/>
    <w:rsid w:val="003400C3"/>
    <w:rsid w:val="003C19C2"/>
    <w:rsid w:val="003C455F"/>
    <w:rsid w:val="00442508"/>
    <w:rsid w:val="00465144"/>
    <w:rsid w:val="004736AB"/>
    <w:rsid w:val="00516D2D"/>
    <w:rsid w:val="005A10D0"/>
    <w:rsid w:val="005F6745"/>
    <w:rsid w:val="00604130"/>
    <w:rsid w:val="007143BB"/>
    <w:rsid w:val="007A146F"/>
    <w:rsid w:val="00862622"/>
    <w:rsid w:val="008B2CB6"/>
    <w:rsid w:val="00936136"/>
    <w:rsid w:val="00983A34"/>
    <w:rsid w:val="009C0A3E"/>
    <w:rsid w:val="00A04C1B"/>
    <w:rsid w:val="00C15961"/>
    <w:rsid w:val="00C41599"/>
    <w:rsid w:val="00C51467"/>
    <w:rsid w:val="00D011DA"/>
    <w:rsid w:val="00E01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0D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5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1564</Words>
  <Characters>8916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Trang Nguyen</cp:lastModifiedBy>
  <cp:revision>11</cp:revision>
  <dcterms:created xsi:type="dcterms:W3CDTF">2016-12-12T19:44:00Z</dcterms:created>
  <dcterms:modified xsi:type="dcterms:W3CDTF">2016-12-12T20:51:00Z</dcterms:modified>
</cp:coreProperties>
</file>