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9C943" w14:textId="61493693" w:rsidR="00A03A90" w:rsidRPr="00B0117A" w:rsidRDefault="009D67DF">
      <w:pPr>
        <w:rPr>
          <w:b/>
        </w:rPr>
      </w:pPr>
      <w:r>
        <w:rPr>
          <w:b/>
        </w:rPr>
        <w:t xml:space="preserve">Updated </w:t>
      </w:r>
      <w:r w:rsidR="00516D20">
        <w:rPr>
          <w:b/>
        </w:rPr>
        <w:t>List of identified work items</w:t>
      </w:r>
    </w:p>
    <w:p w14:paraId="390AEF40" w14:textId="77777777" w:rsidR="00B0117A" w:rsidRDefault="00B0117A"/>
    <w:tbl>
      <w:tblPr>
        <w:tblStyle w:val="TableGrid"/>
        <w:tblW w:w="14170" w:type="dxa"/>
        <w:tblLook w:val="04A0" w:firstRow="1" w:lastRow="0" w:firstColumn="1" w:lastColumn="0" w:noHBand="0" w:noVBand="1"/>
      </w:tblPr>
      <w:tblGrid>
        <w:gridCol w:w="1790"/>
        <w:gridCol w:w="3306"/>
        <w:gridCol w:w="1462"/>
        <w:gridCol w:w="1241"/>
        <w:gridCol w:w="1011"/>
        <w:gridCol w:w="1813"/>
        <w:gridCol w:w="3547"/>
      </w:tblGrid>
      <w:tr w:rsidR="00A70BA8" w14:paraId="2F2BF123" w14:textId="77777777" w:rsidTr="00A70BA8">
        <w:trPr>
          <w:trHeight w:val="326"/>
        </w:trPr>
        <w:tc>
          <w:tcPr>
            <w:tcW w:w="1790" w:type="dxa"/>
          </w:tcPr>
          <w:p w14:paraId="738930E8" w14:textId="77777777" w:rsidR="00B0117A" w:rsidRPr="000B66A6" w:rsidRDefault="00B0117A">
            <w:pPr>
              <w:rPr>
                <w:b/>
              </w:rPr>
            </w:pPr>
            <w:r w:rsidRPr="000B66A6">
              <w:rPr>
                <w:b/>
              </w:rPr>
              <w:t>Work item</w:t>
            </w:r>
          </w:p>
        </w:tc>
        <w:tc>
          <w:tcPr>
            <w:tcW w:w="3306" w:type="dxa"/>
          </w:tcPr>
          <w:p w14:paraId="71261922" w14:textId="77777777" w:rsidR="00B0117A" w:rsidRPr="000B66A6" w:rsidRDefault="00703A38">
            <w:pPr>
              <w:rPr>
                <w:b/>
              </w:rPr>
            </w:pPr>
            <w:r w:rsidRPr="000B66A6">
              <w:rPr>
                <w:b/>
              </w:rPr>
              <w:t>T</w:t>
            </w:r>
            <w:r w:rsidR="00B0117A" w:rsidRPr="000B66A6">
              <w:rPr>
                <w:b/>
              </w:rPr>
              <w:t>a</w:t>
            </w:r>
            <w:r w:rsidRPr="000B66A6">
              <w:rPr>
                <w:b/>
              </w:rPr>
              <w:t>s</w:t>
            </w:r>
            <w:r w:rsidR="00B0117A" w:rsidRPr="000B66A6">
              <w:rPr>
                <w:b/>
              </w:rPr>
              <w:t>ks</w:t>
            </w:r>
          </w:p>
        </w:tc>
        <w:tc>
          <w:tcPr>
            <w:tcW w:w="1462" w:type="dxa"/>
          </w:tcPr>
          <w:p w14:paraId="5D9F1A12" w14:textId="77777777" w:rsidR="00B0117A" w:rsidRPr="000B66A6" w:rsidRDefault="002D6359">
            <w:pPr>
              <w:rPr>
                <w:b/>
              </w:rPr>
            </w:pPr>
            <w:r w:rsidRPr="000B66A6">
              <w:rPr>
                <w:b/>
              </w:rPr>
              <w:t>P</w:t>
            </w:r>
            <w:r w:rsidR="00B0117A" w:rsidRPr="000B66A6">
              <w:rPr>
                <w:b/>
              </w:rPr>
              <w:t>riority</w:t>
            </w:r>
          </w:p>
          <w:p w14:paraId="3BB813F5" w14:textId="77777777" w:rsidR="002D6359" w:rsidRDefault="000B66A6">
            <w:pPr>
              <w:rPr>
                <w:b/>
              </w:rPr>
            </w:pPr>
            <w:r>
              <w:rPr>
                <w:b/>
              </w:rPr>
              <w:t>(urgen</w:t>
            </w:r>
            <w:r w:rsidR="002D6359" w:rsidRPr="000B66A6">
              <w:rPr>
                <w:b/>
              </w:rPr>
              <w:t>cy* importance)</w:t>
            </w:r>
          </w:p>
          <w:p w14:paraId="1FE27BAB" w14:textId="77777777" w:rsidR="00A70BA8" w:rsidRDefault="00A70BA8">
            <w:pPr>
              <w:rPr>
                <w:b/>
              </w:rPr>
            </w:pPr>
            <w:r>
              <w:rPr>
                <w:b/>
              </w:rPr>
              <w:t xml:space="preserve">High (1) </w:t>
            </w:r>
          </w:p>
          <w:p w14:paraId="4EAF048B" w14:textId="77777777" w:rsidR="00A70BA8" w:rsidRDefault="00A70BA8">
            <w:pPr>
              <w:rPr>
                <w:b/>
              </w:rPr>
            </w:pPr>
            <w:r>
              <w:rPr>
                <w:b/>
              </w:rPr>
              <w:t>Middle 2</w:t>
            </w:r>
          </w:p>
          <w:p w14:paraId="2B4E35E5" w14:textId="77777777" w:rsidR="00A70BA8" w:rsidRPr="000B66A6" w:rsidRDefault="00A70BA8">
            <w:pPr>
              <w:rPr>
                <w:b/>
              </w:rPr>
            </w:pPr>
            <w:r>
              <w:rPr>
                <w:b/>
              </w:rPr>
              <w:t>Lowest 3</w:t>
            </w:r>
          </w:p>
        </w:tc>
        <w:tc>
          <w:tcPr>
            <w:tcW w:w="1241" w:type="dxa"/>
          </w:tcPr>
          <w:p w14:paraId="72764D28" w14:textId="77777777" w:rsidR="00B0117A" w:rsidRPr="000B66A6" w:rsidRDefault="00B0117A">
            <w:pPr>
              <w:rPr>
                <w:b/>
              </w:rPr>
            </w:pPr>
            <w:r w:rsidRPr="000B66A6">
              <w:rPr>
                <w:b/>
              </w:rPr>
              <w:t xml:space="preserve">CSC lead </w:t>
            </w:r>
          </w:p>
        </w:tc>
        <w:tc>
          <w:tcPr>
            <w:tcW w:w="1011" w:type="dxa"/>
          </w:tcPr>
          <w:p w14:paraId="3F7AF5DC" w14:textId="77777777" w:rsidR="00B0117A" w:rsidRPr="000B66A6" w:rsidRDefault="00B0117A">
            <w:pPr>
              <w:rPr>
                <w:b/>
              </w:rPr>
            </w:pPr>
            <w:r w:rsidRPr="000B66A6">
              <w:rPr>
                <w:b/>
              </w:rPr>
              <w:t>Start Date</w:t>
            </w:r>
          </w:p>
        </w:tc>
        <w:tc>
          <w:tcPr>
            <w:tcW w:w="1813" w:type="dxa"/>
          </w:tcPr>
          <w:p w14:paraId="6B36DC59" w14:textId="77777777" w:rsidR="00B0117A" w:rsidRPr="000B66A6" w:rsidRDefault="00B0117A">
            <w:pPr>
              <w:rPr>
                <w:b/>
              </w:rPr>
            </w:pPr>
            <w:r w:rsidRPr="000B66A6">
              <w:rPr>
                <w:b/>
              </w:rPr>
              <w:t>Expected end date</w:t>
            </w:r>
          </w:p>
        </w:tc>
        <w:tc>
          <w:tcPr>
            <w:tcW w:w="3547" w:type="dxa"/>
          </w:tcPr>
          <w:p w14:paraId="32B043F6" w14:textId="77777777" w:rsidR="00B0117A" w:rsidRPr="000B66A6" w:rsidRDefault="00B0117A">
            <w:pPr>
              <w:rPr>
                <w:b/>
              </w:rPr>
            </w:pPr>
            <w:r w:rsidRPr="000B66A6">
              <w:rPr>
                <w:b/>
              </w:rPr>
              <w:t>Comment, if any</w:t>
            </w:r>
          </w:p>
        </w:tc>
      </w:tr>
      <w:tr w:rsidR="00A70BA8" w:rsidRPr="00A70BA8" w14:paraId="16F5D419" w14:textId="77777777" w:rsidTr="00A70BA8">
        <w:tc>
          <w:tcPr>
            <w:tcW w:w="1790" w:type="dxa"/>
          </w:tcPr>
          <w:p w14:paraId="43CE8B1B" w14:textId="77777777" w:rsidR="00B0117A" w:rsidRPr="00A70BA8" w:rsidRDefault="00483FE6">
            <w:pPr>
              <w:rPr>
                <w:sz w:val="22"/>
                <w:szCs w:val="22"/>
              </w:rPr>
            </w:pPr>
            <w:r w:rsidRPr="00A70BA8">
              <w:rPr>
                <w:sz w:val="22"/>
                <w:szCs w:val="22"/>
              </w:rPr>
              <w:t>Review of Implementation of Existing SLE’s</w:t>
            </w:r>
          </w:p>
        </w:tc>
        <w:tc>
          <w:tcPr>
            <w:tcW w:w="3306" w:type="dxa"/>
          </w:tcPr>
          <w:p w14:paraId="65BB57E8" w14:textId="77777777" w:rsidR="002D6359" w:rsidRPr="00A70BA8" w:rsidRDefault="002D6359" w:rsidP="002D6359">
            <w:pPr>
              <w:rPr>
                <w:sz w:val="22"/>
                <w:szCs w:val="22"/>
              </w:rPr>
            </w:pPr>
            <w:r w:rsidRPr="00A70BA8">
              <w:rPr>
                <w:sz w:val="22"/>
                <w:szCs w:val="22"/>
              </w:rPr>
              <w:t>Determine if issues identified to date involve changing the implementation of the existing SLE, or changing the SLE itself</w:t>
            </w:r>
          </w:p>
          <w:p w14:paraId="5F285BF6" w14:textId="77777777" w:rsidR="00B0117A" w:rsidRPr="00A70BA8" w:rsidRDefault="00B0117A">
            <w:pPr>
              <w:rPr>
                <w:sz w:val="22"/>
                <w:szCs w:val="22"/>
              </w:rPr>
            </w:pPr>
          </w:p>
        </w:tc>
        <w:tc>
          <w:tcPr>
            <w:tcW w:w="1462" w:type="dxa"/>
          </w:tcPr>
          <w:p w14:paraId="2A5CCFCC" w14:textId="77777777" w:rsidR="00B0117A" w:rsidRPr="00A70BA8" w:rsidRDefault="002D6359">
            <w:pPr>
              <w:rPr>
                <w:sz w:val="22"/>
                <w:szCs w:val="22"/>
              </w:rPr>
            </w:pPr>
            <w:r w:rsidRPr="00A70BA8">
              <w:rPr>
                <w:sz w:val="22"/>
                <w:szCs w:val="22"/>
              </w:rPr>
              <w:t>High priority</w:t>
            </w:r>
            <w:r w:rsidR="00A70BA8">
              <w:rPr>
                <w:sz w:val="22"/>
                <w:szCs w:val="22"/>
              </w:rPr>
              <w:t xml:space="preserve"> (1)</w:t>
            </w:r>
          </w:p>
        </w:tc>
        <w:tc>
          <w:tcPr>
            <w:tcW w:w="1241" w:type="dxa"/>
          </w:tcPr>
          <w:p w14:paraId="459CA05F" w14:textId="77777777" w:rsidR="00B0117A" w:rsidRPr="00A70BA8" w:rsidRDefault="002D6359">
            <w:pPr>
              <w:rPr>
                <w:sz w:val="22"/>
                <w:szCs w:val="22"/>
              </w:rPr>
            </w:pPr>
            <w:r w:rsidRPr="00A70BA8">
              <w:rPr>
                <w:sz w:val="22"/>
                <w:szCs w:val="22"/>
              </w:rPr>
              <w:t>Jay and Kal</w:t>
            </w:r>
          </w:p>
        </w:tc>
        <w:tc>
          <w:tcPr>
            <w:tcW w:w="1011" w:type="dxa"/>
          </w:tcPr>
          <w:p w14:paraId="24C13F7E" w14:textId="77777777" w:rsidR="00B0117A" w:rsidRPr="00A70BA8" w:rsidRDefault="00B0117A">
            <w:pPr>
              <w:rPr>
                <w:sz w:val="22"/>
                <w:szCs w:val="22"/>
              </w:rPr>
            </w:pPr>
          </w:p>
        </w:tc>
        <w:tc>
          <w:tcPr>
            <w:tcW w:w="1813" w:type="dxa"/>
          </w:tcPr>
          <w:p w14:paraId="24AD9C97" w14:textId="77777777" w:rsidR="00B0117A" w:rsidRPr="00A70BA8" w:rsidRDefault="00B0117A">
            <w:pPr>
              <w:rPr>
                <w:sz w:val="22"/>
                <w:szCs w:val="22"/>
              </w:rPr>
            </w:pPr>
          </w:p>
        </w:tc>
        <w:tc>
          <w:tcPr>
            <w:tcW w:w="3547" w:type="dxa"/>
          </w:tcPr>
          <w:p w14:paraId="335D2233" w14:textId="77777777" w:rsidR="00B0117A" w:rsidRPr="00A70BA8" w:rsidRDefault="002D6359">
            <w:pPr>
              <w:rPr>
                <w:sz w:val="22"/>
                <w:szCs w:val="22"/>
              </w:rPr>
            </w:pPr>
            <w:r w:rsidRPr="00A70BA8">
              <w:rPr>
                <w:sz w:val="22"/>
                <w:szCs w:val="22"/>
              </w:rPr>
              <w:t>Jay and Kal to interact with PTI to clarify point of view CSC</w:t>
            </w:r>
          </w:p>
        </w:tc>
      </w:tr>
      <w:tr w:rsidR="00A70BA8" w:rsidRPr="00A70BA8" w14:paraId="6432A37C" w14:textId="77777777" w:rsidTr="00A70BA8">
        <w:tc>
          <w:tcPr>
            <w:tcW w:w="1790" w:type="dxa"/>
          </w:tcPr>
          <w:p w14:paraId="6FD68730" w14:textId="77777777" w:rsidR="002D6359" w:rsidRPr="00A70BA8" w:rsidRDefault="002D6359" w:rsidP="002D6359">
            <w:pPr>
              <w:rPr>
                <w:sz w:val="22"/>
                <w:szCs w:val="22"/>
              </w:rPr>
            </w:pPr>
            <w:r w:rsidRPr="00A70BA8">
              <w:rPr>
                <w:sz w:val="22"/>
                <w:szCs w:val="22"/>
              </w:rPr>
              <w:t>Review of SLE’s</w:t>
            </w:r>
          </w:p>
          <w:p w14:paraId="140D40EA" w14:textId="77777777" w:rsidR="00B0117A" w:rsidRPr="00A70BA8" w:rsidRDefault="00B0117A">
            <w:pPr>
              <w:rPr>
                <w:sz w:val="22"/>
                <w:szCs w:val="22"/>
              </w:rPr>
            </w:pPr>
          </w:p>
        </w:tc>
        <w:tc>
          <w:tcPr>
            <w:tcW w:w="3306" w:type="dxa"/>
          </w:tcPr>
          <w:p w14:paraId="5B8009E1" w14:textId="77777777" w:rsidR="002D6359" w:rsidRPr="00A70BA8" w:rsidRDefault="002D6359" w:rsidP="002D6359">
            <w:pPr>
              <w:rPr>
                <w:sz w:val="22"/>
                <w:szCs w:val="22"/>
              </w:rPr>
            </w:pPr>
            <w:r w:rsidRPr="00A70BA8">
              <w:rPr>
                <w:sz w:val="22"/>
                <w:szCs w:val="22"/>
              </w:rPr>
              <w:t>The CSC needs to decide if it wants to initiate such a review, and if so, when</w:t>
            </w:r>
          </w:p>
          <w:p w14:paraId="5A07D168" w14:textId="77777777" w:rsidR="002D6359" w:rsidRPr="00A70BA8" w:rsidRDefault="002D6359" w:rsidP="002D6359">
            <w:pPr>
              <w:rPr>
                <w:sz w:val="22"/>
                <w:szCs w:val="22"/>
              </w:rPr>
            </w:pPr>
          </w:p>
          <w:p w14:paraId="78F9665C" w14:textId="77777777" w:rsidR="002D6359" w:rsidRPr="00A70BA8" w:rsidRDefault="002D6359" w:rsidP="002D6359">
            <w:pPr>
              <w:rPr>
                <w:sz w:val="22"/>
                <w:szCs w:val="22"/>
              </w:rPr>
            </w:pPr>
            <w:r w:rsidRPr="00A70BA8">
              <w:rPr>
                <w:sz w:val="22"/>
                <w:szCs w:val="22"/>
              </w:rPr>
              <w:t>The Naming Functions Contract specifies that “Total Contractor transaction time for emergency changes should be completed within a target of 12 hours until reviewed by the CSC with Contractor.’  Should changing this be part of a SLE review?</w:t>
            </w:r>
          </w:p>
          <w:p w14:paraId="12D8C0A0" w14:textId="77777777" w:rsidR="002D6359" w:rsidRPr="00A70BA8" w:rsidRDefault="002D6359" w:rsidP="002D6359">
            <w:pPr>
              <w:rPr>
                <w:sz w:val="22"/>
                <w:szCs w:val="22"/>
              </w:rPr>
            </w:pPr>
          </w:p>
          <w:p w14:paraId="20626E81" w14:textId="77777777" w:rsidR="002D6359" w:rsidRPr="00A70BA8" w:rsidRDefault="002D6359" w:rsidP="002D6359">
            <w:pPr>
              <w:rPr>
                <w:sz w:val="22"/>
                <w:szCs w:val="22"/>
              </w:rPr>
            </w:pPr>
            <w:r w:rsidRPr="00A70BA8">
              <w:rPr>
                <w:sz w:val="22"/>
                <w:szCs w:val="22"/>
              </w:rPr>
              <w:t>If a SLE review is initiated, could or should the larger ‘performance review (item 5.) be done at the same time?</w:t>
            </w:r>
          </w:p>
          <w:p w14:paraId="7B35FD10" w14:textId="77777777" w:rsidR="00B0117A" w:rsidRPr="00A70BA8" w:rsidRDefault="00B0117A">
            <w:pPr>
              <w:rPr>
                <w:sz w:val="22"/>
                <w:szCs w:val="22"/>
              </w:rPr>
            </w:pPr>
          </w:p>
        </w:tc>
        <w:tc>
          <w:tcPr>
            <w:tcW w:w="1462" w:type="dxa"/>
          </w:tcPr>
          <w:p w14:paraId="613A4379" w14:textId="77777777" w:rsidR="00B0117A" w:rsidRPr="00A70BA8" w:rsidRDefault="002D6359">
            <w:pPr>
              <w:rPr>
                <w:sz w:val="22"/>
                <w:szCs w:val="22"/>
              </w:rPr>
            </w:pPr>
            <w:r w:rsidRPr="00A70BA8">
              <w:rPr>
                <w:sz w:val="22"/>
                <w:szCs w:val="22"/>
              </w:rPr>
              <w:t>High Importance, not urgent</w:t>
            </w:r>
            <w:r w:rsidR="00A70BA8">
              <w:rPr>
                <w:sz w:val="22"/>
                <w:szCs w:val="22"/>
              </w:rPr>
              <w:t xml:space="preserve"> (2)</w:t>
            </w:r>
          </w:p>
        </w:tc>
        <w:tc>
          <w:tcPr>
            <w:tcW w:w="1241" w:type="dxa"/>
          </w:tcPr>
          <w:p w14:paraId="133B721E" w14:textId="092352BF" w:rsidR="00B0117A" w:rsidRPr="00A70BA8" w:rsidRDefault="00C446A2" w:rsidP="000B66A6">
            <w:pPr>
              <w:rPr>
                <w:sz w:val="22"/>
                <w:szCs w:val="22"/>
              </w:rPr>
            </w:pPr>
            <w:r>
              <w:rPr>
                <w:sz w:val="22"/>
                <w:szCs w:val="22"/>
              </w:rPr>
              <w:t>TBD</w:t>
            </w:r>
          </w:p>
        </w:tc>
        <w:tc>
          <w:tcPr>
            <w:tcW w:w="1011" w:type="dxa"/>
          </w:tcPr>
          <w:p w14:paraId="6A95B7B9" w14:textId="77777777" w:rsidR="00B0117A" w:rsidRPr="00A70BA8" w:rsidRDefault="00B0117A">
            <w:pPr>
              <w:rPr>
                <w:sz w:val="22"/>
                <w:szCs w:val="22"/>
              </w:rPr>
            </w:pPr>
          </w:p>
        </w:tc>
        <w:tc>
          <w:tcPr>
            <w:tcW w:w="1813" w:type="dxa"/>
          </w:tcPr>
          <w:p w14:paraId="0CB61159" w14:textId="502A4938" w:rsidR="00B0117A" w:rsidRPr="00A70BA8" w:rsidRDefault="00B0117A">
            <w:pPr>
              <w:rPr>
                <w:sz w:val="22"/>
                <w:szCs w:val="22"/>
              </w:rPr>
            </w:pPr>
          </w:p>
        </w:tc>
        <w:tc>
          <w:tcPr>
            <w:tcW w:w="3547" w:type="dxa"/>
          </w:tcPr>
          <w:p w14:paraId="722D6196" w14:textId="77777777" w:rsidR="00C446A2" w:rsidRDefault="000B66A6">
            <w:pPr>
              <w:rPr>
                <w:sz w:val="22"/>
                <w:szCs w:val="22"/>
              </w:rPr>
            </w:pPr>
            <w:r w:rsidRPr="00A70BA8">
              <w:rPr>
                <w:sz w:val="22"/>
                <w:szCs w:val="22"/>
              </w:rPr>
              <w:t>Need to understand by all how SLE update may take place and inform relevant actors accordingly</w:t>
            </w:r>
            <w:r w:rsidR="00C446A2" w:rsidRPr="00A70BA8">
              <w:rPr>
                <w:sz w:val="22"/>
                <w:szCs w:val="22"/>
              </w:rPr>
              <w:t xml:space="preserve"> </w:t>
            </w:r>
          </w:p>
          <w:p w14:paraId="3CFB20BA" w14:textId="77777777" w:rsidR="00C446A2" w:rsidRDefault="00C446A2">
            <w:pPr>
              <w:rPr>
                <w:sz w:val="22"/>
                <w:szCs w:val="22"/>
              </w:rPr>
            </w:pPr>
          </w:p>
          <w:p w14:paraId="3FC42E57" w14:textId="6434344F" w:rsidR="00B0117A" w:rsidRPr="00A70BA8" w:rsidRDefault="00C446A2">
            <w:pPr>
              <w:rPr>
                <w:sz w:val="22"/>
                <w:szCs w:val="22"/>
              </w:rPr>
            </w:pPr>
            <w:r>
              <w:rPr>
                <w:sz w:val="22"/>
                <w:szCs w:val="22"/>
              </w:rPr>
              <w:t xml:space="preserve">Action: </w:t>
            </w:r>
            <w:r w:rsidRPr="00A70BA8">
              <w:rPr>
                <w:sz w:val="22"/>
                <w:szCs w:val="22"/>
              </w:rPr>
              <w:t>Trang and Bart to provide CSC overview of required steps</w:t>
            </w:r>
            <w:r w:rsidRPr="00A70BA8">
              <w:rPr>
                <w:sz w:val="22"/>
                <w:szCs w:val="22"/>
              </w:rPr>
              <w:t xml:space="preserve"> </w:t>
            </w:r>
            <w:r>
              <w:rPr>
                <w:sz w:val="22"/>
                <w:szCs w:val="22"/>
              </w:rPr>
              <w:t xml:space="preserve">by </w:t>
            </w:r>
            <w:r w:rsidRPr="00A70BA8">
              <w:rPr>
                <w:sz w:val="22"/>
                <w:szCs w:val="22"/>
              </w:rPr>
              <w:t>May CSC meeting</w:t>
            </w:r>
          </w:p>
        </w:tc>
      </w:tr>
      <w:tr w:rsidR="00A70BA8" w:rsidRPr="00A70BA8" w14:paraId="1EEE175D" w14:textId="77777777" w:rsidTr="00A70BA8">
        <w:tc>
          <w:tcPr>
            <w:tcW w:w="1790" w:type="dxa"/>
          </w:tcPr>
          <w:p w14:paraId="05B6AAC3" w14:textId="77777777" w:rsidR="00B0117A" w:rsidRPr="00A70BA8" w:rsidRDefault="000B66A6">
            <w:pPr>
              <w:rPr>
                <w:sz w:val="22"/>
                <w:szCs w:val="22"/>
              </w:rPr>
            </w:pPr>
            <w:r w:rsidRPr="00A70BA8">
              <w:rPr>
                <w:sz w:val="22"/>
                <w:szCs w:val="22"/>
              </w:rPr>
              <w:lastRenderedPageBreak/>
              <w:t>CSC Role in PTI Survey</w:t>
            </w:r>
          </w:p>
        </w:tc>
        <w:tc>
          <w:tcPr>
            <w:tcW w:w="3306" w:type="dxa"/>
          </w:tcPr>
          <w:p w14:paraId="4BC19EBB" w14:textId="77777777" w:rsidR="000B66A6" w:rsidRPr="00A70BA8" w:rsidRDefault="000B66A6" w:rsidP="000B66A6">
            <w:pPr>
              <w:rPr>
                <w:sz w:val="22"/>
                <w:szCs w:val="22"/>
              </w:rPr>
            </w:pPr>
            <w:r w:rsidRPr="00A70BA8">
              <w:rPr>
                <w:sz w:val="22"/>
                <w:szCs w:val="22"/>
              </w:rPr>
              <w:t>The Naming Functions Agreement specifies that PTI “shall collaborate with the CSC and ICANN to maintain and enhance the annual customer service survey consistent with the performance standards for Root Zone Management.”</w:t>
            </w:r>
          </w:p>
          <w:p w14:paraId="5DF345FF" w14:textId="77777777" w:rsidR="00B0117A" w:rsidRPr="00A70BA8" w:rsidRDefault="00B0117A">
            <w:pPr>
              <w:rPr>
                <w:sz w:val="22"/>
                <w:szCs w:val="22"/>
              </w:rPr>
            </w:pPr>
          </w:p>
        </w:tc>
        <w:tc>
          <w:tcPr>
            <w:tcW w:w="1462" w:type="dxa"/>
          </w:tcPr>
          <w:p w14:paraId="58D12E36" w14:textId="77777777" w:rsidR="00B0117A" w:rsidRDefault="000B66A6">
            <w:pPr>
              <w:rPr>
                <w:sz w:val="22"/>
                <w:szCs w:val="22"/>
              </w:rPr>
            </w:pPr>
            <w:r w:rsidRPr="00A70BA8">
              <w:rPr>
                <w:sz w:val="22"/>
                <w:szCs w:val="22"/>
              </w:rPr>
              <w:t>Important and relative urgent to ensure greater participation</w:t>
            </w:r>
          </w:p>
          <w:p w14:paraId="6BE6C101" w14:textId="77777777" w:rsidR="00A70BA8" w:rsidRPr="00A70BA8" w:rsidRDefault="00A70BA8">
            <w:pPr>
              <w:rPr>
                <w:sz w:val="22"/>
                <w:szCs w:val="22"/>
              </w:rPr>
            </w:pPr>
            <w:r>
              <w:rPr>
                <w:sz w:val="22"/>
                <w:szCs w:val="22"/>
              </w:rPr>
              <w:t>(2)</w:t>
            </w:r>
          </w:p>
        </w:tc>
        <w:tc>
          <w:tcPr>
            <w:tcW w:w="1241" w:type="dxa"/>
          </w:tcPr>
          <w:p w14:paraId="0E873914" w14:textId="77777777" w:rsidR="00B0117A" w:rsidRPr="00A70BA8" w:rsidRDefault="000B66A6">
            <w:pPr>
              <w:rPr>
                <w:sz w:val="22"/>
                <w:szCs w:val="22"/>
              </w:rPr>
            </w:pPr>
            <w:r w:rsidRPr="00A70BA8">
              <w:rPr>
                <w:sz w:val="22"/>
                <w:szCs w:val="22"/>
              </w:rPr>
              <w:t>Byron</w:t>
            </w:r>
          </w:p>
        </w:tc>
        <w:tc>
          <w:tcPr>
            <w:tcW w:w="1011" w:type="dxa"/>
          </w:tcPr>
          <w:p w14:paraId="74A57586" w14:textId="77777777" w:rsidR="00B0117A" w:rsidRPr="00A70BA8" w:rsidRDefault="00B0117A">
            <w:pPr>
              <w:rPr>
                <w:sz w:val="22"/>
                <w:szCs w:val="22"/>
              </w:rPr>
            </w:pPr>
          </w:p>
        </w:tc>
        <w:tc>
          <w:tcPr>
            <w:tcW w:w="1813" w:type="dxa"/>
          </w:tcPr>
          <w:p w14:paraId="0A9A9DE7" w14:textId="2E532632" w:rsidR="00B0117A" w:rsidRPr="00A70BA8" w:rsidRDefault="00B0117A">
            <w:pPr>
              <w:rPr>
                <w:sz w:val="22"/>
                <w:szCs w:val="22"/>
              </w:rPr>
            </w:pPr>
          </w:p>
        </w:tc>
        <w:tc>
          <w:tcPr>
            <w:tcW w:w="3547" w:type="dxa"/>
          </w:tcPr>
          <w:p w14:paraId="0FB2EA40" w14:textId="77777777" w:rsidR="00C446A2" w:rsidRDefault="000B66A6">
            <w:pPr>
              <w:rPr>
                <w:sz w:val="22"/>
                <w:szCs w:val="22"/>
              </w:rPr>
            </w:pPr>
            <w:r w:rsidRPr="00A70BA8">
              <w:rPr>
                <w:sz w:val="22"/>
                <w:szCs w:val="22"/>
              </w:rPr>
              <w:t>PTI staff to provide initial layout and schedule of upcoming survey</w:t>
            </w:r>
          </w:p>
          <w:p w14:paraId="41DB08D8" w14:textId="77777777" w:rsidR="00C446A2" w:rsidRDefault="00C446A2">
            <w:pPr>
              <w:rPr>
                <w:sz w:val="22"/>
                <w:szCs w:val="22"/>
              </w:rPr>
            </w:pPr>
          </w:p>
          <w:p w14:paraId="68A86315" w14:textId="5DD14F46" w:rsidR="00B0117A" w:rsidRPr="00A70BA8" w:rsidRDefault="00C446A2">
            <w:pPr>
              <w:rPr>
                <w:sz w:val="22"/>
                <w:szCs w:val="22"/>
              </w:rPr>
            </w:pPr>
            <w:r w:rsidRPr="00A70BA8">
              <w:rPr>
                <w:sz w:val="22"/>
                <w:szCs w:val="22"/>
              </w:rPr>
              <w:t>10 May 2017, initial overview and schedule of survey</w:t>
            </w:r>
          </w:p>
        </w:tc>
      </w:tr>
      <w:tr w:rsidR="00A70BA8" w:rsidRPr="00A70BA8" w14:paraId="26C3F022" w14:textId="77777777" w:rsidTr="00A70BA8">
        <w:tc>
          <w:tcPr>
            <w:tcW w:w="1790" w:type="dxa"/>
          </w:tcPr>
          <w:p w14:paraId="2F03127E" w14:textId="77777777" w:rsidR="000B66A6" w:rsidRPr="00A70BA8" w:rsidRDefault="000B66A6" w:rsidP="000B66A6">
            <w:pPr>
              <w:rPr>
                <w:sz w:val="22"/>
                <w:szCs w:val="22"/>
              </w:rPr>
            </w:pPr>
            <w:r w:rsidRPr="00A70BA8">
              <w:rPr>
                <w:sz w:val="22"/>
                <w:szCs w:val="22"/>
              </w:rPr>
              <w:t>Remedial Action Procedures</w:t>
            </w:r>
          </w:p>
          <w:p w14:paraId="23E93F19" w14:textId="77777777" w:rsidR="00B0117A" w:rsidRPr="00A70BA8" w:rsidRDefault="00B0117A">
            <w:pPr>
              <w:rPr>
                <w:sz w:val="22"/>
                <w:szCs w:val="22"/>
              </w:rPr>
            </w:pPr>
          </w:p>
        </w:tc>
        <w:tc>
          <w:tcPr>
            <w:tcW w:w="3306" w:type="dxa"/>
          </w:tcPr>
          <w:p w14:paraId="462654F5" w14:textId="77777777" w:rsidR="000B66A6" w:rsidRPr="00A70BA8" w:rsidRDefault="000B66A6" w:rsidP="000B66A6">
            <w:pPr>
              <w:rPr>
                <w:sz w:val="22"/>
                <w:szCs w:val="22"/>
              </w:rPr>
            </w:pPr>
            <w:r w:rsidRPr="00A70BA8">
              <w:rPr>
                <w:sz w:val="22"/>
                <w:szCs w:val="22"/>
              </w:rPr>
              <w:t xml:space="preserve">A draft is in the CSC Charter but are to be developed and agreed by the CSC and PTI.  </w:t>
            </w:r>
          </w:p>
          <w:p w14:paraId="479621A8" w14:textId="77777777" w:rsidR="000B66A6" w:rsidRPr="00A70BA8" w:rsidRDefault="000B66A6" w:rsidP="000B66A6">
            <w:pPr>
              <w:rPr>
                <w:sz w:val="22"/>
                <w:szCs w:val="22"/>
              </w:rPr>
            </w:pPr>
          </w:p>
          <w:p w14:paraId="6595FE06" w14:textId="77777777" w:rsidR="000B66A6" w:rsidRPr="00A70BA8" w:rsidRDefault="000B66A6" w:rsidP="000B66A6">
            <w:pPr>
              <w:rPr>
                <w:sz w:val="22"/>
                <w:szCs w:val="22"/>
              </w:rPr>
            </w:pPr>
            <w:r w:rsidRPr="00A70BA8">
              <w:rPr>
                <w:sz w:val="22"/>
                <w:szCs w:val="22"/>
              </w:rPr>
              <w:t>This is the process by which ‘systemic issues’ are addressed</w:t>
            </w:r>
          </w:p>
          <w:p w14:paraId="463F1DC5" w14:textId="77777777" w:rsidR="000B66A6" w:rsidRPr="00A70BA8" w:rsidRDefault="000B66A6" w:rsidP="000B66A6">
            <w:pPr>
              <w:rPr>
                <w:sz w:val="22"/>
                <w:szCs w:val="22"/>
              </w:rPr>
            </w:pPr>
          </w:p>
          <w:p w14:paraId="7E65F67D" w14:textId="77777777" w:rsidR="000B66A6" w:rsidRPr="00A70BA8" w:rsidRDefault="000B66A6" w:rsidP="000B66A6">
            <w:pPr>
              <w:rPr>
                <w:sz w:val="22"/>
                <w:szCs w:val="22"/>
              </w:rPr>
            </w:pPr>
            <w:r w:rsidRPr="00A70BA8">
              <w:rPr>
                <w:sz w:val="22"/>
                <w:szCs w:val="22"/>
              </w:rPr>
              <w:t>Also need to discuss whether a definition of ‘systemic or persistent issue’ is needed immediately</w:t>
            </w:r>
          </w:p>
          <w:p w14:paraId="28AE1724" w14:textId="77777777" w:rsidR="00B0117A" w:rsidRPr="00A70BA8" w:rsidRDefault="00B0117A">
            <w:pPr>
              <w:rPr>
                <w:sz w:val="22"/>
                <w:szCs w:val="22"/>
              </w:rPr>
            </w:pPr>
          </w:p>
        </w:tc>
        <w:tc>
          <w:tcPr>
            <w:tcW w:w="1462" w:type="dxa"/>
          </w:tcPr>
          <w:p w14:paraId="39BA9220" w14:textId="77777777" w:rsidR="00B0117A" w:rsidRDefault="00BE03FD">
            <w:pPr>
              <w:rPr>
                <w:sz w:val="22"/>
                <w:szCs w:val="22"/>
              </w:rPr>
            </w:pPr>
            <w:r w:rsidRPr="00A70BA8">
              <w:rPr>
                <w:sz w:val="22"/>
                <w:szCs w:val="22"/>
              </w:rPr>
              <w:t xml:space="preserve">Important, </w:t>
            </w:r>
            <w:r w:rsidR="00E9744D" w:rsidRPr="00A70BA8">
              <w:rPr>
                <w:sz w:val="22"/>
                <w:szCs w:val="22"/>
              </w:rPr>
              <w:t>not so urgent</w:t>
            </w:r>
          </w:p>
          <w:p w14:paraId="4584AB7E" w14:textId="77777777" w:rsidR="00A70BA8" w:rsidRPr="00A70BA8" w:rsidRDefault="00A70BA8">
            <w:pPr>
              <w:rPr>
                <w:sz w:val="22"/>
                <w:szCs w:val="22"/>
              </w:rPr>
            </w:pPr>
            <w:r>
              <w:rPr>
                <w:sz w:val="22"/>
                <w:szCs w:val="22"/>
              </w:rPr>
              <w:t>(2)</w:t>
            </w:r>
          </w:p>
        </w:tc>
        <w:tc>
          <w:tcPr>
            <w:tcW w:w="1241" w:type="dxa"/>
          </w:tcPr>
          <w:p w14:paraId="0DB3E0C3" w14:textId="77777777" w:rsidR="00B0117A" w:rsidRPr="00A70BA8" w:rsidRDefault="00E9744D">
            <w:pPr>
              <w:rPr>
                <w:sz w:val="22"/>
                <w:szCs w:val="22"/>
              </w:rPr>
            </w:pPr>
            <w:r w:rsidRPr="00A70BA8">
              <w:rPr>
                <w:sz w:val="22"/>
                <w:szCs w:val="22"/>
              </w:rPr>
              <w:t>TBD</w:t>
            </w:r>
          </w:p>
        </w:tc>
        <w:tc>
          <w:tcPr>
            <w:tcW w:w="1011" w:type="dxa"/>
          </w:tcPr>
          <w:p w14:paraId="48C2401A" w14:textId="77777777" w:rsidR="00B0117A" w:rsidRPr="00A70BA8" w:rsidRDefault="00E9744D">
            <w:pPr>
              <w:rPr>
                <w:sz w:val="22"/>
                <w:szCs w:val="22"/>
              </w:rPr>
            </w:pPr>
            <w:r w:rsidRPr="00A70BA8">
              <w:rPr>
                <w:sz w:val="22"/>
                <w:szCs w:val="22"/>
              </w:rPr>
              <w:t>May 2017</w:t>
            </w:r>
          </w:p>
        </w:tc>
        <w:tc>
          <w:tcPr>
            <w:tcW w:w="1813" w:type="dxa"/>
          </w:tcPr>
          <w:p w14:paraId="5F22062D" w14:textId="77777777" w:rsidR="00B0117A" w:rsidRPr="00A70BA8" w:rsidRDefault="00B0117A">
            <w:pPr>
              <w:rPr>
                <w:sz w:val="22"/>
                <w:szCs w:val="22"/>
              </w:rPr>
            </w:pPr>
          </w:p>
        </w:tc>
        <w:tc>
          <w:tcPr>
            <w:tcW w:w="3547" w:type="dxa"/>
          </w:tcPr>
          <w:p w14:paraId="3753D94B" w14:textId="77777777" w:rsidR="00B0117A" w:rsidRPr="00A70BA8" w:rsidRDefault="00E9744D">
            <w:pPr>
              <w:rPr>
                <w:sz w:val="22"/>
                <w:szCs w:val="22"/>
              </w:rPr>
            </w:pPr>
            <w:r w:rsidRPr="00A70BA8">
              <w:rPr>
                <w:sz w:val="22"/>
                <w:szCs w:val="22"/>
              </w:rPr>
              <w:t xml:space="preserve">Charter provides basic </w:t>
            </w:r>
          </w:p>
        </w:tc>
      </w:tr>
      <w:tr w:rsidR="00A70BA8" w:rsidRPr="00A70BA8" w14:paraId="2E5DDA4F" w14:textId="77777777" w:rsidTr="00A70BA8">
        <w:tc>
          <w:tcPr>
            <w:tcW w:w="1790" w:type="dxa"/>
          </w:tcPr>
          <w:p w14:paraId="45E012AE" w14:textId="77777777" w:rsidR="00B0117A" w:rsidRPr="00A70BA8" w:rsidRDefault="00F60ADA">
            <w:pPr>
              <w:rPr>
                <w:sz w:val="22"/>
                <w:szCs w:val="22"/>
              </w:rPr>
            </w:pPr>
            <w:r w:rsidRPr="00A70BA8">
              <w:rPr>
                <w:sz w:val="22"/>
                <w:szCs w:val="22"/>
              </w:rPr>
              <w:t>CSC Charter review</w:t>
            </w:r>
          </w:p>
        </w:tc>
        <w:tc>
          <w:tcPr>
            <w:tcW w:w="3306" w:type="dxa"/>
          </w:tcPr>
          <w:p w14:paraId="40397E3E" w14:textId="77777777" w:rsidR="00B0117A" w:rsidRPr="00A70BA8" w:rsidRDefault="00F60ADA">
            <w:pPr>
              <w:rPr>
                <w:sz w:val="22"/>
                <w:szCs w:val="22"/>
              </w:rPr>
            </w:pPr>
            <w:r w:rsidRPr="00A70BA8">
              <w:rPr>
                <w:sz w:val="22"/>
                <w:szCs w:val="22"/>
              </w:rPr>
              <w:t>Appoint liaison</w:t>
            </w:r>
          </w:p>
        </w:tc>
        <w:tc>
          <w:tcPr>
            <w:tcW w:w="1462" w:type="dxa"/>
          </w:tcPr>
          <w:p w14:paraId="78ACF2FA" w14:textId="77777777" w:rsidR="00B0117A" w:rsidRDefault="00F60ADA">
            <w:pPr>
              <w:rPr>
                <w:sz w:val="22"/>
                <w:szCs w:val="22"/>
              </w:rPr>
            </w:pPr>
            <w:r w:rsidRPr="00A70BA8">
              <w:rPr>
                <w:sz w:val="22"/>
                <w:szCs w:val="22"/>
              </w:rPr>
              <w:t xml:space="preserve">Important </w:t>
            </w:r>
          </w:p>
          <w:p w14:paraId="1DF25496" w14:textId="77777777" w:rsidR="00A70BA8" w:rsidRPr="00A70BA8" w:rsidRDefault="00A70BA8">
            <w:pPr>
              <w:rPr>
                <w:sz w:val="22"/>
                <w:szCs w:val="22"/>
              </w:rPr>
            </w:pPr>
            <w:r>
              <w:rPr>
                <w:sz w:val="22"/>
                <w:szCs w:val="22"/>
              </w:rPr>
              <w:t>(3)</w:t>
            </w:r>
          </w:p>
        </w:tc>
        <w:tc>
          <w:tcPr>
            <w:tcW w:w="1241" w:type="dxa"/>
          </w:tcPr>
          <w:p w14:paraId="74A3CA64" w14:textId="77777777" w:rsidR="00A70BA8" w:rsidRPr="00A70BA8" w:rsidRDefault="00F60ADA">
            <w:pPr>
              <w:rPr>
                <w:sz w:val="22"/>
                <w:szCs w:val="22"/>
              </w:rPr>
            </w:pPr>
            <w:r w:rsidRPr="00A70BA8">
              <w:rPr>
                <w:sz w:val="22"/>
                <w:szCs w:val="22"/>
              </w:rPr>
              <w:t>TBD</w:t>
            </w:r>
            <w:r w:rsidR="00A70BA8" w:rsidRPr="00A70BA8">
              <w:rPr>
                <w:sz w:val="22"/>
                <w:szCs w:val="22"/>
              </w:rPr>
              <w:t xml:space="preserve"> </w:t>
            </w:r>
          </w:p>
          <w:p w14:paraId="4A985E9B" w14:textId="3B406DAD" w:rsidR="00B0117A" w:rsidRPr="00A70BA8" w:rsidRDefault="00B0117A">
            <w:pPr>
              <w:rPr>
                <w:sz w:val="22"/>
                <w:szCs w:val="22"/>
              </w:rPr>
            </w:pPr>
          </w:p>
        </w:tc>
        <w:tc>
          <w:tcPr>
            <w:tcW w:w="1011" w:type="dxa"/>
          </w:tcPr>
          <w:p w14:paraId="527238F3" w14:textId="77777777" w:rsidR="00B0117A" w:rsidRPr="00A70BA8" w:rsidRDefault="00F60ADA">
            <w:pPr>
              <w:rPr>
                <w:sz w:val="22"/>
                <w:szCs w:val="22"/>
              </w:rPr>
            </w:pPr>
            <w:r w:rsidRPr="00A70BA8">
              <w:rPr>
                <w:sz w:val="22"/>
                <w:szCs w:val="22"/>
              </w:rPr>
              <w:t>May 2017, start of defining method etc. RySG and ccNSO</w:t>
            </w:r>
          </w:p>
        </w:tc>
        <w:tc>
          <w:tcPr>
            <w:tcW w:w="1813" w:type="dxa"/>
          </w:tcPr>
          <w:p w14:paraId="02FF978D" w14:textId="77777777" w:rsidR="00B0117A" w:rsidRPr="00A70BA8" w:rsidRDefault="00F60ADA">
            <w:pPr>
              <w:rPr>
                <w:sz w:val="22"/>
                <w:szCs w:val="22"/>
              </w:rPr>
            </w:pPr>
            <w:r w:rsidRPr="00A70BA8">
              <w:rPr>
                <w:sz w:val="22"/>
                <w:szCs w:val="22"/>
              </w:rPr>
              <w:t>February/March 2018</w:t>
            </w:r>
          </w:p>
        </w:tc>
        <w:tc>
          <w:tcPr>
            <w:tcW w:w="3547" w:type="dxa"/>
          </w:tcPr>
          <w:p w14:paraId="2265A476" w14:textId="77777777" w:rsidR="00A70BA8" w:rsidRPr="00A70BA8" w:rsidRDefault="00A70BA8" w:rsidP="00A70BA8">
            <w:pPr>
              <w:rPr>
                <w:rFonts w:cs="Times New Roman"/>
                <w:color w:val="000000"/>
                <w:sz w:val="22"/>
                <w:szCs w:val="22"/>
              </w:rPr>
            </w:pPr>
            <w:r w:rsidRPr="00A70BA8">
              <w:rPr>
                <w:rFonts w:cs="Times New Roman"/>
                <w:color w:val="000000"/>
                <w:sz w:val="22"/>
                <w:szCs w:val="22"/>
              </w:rPr>
              <w:t>Schedule:</w:t>
            </w:r>
          </w:p>
          <w:p w14:paraId="30630B1A" w14:textId="77777777" w:rsidR="00A70BA8" w:rsidRPr="00A70BA8" w:rsidRDefault="00A70BA8" w:rsidP="00A70BA8">
            <w:pPr>
              <w:rPr>
                <w:rFonts w:cs="Times New Roman"/>
                <w:color w:val="000000"/>
                <w:sz w:val="22"/>
                <w:szCs w:val="22"/>
              </w:rPr>
            </w:pPr>
            <w:r w:rsidRPr="00A70BA8">
              <w:rPr>
                <w:rFonts w:cs="Times New Roman"/>
                <w:color w:val="000000"/>
                <w:sz w:val="22"/>
                <w:szCs w:val="22"/>
              </w:rPr>
              <w:t> May- June 2017: draft terms/parameters review (ccNSO and RySG team).</w:t>
            </w:r>
          </w:p>
          <w:p w14:paraId="62ADB2D2" w14:textId="77777777" w:rsidR="00A70BA8" w:rsidRPr="00A70BA8" w:rsidRDefault="00A70BA8" w:rsidP="00A70BA8">
            <w:pPr>
              <w:rPr>
                <w:rFonts w:cs="Times New Roman"/>
                <w:color w:val="000000"/>
                <w:sz w:val="22"/>
                <w:szCs w:val="22"/>
              </w:rPr>
            </w:pPr>
            <w:r w:rsidRPr="00A70BA8">
              <w:rPr>
                <w:rFonts w:cs="Times New Roman"/>
                <w:color w:val="000000"/>
                <w:sz w:val="22"/>
                <w:szCs w:val="22"/>
              </w:rPr>
              <w:t>Mid – June 2017:  Propose terms of reference review to RySG and ccNSO</w:t>
            </w:r>
          </w:p>
          <w:p w14:paraId="3CB1FBFB" w14:textId="77777777" w:rsidR="00A70BA8" w:rsidRPr="00A70BA8" w:rsidRDefault="00A70BA8" w:rsidP="00A70BA8">
            <w:pPr>
              <w:ind w:left="360"/>
              <w:rPr>
                <w:rFonts w:cs="Times New Roman"/>
                <w:color w:val="000000"/>
                <w:sz w:val="22"/>
                <w:szCs w:val="22"/>
              </w:rPr>
            </w:pPr>
            <w:r w:rsidRPr="00A70BA8">
              <w:rPr>
                <w:rFonts w:cs="Times New Roman"/>
                <w:color w:val="000000"/>
                <w:sz w:val="22"/>
                <w:szCs w:val="22"/>
              </w:rPr>
              <w:t>June agreement/adoption terms of review at ICANN 59.</w:t>
            </w:r>
          </w:p>
          <w:p w14:paraId="131C8FEC" w14:textId="77777777" w:rsidR="00A70BA8" w:rsidRPr="00A70BA8" w:rsidRDefault="00A70BA8" w:rsidP="00A70BA8">
            <w:pPr>
              <w:ind w:left="360"/>
              <w:rPr>
                <w:rFonts w:cs="Times New Roman"/>
                <w:color w:val="000000"/>
                <w:sz w:val="22"/>
                <w:szCs w:val="22"/>
              </w:rPr>
            </w:pPr>
          </w:p>
          <w:p w14:paraId="49CA0C01" w14:textId="77777777" w:rsidR="00A70BA8" w:rsidRPr="00A70BA8" w:rsidRDefault="00A70BA8" w:rsidP="00A70BA8">
            <w:pPr>
              <w:ind w:left="360"/>
              <w:rPr>
                <w:rFonts w:cs="Times New Roman"/>
                <w:color w:val="000000"/>
                <w:sz w:val="22"/>
                <w:szCs w:val="22"/>
              </w:rPr>
            </w:pPr>
            <w:r w:rsidRPr="00A70BA8">
              <w:rPr>
                <w:rFonts w:cs="Times New Roman"/>
                <w:color w:val="000000"/>
                <w:sz w:val="22"/>
                <w:szCs w:val="22"/>
              </w:rPr>
              <w:t> October 2017 kick-off review</w:t>
            </w:r>
          </w:p>
          <w:p w14:paraId="673B4FD6" w14:textId="77777777" w:rsidR="00A70BA8" w:rsidRPr="00A70BA8" w:rsidRDefault="00A70BA8" w:rsidP="00A70BA8">
            <w:pPr>
              <w:ind w:left="360"/>
              <w:rPr>
                <w:rFonts w:cs="Times New Roman"/>
                <w:color w:val="000000"/>
                <w:sz w:val="22"/>
                <w:szCs w:val="22"/>
              </w:rPr>
            </w:pPr>
          </w:p>
          <w:p w14:paraId="6972BDE6" w14:textId="77777777" w:rsidR="00A70BA8" w:rsidRPr="00A70BA8" w:rsidRDefault="00A70BA8" w:rsidP="00A70BA8">
            <w:pPr>
              <w:ind w:left="360"/>
              <w:rPr>
                <w:rFonts w:cs="Times New Roman"/>
                <w:color w:val="000000"/>
                <w:sz w:val="22"/>
                <w:szCs w:val="22"/>
              </w:rPr>
            </w:pPr>
            <w:r w:rsidRPr="00A70BA8">
              <w:rPr>
                <w:rFonts w:cs="Times New Roman"/>
                <w:color w:val="000000"/>
                <w:sz w:val="22"/>
                <w:szCs w:val="22"/>
              </w:rPr>
              <w:t> Annual meeting  (ICANN 60). Public consultation</w:t>
            </w:r>
          </w:p>
          <w:p w14:paraId="71EC15BD" w14:textId="77777777" w:rsidR="00A70BA8" w:rsidRPr="00A70BA8" w:rsidRDefault="00A70BA8" w:rsidP="00A70BA8">
            <w:pPr>
              <w:ind w:left="360"/>
              <w:rPr>
                <w:rFonts w:cs="Times New Roman"/>
                <w:color w:val="000000"/>
                <w:sz w:val="22"/>
                <w:szCs w:val="22"/>
              </w:rPr>
            </w:pPr>
          </w:p>
          <w:p w14:paraId="090AF72A" w14:textId="77777777" w:rsidR="00A70BA8" w:rsidRPr="00A70BA8" w:rsidRDefault="00A70BA8" w:rsidP="00A70BA8">
            <w:pPr>
              <w:ind w:left="360"/>
              <w:rPr>
                <w:rFonts w:cs="Times New Roman"/>
                <w:color w:val="000000"/>
                <w:sz w:val="22"/>
                <w:szCs w:val="22"/>
              </w:rPr>
            </w:pPr>
            <w:r w:rsidRPr="00A70BA8">
              <w:rPr>
                <w:rFonts w:cs="Times New Roman"/>
                <w:color w:val="000000"/>
                <w:sz w:val="22"/>
                <w:szCs w:val="22"/>
              </w:rPr>
              <w:t> Preparation final report, include proposed changes charter</w:t>
            </w:r>
          </w:p>
          <w:p w14:paraId="04B8B158" w14:textId="77777777" w:rsidR="00A70BA8" w:rsidRPr="00A70BA8" w:rsidRDefault="00A70BA8" w:rsidP="00A70BA8">
            <w:pPr>
              <w:ind w:left="360"/>
              <w:rPr>
                <w:rFonts w:cs="Times New Roman"/>
                <w:color w:val="000000"/>
                <w:sz w:val="22"/>
                <w:szCs w:val="22"/>
              </w:rPr>
            </w:pPr>
          </w:p>
          <w:p w14:paraId="3C784174" w14:textId="77777777" w:rsidR="00A70BA8" w:rsidRPr="00A70BA8" w:rsidRDefault="00A70BA8" w:rsidP="00A70BA8">
            <w:pPr>
              <w:ind w:left="360"/>
              <w:rPr>
                <w:rFonts w:cs="Times New Roman"/>
                <w:color w:val="000000"/>
                <w:sz w:val="22"/>
                <w:szCs w:val="22"/>
              </w:rPr>
            </w:pPr>
            <w:r w:rsidRPr="00A70BA8">
              <w:rPr>
                <w:rFonts w:cs="Times New Roman"/>
                <w:color w:val="000000"/>
                <w:sz w:val="22"/>
                <w:szCs w:val="22"/>
              </w:rPr>
              <w:t>Adoption Final report RySG and ccNSO January/February 2018</w:t>
            </w:r>
          </w:p>
          <w:p w14:paraId="6C73D9BA" w14:textId="77777777" w:rsidR="00A70BA8" w:rsidRPr="00A70BA8" w:rsidRDefault="00A70BA8" w:rsidP="00A70BA8">
            <w:pPr>
              <w:ind w:left="360"/>
              <w:rPr>
                <w:rFonts w:cs="Times New Roman"/>
                <w:color w:val="000000"/>
                <w:sz w:val="22"/>
                <w:szCs w:val="22"/>
              </w:rPr>
            </w:pPr>
          </w:p>
          <w:p w14:paraId="3374A590" w14:textId="77777777" w:rsidR="00A70BA8" w:rsidRPr="00A70BA8" w:rsidRDefault="00A70BA8" w:rsidP="00A70BA8">
            <w:pPr>
              <w:ind w:left="360"/>
              <w:rPr>
                <w:rFonts w:cs="Times New Roman"/>
                <w:color w:val="000000"/>
                <w:sz w:val="22"/>
                <w:szCs w:val="22"/>
              </w:rPr>
            </w:pPr>
            <w:r w:rsidRPr="00A70BA8">
              <w:rPr>
                <w:rFonts w:cs="Times New Roman"/>
                <w:color w:val="000000"/>
                <w:sz w:val="22"/>
                <w:szCs w:val="22"/>
              </w:rPr>
              <w:t> Submit updated charter to GNSO and ccNSO Council for adoption by  ICANN 61</w:t>
            </w:r>
          </w:p>
          <w:p w14:paraId="31D0B288" w14:textId="7BA3EE25" w:rsidR="00B0117A" w:rsidRPr="00A135CF" w:rsidRDefault="00A70BA8">
            <w:pPr>
              <w:rPr>
                <w:rFonts w:cs="Times New Roman"/>
                <w:color w:val="000000"/>
                <w:sz w:val="22"/>
                <w:szCs w:val="22"/>
              </w:rPr>
            </w:pPr>
            <w:r w:rsidRPr="00A70BA8">
              <w:rPr>
                <w:rFonts w:cs="Times New Roman"/>
                <w:color w:val="000000"/>
                <w:sz w:val="22"/>
                <w:szCs w:val="22"/>
              </w:rPr>
              <w:t> </w:t>
            </w:r>
            <w:bookmarkStart w:id="0" w:name="_GoBack"/>
            <w:bookmarkEnd w:id="0"/>
          </w:p>
        </w:tc>
      </w:tr>
    </w:tbl>
    <w:p w14:paraId="618CC670" w14:textId="77777777" w:rsidR="00B0117A" w:rsidRPr="00A70BA8" w:rsidRDefault="00B0117A">
      <w:pPr>
        <w:rPr>
          <w:sz w:val="22"/>
          <w:szCs w:val="22"/>
        </w:rPr>
      </w:pPr>
    </w:p>
    <w:sectPr w:rsidR="00B0117A" w:rsidRPr="00A70BA8" w:rsidSect="00B0117A">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144DB"/>
    <w:multiLevelType w:val="hybridMultilevel"/>
    <w:tmpl w:val="0A40881A"/>
    <w:lvl w:ilvl="0" w:tplc="C1D46A1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F34255"/>
    <w:multiLevelType w:val="hybridMultilevel"/>
    <w:tmpl w:val="E04A16B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7A"/>
    <w:rsid w:val="000B66A6"/>
    <w:rsid w:val="002D6359"/>
    <w:rsid w:val="00483FE6"/>
    <w:rsid w:val="004E4166"/>
    <w:rsid w:val="00516D20"/>
    <w:rsid w:val="0062668F"/>
    <w:rsid w:val="00703A38"/>
    <w:rsid w:val="00711F8E"/>
    <w:rsid w:val="009D67DF"/>
    <w:rsid w:val="00A135CF"/>
    <w:rsid w:val="00A70BA8"/>
    <w:rsid w:val="00AC5C94"/>
    <w:rsid w:val="00AE6A78"/>
    <w:rsid w:val="00B0117A"/>
    <w:rsid w:val="00BE03FD"/>
    <w:rsid w:val="00C0435B"/>
    <w:rsid w:val="00C446A2"/>
    <w:rsid w:val="00E06525"/>
    <w:rsid w:val="00E833AA"/>
    <w:rsid w:val="00E9744D"/>
    <w:rsid w:val="00F60A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A708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6359"/>
    <w:pPr>
      <w:spacing w:after="200" w:line="276" w:lineRule="auto"/>
      <w:ind w:left="720"/>
      <w:contextualSpacing/>
    </w:pPr>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Boswinkel</dc:creator>
  <cp:keywords/>
  <dc:description/>
  <cp:lastModifiedBy>Bart Boswinkel</cp:lastModifiedBy>
  <cp:revision>3</cp:revision>
  <dcterms:created xsi:type="dcterms:W3CDTF">2017-04-13T19:03:00Z</dcterms:created>
  <dcterms:modified xsi:type="dcterms:W3CDTF">2017-04-13T19:03:00Z</dcterms:modified>
</cp:coreProperties>
</file>