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A7F56" w14:textId="77777777" w:rsidR="00A03A90" w:rsidRPr="00514FBA" w:rsidRDefault="002108AF">
      <w:pPr>
        <w:rPr>
          <w:b/>
          <w:sz w:val="32"/>
          <w:szCs w:val="32"/>
        </w:rPr>
      </w:pPr>
      <w:bookmarkStart w:id="0" w:name="_GoBack"/>
      <w:bookmarkEnd w:id="0"/>
      <w:r w:rsidRPr="00514FBA">
        <w:rPr>
          <w:b/>
          <w:sz w:val="32"/>
          <w:szCs w:val="32"/>
        </w:rPr>
        <w:t>Source documents review of SLE’s</w:t>
      </w:r>
    </w:p>
    <w:p w14:paraId="5CB3BDD6" w14:textId="77777777" w:rsidR="00514FBA" w:rsidRDefault="00514FBA" w:rsidP="00514FBA">
      <w:pPr>
        <w:rPr>
          <w:b/>
          <w:sz w:val="28"/>
          <w:szCs w:val="28"/>
        </w:rPr>
      </w:pPr>
    </w:p>
    <w:p w14:paraId="7686B266" w14:textId="77777777" w:rsidR="00514FBA" w:rsidRDefault="00514FBA" w:rsidP="00514FBA">
      <w:pPr>
        <w:rPr>
          <w:b/>
          <w:sz w:val="28"/>
          <w:szCs w:val="28"/>
        </w:rPr>
      </w:pPr>
    </w:p>
    <w:p w14:paraId="2876F655" w14:textId="77777777" w:rsidR="00514FBA" w:rsidRPr="00514FBA" w:rsidRDefault="00514FBA" w:rsidP="00514FBA">
      <w:pPr>
        <w:rPr>
          <w:b/>
          <w:sz w:val="28"/>
          <w:szCs w:val="28"/>
        </w:rPr>
      </w:pPr>
      <w:r>
        <w:rPr>
          <w:b/>
          <w:sz w:val="28"/>
          <w:szCs w:val="28"/>
        </w:rPr>
        <w:t xml:space="preserve">1. </w:t>
      </w:r>
      <w:r w:rsidRPr="00514FBA">
        <w:rPr>
          <w:b/>
          <w:sz w:val="28"/>
          <w:szCs w:val="28"/>
        </w:rPr>
        <w:t>Review of SLE’s as part of an IANA Naming Function review</w:t>
      </w:r>
    </w:p>
    <w:p w14:paraId="76D4D758" w14:textId="77777777" w:rsidR="00514FBA" w:rsidRDefault="00514FBA"/>
    <w:p w14:paraId="5E563B36" w14:textId="77777777" w:rsidR="00C84933" w:rsidRPr="001D7394" w:rsidRDefault="00C84933" w:rsidP="00C84933">
      <w:pPr>
        <w:pStyle w:val="Heading3"/>
        <w:rPr>
          <w:rFonts w:asciiTheme="minorHAnsi" w:eastAsia="Times New Roman" w:hAnsiTheme="minorHAnsi"/>
          <w:b/>
          <w:sz w:val="27"/>
          <w:szCs w:val="27"/>
        </w:rPr>
      </w:pPr>
      <w:r w:rsidRPr="001D7394">
        <w:rPr>
          <w:rFonts w:asciiTheme="minorHAnsi" w:eastAsia="Times New Roman" w:hAnsiTheme="minorHAnsi"/>
          <w:b/>
        </w:rPr>
        <w:t>ARTICLE 18 IANA NAMING FUNCTION REVIEWS</w:t>
      </w:r>
    </w:p>
    <w:p w14:paraId="2D2A645B" w14:textId="77777777" w:rsidR="003D6876" w:rsidRDefault="003D6876" w:rsidP="003D6876">
      <w:pPr>
        <w:pStyle w:val="Heading4"/>
        <w:rPr>
          <w:rFonts w:eastAsia="Times New Roman"/>
        </w:rPr>
      </w:pPr>
      <w:r>
        <w:rPr>
          <w:rFonts w:eastAsia="Times New Roman"/>
        </w:rPr>
        <w:t>Section 18.1. IANA NAMING FUNCTION REVIEW</w:t>
      </w:r>
    </w:p>
    <w:p w14:paraId="4E58B373" w14:textId="77777777" w:rsidR="003D6876" w:rsidRDefault="003D6876" w:rsidP="003D6876">
      <w:pPr>
        <w:pStyle w:val="NormalWeb"/>
      </w:pPr>
      <w:r>
        <w:t>The Board, or an appropriate committee thereof, shall cause periodic and/or special reviews (each such review, an "</w:t>
      </w:r>
      <w:r>
        <w:rPr>
          <w:rStyle w:val="Strong"/>
        </w:rPr>
        <w:t>IFR</w:t>
      </w:r>
      <w:r>
        <w:t>") of PTI's performance of the IANA naming function against the contractual requirements set forth in the IANA Naming Function Contract and the IANA Naming Function SOW to be carried out…</w:t>
      </w:r>
      <w:proofErr w:type="gramStart"/>
      <w:r>
        <w:t>…..</w:t>
      </w:r>
      <w:proofErr w:type="gramEnd"/>
      <w:r>
        <w:t>, as follows:</w:t>
      </w:r>
    </w:p>
    <w:p w14:paraId="3BE92C0D" w14:textId="77777777" w:rsidR="003D6876" w:rsidRDefault="003D6876" w:rsidP="003D6876">
      <w:pPr>
        <w:pStyle w:val="NormalWeb"/>
      </w:pPr>
      <w:r>
        <w:t xml:space="preserve">(a) Regularly scheduled periodic IFRs, to be conducted pursuant to </w:t>
      </w:r>
      <w:r>
        <w:rPr>
          <w:u w:val="single"/>
        </w:rPr>
        <w:t>Section 18.2</w:t>
      </w:r>
      <w:r>
        <w:t xml:space="preserve"> below ("</w:t>
      </w:r>
      <w:r>
        <w:rPr>
          <w:rStyle w:val="Strong"/>
        </w:rPr>
        <w:t>Periodic IFRs</w:t>
      </w:r>
      <w:r>
        <w:t>"); and</w:t>
      </w:r>
    </w:p>
    <w:p w14:paraId="7B4BD06D" w14:textId="77777777" w:rsidR="003D6876" w:rsidRDefault="003D6876" w:rsidP="003D6876">
      <w:pPr>
        <w:pStyle w:val="NormalWeb"/>
      </w:pPr>
      <w:r>
        <w:t xml:space="preserve">(b) IFRs that are not Periodic IFRs, to be conducted pursuant to </w:t>
      </w:r>
      <w:r>
        <w:rPr>
          <w:u w:val="single"/>
        </w:rPr>
        <w:t>Section 18.12</w:t>
      </w:r>
      <w:r>
        <w:t xml:space="preserve"> below ("</w:t>
      </w:r>
      <w:r>
        <w:rPr>
          <w:rStyle w:val="Strong"/>
        </w:rPr>
        <w:t>Special IFRs</w:t>
      </w:r>
      <w:r>
        <w:t>").</w:t>
      </w:r>
    </w:p>
    <w:p w14:paraId="2687E068" w14:textId="77777777" w:rsidR="003D6876" w:rsidRDefault="003D6876" w:rsidP="003D6876">
      <w:pPr>
        <w:pStyle w:val="Heading4"/>
        <w:rPr>
          <w:rFonts w:eastAsia="Times New Roman"/>
        </w:rPr>
      </w:pPr>
      <w:r>
        <w:rPr>
          <w:rFonts w:eastAsia="Times New Roman"/>
        </w:rPr>
        <w:t>Section 18.2. FREQUENCY OF PERIODIC IFRS</w:t>
      </w:r>
    </w:p>
    <w:p w14:paraId="45B8C488" w14:textId="77777777" w:rsidR="003D6876" w:rsidRDefault="003D6876" w:rsidP="003D6876">
      <w:pPr>
        <w:pStyle w:val="NormalWeb"/>
      </w:pPr>
      <w:r>
        <w:t>(</w:t>
      </w:r>
      <w:proofErr w:type="spellStart"/>
      <w:r>
        <w:t>a</w:t>
      </w:r>
      <w:proofErr w:type="spellEnd"/>
      <w:r>
        <w:t>) The first Periodic IFR shall be convened no later than [1 October 2018].</w:t>
      </w:r>
    </w:p>
    <w:p w14:paraId="5C586B93" w14:textId="77777777" w:rsidR="003D6876" w:rsidRDefault="003D6876" w:rsidP="003D6876">
      <w:pPr>
        <w:pStyle w:val="NormalWeb"/>
      </w:pPr>
      <w:r>
        <w:t>(b) Periodic IFRs after the first Periodic IFR shall be convened no less frequently than every five years, measured from the date the previous IFRT for a Periodic IFR was convened.</w:t>
      </w:r>
    </w:p>
    <w:p w14:paraId="4723BBE5" w14:textId="77777777" w:rsidR="005B046A" w:rsidRDefault="005B046A" w:rsidP="005B046A">
      <w:pPr>
        <w:pStyle w:val="Heading4"/>
        <w:rPr>
          <w:rFonts w:eastAsia="Times New Roman"/>
        </w:rPr>
      </w:pPr>
      <w:r>
        <w:rPr>
          <w:rFonts w:eastAsia="Times New Roman"/>
        </w:rPr>
        <w:t>Section 18.3. IFR RESPONSIBILITIES</w:t>
      </w:r>
    </w:p>
    <w:p w14:paraId="40EC23B2" w14:textId="77777777" w:rsidR="005B046A" w:rsidRDefault="005B046A" w:rsidP="005B046A">
      <w:pPr>
        <w:pStyle w:val="NormalWeb"/>
      </w:pPr>
      <w:r>
        <w:t>For each Periodic IFR, the IFRT shall:</w:t>
      </w:r>
    </w:p>
    <w:p w14:paraId="3E2245E5" w14:textId="77777777" w:rsidR="005B046A" w:rsidRDefault="005B046A" w:rsidP="005B046A">
      <w:pPr>
        <w:pStyle w:val="NormalWeb"/>
      </w:pPr>
      <w:r>
        <w:t>(a) Review and evaluate the performance of PTI against the requirements set forth in the IANA Naming Function Contract in relation to the needs of its direct customers and the expectations of the broader ICANN community, and determine whether to make any recommendations with respect to PTI's performance;</w:t>
      </w:r>
    </w:p>
    <w:p w14:paraId="43E0410D" w14:textId="77777777" w:rsidR="005B046A" w:rsidRDefault="005B046A" w:rsidP="005B046A">
      <w:pPr>
        <w:pStyle w:val="NormalWeb"/>
      </w:pPr>
      <w:r>
        <w:t>(b) Review and evaluate the performance of PTI against the requirements set forth in the IANA Naming Function Contract and IANA Naming Function SOW;</w:t>
      </w:r>
    </w:p>
    <w:p w14:paraId="0D2C67EB" w14:textId="77777777" w:rsidR="005B046A" w:rsidRDefault="005B046A" w:rsidP="005B046A">
      <w:pPr>
        <w:pStyle w:val="NormalWeb"/>
      </w:pPr>
      <w:r>
        <w:t>(c) Review the IANA Naming Function SOW and determine whether to recommend any amendments to the IANA Naming Function Contract and IANA Naming Function SOW to account for the needs of the direct customers of the naming services and/or the community at large;</w:t>
      </w:r>
    </w:p>
    <w:p w14:paraId="7B9B4DD4" w14:textId="77777777" w:rsidR="005B046A" w:rsidRDefault="005B046A" w:rsidP="005B046A">
      <w:pPr>
        <w:pStyle w:val="NormalWeb"/>
      </w:pPr>
      <w:r>
        <w:t>….</w:t>
      </w:r>
    </w:p>
    <w:p w14:paraId="1005A558" w14:textId="77777777" w:rsidR="005B046A" w:rsidRDefault="005B046A" w:rsidP="005B046A">
      <w:pPr>
        <w:pStyle w:val="NormalWeb"/>
      </w:pPr>
      <w:r>
        <w:t>….</w:t>
      </w:r>
    </w:p>
    <w:p w14:paraId="43A4E707" w14:textId="77777777" w:rsidR="005B046A" w:rsidRDefault="005B046A" w:rsidP="005B046A">
      <w:pPr>
        <w:pStyle w:val="NormalWeb"/>
      </w:pPr>
      <w:r>
        <w:lastRenderedPageBreak/>
        <w:t xml:space="preserve"> </w:t>
      </w:r>
      <w:r w:rsidRPr="00514FBA">
        <w:rPr>
          <w:b/>
        </w:rPr>
        <w:t>(f) Review and evaluate the performance of the IANA naming function according to established service level expectations</w:t>
      </w:r>
      <w:r>
        <w:t xml:space="preserve"> during the IFR period being reviewed and compared to the immediately preceding Periodic IFR period;</w:t>
      </w:r>
    </w:p>
    <w:p w14:paraId="283FCB04" w14:textId="77777777" w:rsidR="009B069D" w:rsidRDefault="009B069D" w:rsidP="009B069D">
      <w:pPr>
        <w:pStyle w:val="KBody"/>
        <w:rPr>
          <w:rFonts w:asciiTheme="minorHAnsi" w:hAnsiTheme="minorHAnsi" w:cstheme="minorHAnsi"/>
        </w:rPr>
      </w:pPr>
    </w:p>
    <w:p w14:paraId="325C1944" w14:textId="77777777" w:rsidR="00514FBA" w:rsidRPr="00514FBA" w:rsidRDefault="00514FBA" w:rsidP="009B069D">
      <w:pPr>
        <w:pStyle w:val="KBody"/>
        <w:rPr>
          <w:rFonts w:asciiTheme="minorHAnsi" w:hAnsiTheme="minorHAnsi" w:cstheme="minorHAnsi"/>
          <w:b/>
          <w:sz w:val="28"/>
          <w:szCs w:val="28"/>
        </w:rPr>
      </w:pPr>
      <w:r>
        <w:rPr>
          <w:rFonts w:asciiTheme="minorHAnsi" w:hAnsiTheme="minorHAnsi" w:cstheme="minorHAnsi"/>
          <w:b/>
          <w:sz w:val="28"/>
          <w:szCs w:val="28"/>
        </w:rPr>
        <w:t xml:space="preserve">2. </w:t>
      </w:r>
      <w:r w:rsidRPr="00514FBA">
        <w:rPr>
          <w:rFonts w:asciiTheme="minorHAnsi" w:hAnsiTheme="minorHAnsi" w:cstheme="minorHAnsi"/>
          <w:b/>
          <w:sz w:val="28"/>
          <w:szCs w:val="28"/>
        </w:rPr>
        <w:t>SLE Review agreed between CSC and PTI</w:t>
      </w:r>
    </w:p>
    <w:p w14:paraId="1242241E" w14:textId="77777777" w:rsidR="009B069D" w:rsidRPr="00514FBA" w:rsidRDefault="009B069D" w:rsidP="009B069D">
      <w:pPr>
        <w:pStyle w:val="KBody"/>
        <w:rPr>
          <w:rFonts w:asciiTheme="minorHAnsi" w:hAnsiTheme="minorHAnsi" w:cstheme="minorHAnsi"/>
          <w:b/>
          <w:sz w:val="28"/>
          <w:szCs w:val="28"/>
        </w:rPr>
      </w:pPr>
      <w:r w:rsidRPr="00514FBA">
        <w:rPr>
          <w:rFonts w:asciiTheme="minorHAnsi" w:hAnsiTheme="minorHAnsi" w:cstheme="minorHAnsi"/>
          <w:b/>
          <w:sz w:val="28"/>
          <w:szCs w:val="28"/>
        </w:rPr>
        <w:t>CSC Charter</w:t>
      </w:r>
    </w:p>
    <w:p w14:paraId="0E704148" w14:textId="77777777" w:rsidR="003F0E10" w:rsidRDefault="003F0E10" w:rsidP="003F0E10">
      <w:pPr>
        <w:pStyle w:val="Heading4"/>
        <w:rPr>
          <w:rFonts w:eastAsia="Times New Roman"/>
        </w:rPr>
      </w:pPr>
      <w:r>
        <w:rPr>
          <w:rFonts w:eastAsia="Times New Roman"/>
        </w:rPr>
        <w:t>Section 17.3.CSC CHARTER; PERIODIC REVIEW</w:t>
      </w:r>
    </w:p>
    <w:p w14:paraId="03852B58" w14:textId="77777777" w:rsidR="003F0E10" w:rsidRDefault="003F0E10" w:rsidP="003F0E10">
      <w:pPr>
        <w:pStyle w:val="NormalWeb"/>
      </w:pPr>
      <w:r>
        <w:t>(</w:t>
      </w:r>
      <w:proofErr w:type="spellStart"/>
      <w:r>
        <w:t>a</w:t>
      </w:r>
      <w:proofErr w:type="spellEnd"/>
      <w:r>
        <w:t>) The CSC shall act in accordance with its charter (the "</w:t>
      </w:r>
      <w:r>
        <w:rPr>
          <w:rStyle w:val="Strong"/>
        </w:rPr>
        <w:t>CSC Charter</w:t>
      </w:r>
      <w:r>
        <w:t>").</w:t>
      </w:r>
    </w:p>
    <w:p w14:paraId="26DC8DB0" w14:textId="77777777" w:rsidR="009B069D" w:rsidRDefault="00AE3A18" w:rsidP="009B069D">
      <w:pPr>
        <w:pStyle w:val="KBody"/>
        <w:rPr>
          <w:rFonts w:asciiTheme="minorHAnsi" w:hAnsiTheme="minorHAnsi" w:cstheme="minorHAnsi"/>
        </w:rPr>
      </w:pPr>
      <w:r>
        <w:rPr>
          <w:rFonts w:asciiTheme="minorHAnsi" w:hAnsiTheme="minorHAnsi" w:cstheme="minorHAnsi"/>
        </w:rPr>
        <w:t>…..</w:t>
      </w:r>
    </w:p>
    <w:p w14:paraId="76344DAF" w14:textId="77777777" w:rsidR="003F0E10" w:rsidRPr="00AE3A18" w:rsidRDefault="003F0E10" w:rsidP="009B069D">
      <w:pPr>
        <w:pStyle w:val="KBody"/>
        <w:rPr>
          <w:rFonts w:asciiTheme="minorHAnsi" w:hAnsiTheme="minorHAnsi" w:cstheme="minorHAnsi"/>
          <w:b/>
        </w:rPr>
      </w:pPr>
      <w:r w:rsidRPr="00AE3A18">
        <w:rPr>
          <w:rFonts w:asciiTheme="minorHAnsi" w:hAnsiTheme="minorHAnsi" w:cstheme="minorHAnsi"/>
          <w:b/>
        </w:rPr>
        <w:t>CSC Charter</w:t>
      </w:r>
    </w:p>
    <w:p w14:paraId="4F952DFB" w14:textId="77777777" w:rsidR="00D77E8F" w:rsidRDefault="00AB6624" w:rsidP="005E651A">
      <w:pPr>
        <w:rPr>
          <w:rFonts w:eastAsia="SimSun" w:cstheme="minorHAnsi"/>
        </w:rPr>
      </w:pPr>
      <w:r>
        <w:rPr>
          <w:rFonts w:eastAsia="SimSun" w:cstheme="minorHAnsi"/>
        </w:rPr>
        <w:t>….</w:t>
      </w:r>
    </w:p>
    <w:p w14:paraId="2911D651" w14:textId="77777777" w:rsidR="00AB6624" w:rsidRPr="00AE3A18" w:rsidRDefault="00AE3A18" w:rsidP="005E651A">
      <w:pPr>
        <w:rPr>
          <w:rFonts w:eastAsia="SimSun" w:cstheme="minorHAnsi"/>
          <w:b/>
        </w:rPr>
      </w:pPr>
      <w:r w:rsidRPr="00AE3A18">
        <w:rPr>
          <w:rFonts w:eastAsia="SimSun" w:cstheme="minorHAnsi"/>
          <w:b/>
        </w:rPr>
        <w:t>Review</w:t>
      </w:r>
    </w:p>
    <w:p w14:paraId="2C57BCFD" w14:textId="77777777" w:rsidR="00AE3A18" w:rsidRDefault="00AE3A18" w:rsidP="005E651A">
      <w:pPr>
        <w:rPr>
          <w:rFonts w:eastAsia="SimSun" w:cstheme="minorHAnsi"/>
        </w:rPr>
      </w:pPr>
    </w:p>
    <w:p w14:paraId="3CFA0E67" w14:textId="77777777" w:rsidR="00AE3A18" w:rsidRDefault="00AE3A18" w:rsidP="005E651A">
      <w:pPr>
        <w:rPr>
          <w:rFonts w:eastAsia="SimSun" w:cstheme="minorHAnsi"/>
        </w:rPr>
      </w:pPr>
      <w:r>
        <w:rPr>
          <w:rFonts w:eastAsia="SimSun" w:cstheme="minorHAnsi"/>
        </w:rPr>
        <w:t>….</w:t>
      </w:r>
    </w:p>
    <w:p w14:paraId="60074CC0" w14:textId="77777777" w:rsidR="00AE3A18" w:rsidRDefault="00AE3A18" w:rsidP="005E651A">
      <w:pPr>
        <w:rPr>
          <w:rFonts w:eastAsia="SimSun" w:cstheme="minorHAnsi"/>
        </w:rPr>
      </w:pPr>
      <w:r>
        <w:rPr>
          <w:rFonts w:eastAsia="SimSun" w:cstheme="minorHAnsi"/>
        </w:rPr>
        <w:t xml:space="preserve">The CSC or the IANA Functions Operator can request a review or change to service level targets. Any proposed change to service level targets as a result of the review must be agreed to by the </w:t>
      </w:r>
      <w:proofErr w:type="spellStart"/>
      <w:r>
        <w:rPr>
          <w:rFonts w:eastAsia="SimSun" w:cstheme="minorHAnsi"/>
        </w:rPr>
        <w:t>ccNSO</w:t>
      </w:r>
      <w:proofErr w:type="spellEnd"/>
      <w:r>
        <w:rPr>
          <w:rFonts w:eastAsia="SimSun" w:cstheme="minorHAnsi"/>
        </w:rPr>
        <w:t xml:space="preserve"> and GNSO</w:t>
      </w:r>
      <w:r w:rsidR="00AD61B8">
        <w:rPr>
          <w:rFonts w:eastAsia="SimSun" w:cstheme="minorHAnsi"/>
        </w:rPr>
        <w:t>.</w:t>
      </w:r>
    </w:p>
    <w:p w14:paraId="13183898" w14:textId="77777777" w:rsidR="00AD61B8" w:rsidRDefault="00AD61B8" w:rsidP="005E651A">
      <w:pPr>
        <w:rPr>
          <w:rFonts w:eastAsia="SimSun" w:cstheme="minorHAnsi"/>
        </w:rPr>
      </w:pPr>
    </w:p>
    <w:p w14:paraId="233FE6B4" w14:textId="77777777" w:rsidR="00AD61B8" w:rsidRDefault="00AD61B8" w:rsidP="005E651A">
      <w:pPr>
        <w:rPr>
          <w:rFonts w:eastAsia="SimSun" w:cstheme="minorHAnsi"/>
        </w:rPr>
      </w:pPr>
    </w:p>
    <w:p w14:paraId="658245CE" w14:textId="77777777" w:rsidR="00AD61B8" w:rsidRDefault="00AD61B8" w:rsidP="005E651A">
      <w:pPr>
        <w:rPr>
          <w:rFonts w:eastAsia="SimSun" w:cstheme="minorHAnsi"/>
        </w:rPr>
      </w:pPr>
      <w:r>
        <w:rPr>
          <w:rFonts w:eastAsia="SimSun" w:cstheme="minorHAnsi"/>
        </w:rPr>
        <w:t>(Note that under current terms and conditions of the IANA Naming Function Contract change of service levels results in a change of contract.</w:t>
      </w:r>
      <w:r w:rsidR="00B7433E">
        <w:rPr>
          <w:rFonts w:eastAsia="SimSun" w:cstheme="minorHAnsi"/>
        </w:rPr>
        <w:t xml:space="preserve"> See above</w:t>
      </w:r>
      <w:r>
        <w:rPr>
          <w:rFonts w:eastAsia="SimSun" w:cstheme="minorHAnsi"/>
        </w:rPr>
        <w:t>)</w:t>
      </w:r>
    </w:p>
    <w:p w14:paraId="51BCD570" w14:textId="77777777" w:rsidR="00AD61B8" w:rsidRDefault="00AD61B8" w:rsidP="005E651A">
      <w:pPr>
        <w:rPr>
          <w:rFonts w:eastAsia="SimSun" w:cstheme="minorHAnsi"/>
        </w:rPr>
      </w:pPr>
    </w:p>
    <w:p w14:paraId="54550F37" w14:textId="77777777" w:rsidR="00AD61B8" w:rsidRDefault="00AD61B8" w:rsidP="005E651A">
      <w:pPr>
        <w:rPr>
          <w:rFonts w:cstheme="minorHAnsi"/>
          <w:lang w:eastAsia="zh-CN"/>
        </w:rPr>
      </w:pPr>
    </w:p>
    <w:p w14:paraId="5E358F8A" w14:textId="77777777" w:rsidR="00514FBA" w:rsidRDefault="00514FBA" w:rsidP="005E651A">
      <w:pPr>
        <w:rPr>
          <w:rFonts w:cstheme="minorHAnsi"/>
          <w:lang w:eastAsia="zh-CN"/>
        </w:rPr>
      </w:pPr>
    </w:p>
    <w:p w14:paraId="47D083D0" w14:textId="77777777" w:rsidR="00514FBA" w:rsidRPr="00514FBA" w:rsidRDefault="00514FBA" w:rsidP="005E651A">
      <w:pPr>
        <w:rPr>
          <w:rFonts w:cstheme="minorHAnsi"/>
          <w:b/>
          <w:sz w:val="28"/>
          <w:szCs w:val="28"/>
          <w:lang w:eastAsia="zh-CN"/>
        </w:rPr>
      </w:pPr>
    </w:p>
    <w:p w14:paraId="255DA4DF" w14:textId="77777777" w:rsidR="00514FBA" w:rsidRPr="00514FBA" w:rsidRDefault="00514FBA" w:rsidP="00514FBA">
      <w:pPr>
        <w:rPr>
          <w:b/>
          <w:sz w:val="28"/>
          <w:szCs w:val="28"/>
        </w:rPr>
      </w:pPr>
      <w:r>
        <w:rPr>
          <w:rFonts w:cstheme="minorHAnsi"/>
          <w:b/>
          <w:sz w:val="28"/>
          <w:szCs w:val="28"/>
          <w:lang w:eastAsia="zh-CN"/>
        </w:rPr>
        <w:t xml:space="preserve">3. </w:t>
      </w:r>
      <w:r w:rsidRPr="00514FBA">
        <w:rPr>
          <w:b/>
          <w:sz w:val="28"/>
          <w:szCs w:val="28"/>
        </w:rPr>
        <w:t>Changing the SLE’s</w:t>
      </w:r>
    </w:p>
    <w:p w14:paraId="148ABE7B" w14:textId="77777777" w:rsidR="00514FBA" w:rsidRDefault="00514FBA" w:rsidP="00514FBA">
      <w:pPr>
        <w:rPr>
          <w:b/>
          <w:sz w:val="28"/>
          <w:szCs w:val="28"/>
        </w:rPr>
      </w:pPr>
    </w:p>
    <w:p w14:paraId="29BA2264" w14:textId="77777777" w:rsidR="00514FBA" w:rsidRPr="00D77E8F" w:rsidRDefault="00514FBA" w:rsidP="00514FBA">
      <w:pPr>
        <w:rPr>
          <w:b/>
          <w:sz w:val="28"/>
          <w:szCs w:val="28"/>
        </w:rPr>
      </w:pPr>
      <w:r w:rsidRPr="00D77E8F">
        <w:rPr>
          <w:b/>
          <w:sz w:val="28"/>
          <w:szCs w:val="28"/>
        </w:rPr>
        <w:t>ICANN BYLAWS</w:t>
      </w:r>
    </w:p>
    <w:p w14:paraId="64C62886" w14:textId="77777777" w:rsidR="00514FBA" w:rsidRPr="00D013DE" w:rsidRDefault="00514FBA" w:rsidP="00514FBA">
      <w:pPr>
        <w:spacing w:before="100" w:beforeAutospacing="1" w:after="100" w:afterAutospacing="1"/>
        <w:outlineLvl w:val="3"/>
        <w:rPr>
          <w:rFonts w:ascii="Times New Roman" w:eastAsia="Times New Roman" w:hAnsi="Times New Roman" w:cs="Times New Roman"/>
          <w:b/>
          <w:bCs/>
        </w:rPr>
      </w:pPr>
      <w:r w:rsidRPr="00D013DE">
        <w:rPr>
          <w:rFonts w:ascii="Times New Roman" w:eastAsia="Times New Roman" w:hAnsi="Times New Roman" w:cs="Times New Roman"/>
          <w:b/>
          <w:bCs/>
        </w:rPr>
        <w:t>Section 16.3. IANA NAMING FUNCTION CONTRACT</w:t>
      </w:r>
    </w:p>
    <w:p w14:paraId="210D807D" w14:textId="77777777" w:rsidR="00514FBA" w:rsidRDefault="00514FBA" w:rsidP="00514FBA">
      <w:pPr>
        <w:spacing w:before="100" w:beforeAutospacing="1" w:after="100" w:afterAutospacing="1"/>
        <w:rPr>
          <w:rFonts w:ascii="Times New Roman" w:hAnsi="Times New Roman" w:cs="Times New Roman"/>
        </w:rPr>
      </w:pPr>
      <w:r w:rsidRPr="00D013DE">
        <w:rPr>
          <w:rFonts w:ascii="Times New Roman" w:hAnsi="Times New Roman" w:cs="Times New Roman"/>
        </w:rPr>
        <w:t>(</w:t>
      </w:r>
      <w:proofErr w:type="spellStart"/>
      <w:r w:rsidRPr="00D013DE">
        <w:rPr>
          <w:rFonts w:ascii="Times New Roman" w:hAnsi="Times New Roman" w:cs="Times New Roman"/>
        </w:rPr>
        <w:t>a</w:t>
      </w:r>
      <w:proofErr w:type="spellEnd"/>
      <w:r w:rsidRPr="00D013DE">
        <w:rPr>
          <w:rFonts w:ascii="Times New Roman" w:hAnsi="Times New Roman" w:cs="Times New Roman"/>
        </w:rPr>
        <w:t>) On or prior to 1 October 2016, ICANN shall enter into a contract with PTI for the performance of the IANA naming function (as it may be amended or modified, the "</w:t>
      </w:r>
      <w:r w:rsidRPr="00D013DE">
        <w:rPr>
          <w:rFonts w:ascii="Times New Roman" w:hAnsi="Times New Roman" w:cs="Times New Roman"/>
          <w:b/>
          <w:bCs/>
        </w:rPr>
        <w:t>IANA Naming Function Contract</w:t>
      </w:r>
      <w:r w:rsidRPr="00D013DE">
        <w:rPr>
          <w:rFonts w:ascii="Times New Roman" w:hAnsi="Times New Roman" w:cs="Times New Roman"/>
        </w:rPr>
        <w:t>") and a related statement of work (the "</w:t>
      </w:r>
      <w:r w:rsidRPr="00D013DE">
        <w:rPr>
          <w:rFonts w:ascii="Times New Roman" w:hAnsi="Times New Roman" w:cs="Times New Roman"/>
          <w:b/>
          <w:bCs/>
        </w:rPr>
        <w:t>IANA Naming Function SOW</w:t>
      </w:r>
      <w:r w:rsidRPr="00D013DE">
        <w:rPr>
          <w:rFonts w:ascii="Times New Roman" w:hAnsi="Times New Roman" w:cs="Times New Roman"/>
        </w:rPr>
        <w:t xml:space="preserve">"). Except as to implement any modification, waiver or amendment to the IANA Naming Function Contract or IANA Naming Function SOW related to an IFR Recommendation or Special IFR Recommendation approved pursuant to </w:t>
      </w:r>
      <w:r w:rsidRPr="00D013DE">
        <w:rPr>
          <w:rFonts w:ascii="Times New Roman" w:hAnsi="Times New Roman" w:cs="Times New Roman"/>
          <w:u w:val="single"/>
        </w:rPr>
        <w:t>Section 18.6</w:t>
      </w:r>
      <w:r w:rsidRPr="00D013DE">
        <w:rPr>
          <w:rFonts w:ascii="Times New Roman" w:hAnsi="Times New Roman" w:cs="Times New Roman"/>
        </w:rPr>
        <w:t xml:space="preserve"> or an SCWG Recommendation approved pursuant to </w:t>
      </w:r>
      <w:r w:rsidRPr="00D013DE">
        <w:rPr>
          <w:rFonts w:ascii="Times New Roman" w:hAnsi="Times New Roman" w:cs="Times New Roman"/>
          <w:u w:val="single"/>
        </w:rPr>
        <w:t>Section 19.4</w:t>
      </w:r>
      <w:r w:rsidRPr="00D013DE">
        <w:rPr>
          <w:rFonts w:ascii="Times New Roman" w:hAnsi="Times New Roman" w:cs="Times New Roman"/>
        </w:rPr>
        <w:t xml:space="preserve"> (which, for the avoidance of doubt, shall not be subject to this </w:t>
      </w:r>
      <w:r w:rsidRPr="00D013DE">
        <w:rPr>
          <w:rFonts w:ascii="Times New Roman" w:hAnsi="Times New Roman" w:cs="Times New Roman"/>
          <w:u w:val="single"/>
        </w:rPr>
        <w:t>Section 16.3(a)</w:t>
      </w:r>
      <w:r w:rsidRPr="00D013DE">
        <w:rPr>
          <w:rFonts w:ascii="Times New Roman" w:hAnsi="Times New Roman" w:cs="Times New Roman"/>
        </w:rPr>
        <w:t xml:space="preserve">), ICANN shall not agree to modify, amend or waive any Material Terms (as defined below) of the IANA Naming Function Contract or the IANA Naming Function SOW if a majority of each of the </w:t>
      </w:r>
      <w:proofErr w:type="spellStart"/>
      <w:r w:rsidRPr="00D013DE">
        <w:rPr>
          <w:rFonts w:ascii="Times New Roman" w:hAnsi="Times New Roman" w:cs="Times New Roman"/>
        </w:rPr>
        <w:t>ccNSO</w:t>
      </w:r>
      <w:proofErr w:type="spellEnd"/>
      <w:r w:rsidRPr="00D013DE">
        <w:rPr>
          <w:rFonts w:ascii="Times New Roman" w:hAnsi="Times New Roman" w:cs="Times New Roman"/>
        </w:rPr>
        <w:t xml:space="preserve"> and GNSO Councils reject the proposed modification, amendment or waiver. The following are the "</w:t>
      </w:r>
      <w:r w:rsidRPr="00D013DE">
        <w:rPr>
          <w:rFonts w:ascii="Times New Roman" w:hAnsi="Times New Roman" w:cs="Times New Roman"/>
          <w:b/>
          <w:bCs/>
        </w:rPr>
        <w:t>Material Terms</w:t>
      </w:r>
      <w:r w:rsidRPr="00D013DE">
        <w:rPr>
          <w:rFonts w:ascii="Times New Roman" w:hAnsi="Times New Roman" w:cs="Times New Roman"/>
        </w:rPr>
        <w:t>" of the IANA Naming Function Contract and IANA Naming Function SOW:</w:t>
      </w:r>
    </w:p>
    <w:p w14:paraId="1E06ECCA" w14:textId="77777777" w:rsidR="00514FBA" w:rsidRPr="00D013DE" w:rsidRDefault="00514FBA" w:rsidP="00514FBA">
      <w:pPr>
        <w:spacing w:before="100" w:beforeAutospacing="1" w:after="100" w:afterAutospacing="1"/>
        <w:rPr>
          <w:rFonts w:ascii="Times New Roman" w:hAnsi="Times New Roman" w:cs="Times New Roman"/>
        </w:rPr>
      </w:pPr>
      <w:r>
        <w:rPr>
          <w:rFonts w:ascii="Times New Roman" w:hAnsi="Times New Roman" w:cs="Times New Roman"/>
        </w:rPr>
        <w:t>…..</w:t>
      </w:r>
    </w:p>
    <w:p w14:paraId="0AB6CFC3" w14:textId="77777777" w:rsidR="00514FBA" w:rsidRDefault="00514FBA" w:rsidP="00514FBA">
      <w:pPr>
        <w:pStyle w:val="NormalWeb"/>
      </w:pPr>
      <w:r>
        <w:t>(ii) The initial term and renewal provisions of the IANA Naming Function Contract and IANA Naming Function SOW;</w:t>
      </w:r>
    </w:p>
    <w:p w14:paraId="224D1F2B" w14:textId="77777777" w:rsidR="00514FBA" w:rsidRDefault="00514FBA" w:rsidP="00514FBA">
      <w:pPr>
        <w:pStyle w:val="NormalWeb"/>
      </w:pPr>
      <w:r>
        <w:t>(iii) The manner in which the IANA Naming Function Contract or IANA Naming Function SOW may be terminated;</w:t>
      </w:r>
    </w:p>
    <w:p w14:paraId="03B1785C" w14:textId="77777777" w:rsidR="00514FBA" w:rsidRDefault="00514FBA" w:rsidP="00514FBA">
      <w:pPr>
        <w:pStyle w:val="NormalWeb"/>
      </w:pPr>
      <w:r>
        <w:t>……</w:t>
      </w:r>
    </w:p>
    <w:p w14:paraId="4A631CB1" w14:textId="77777777" w:rsidR="00514FBA" w:rsidRDefault="00514FBA" w:rsidP="00514FBA">
      <w:pPr>
        <w:pStyle w:val="NormalWeb"/>
      </w:pPr>
      <w:r>
        <w:t xml:space="preserve"> (v) The role and responsibilities of the CSC (as defined in </w:t>
      </w:r>
      <w:r>
        <w:rPr>
          <w:u w:val="single"/>
        </w:rPr>
        <w:t>Section 17.1</w:t>
      </w:r>
      <w:r>
        <w:t xml:space="preserve">), escalation mechanisms and/or the IFR (as defined in </w:t>
      </w:r>
      <w:r>
        <w:rPr>
          <w:u w:val="single"/>
        </w:rPr>
        <w:t>Section 18.1</w:t>
      </w:r>
      <w:r>
        <w:t>);</w:t>
      </w:r>
    </w:p>
    <w:p w14:paraId="57507FC7" w14:textId="77777777" w:rsidR="00514FBA" w:rsidRDefault="00514FBA" w:rsidP="00514FBA">
      <w:r>
        <w:t>……</w:t>
      </w:r>
    </w:p>
    <w:p w14:paraId="4642C817" w14:textId="77777777" w:rsidR="00514FBA" w:rsidRDefault="00514FBA" w:rsidP="00514FBA"/>
    <w:p w14:paraId="0B02E92F" w14:textId="77777777" w:rsidR="00514FBA" w:rsidRDefault="00514FBA" w:rsidP="00514FBA"/>
    <w:p w14:paraId="09B866DA" w14:textId="77777777" w:rsidR="00514FBA" w:rsidRDefault="00514FBA" w:rsidP="00514FBA"/>
    <w:p w14:paraId="024E6435" w14:textId="77777777" w:rsidR="00514FBA" w:rsidRPr="00D77E8F" w:rsidRDefault="00514FBA" w:rsidP="00514FBA">
      <w:pPr>
        <w:rPr>
          <w:b/>
          <w:sz w:val="28"/>
          <w:szCs w:val="28"/>
        </w:rPr>
      </w:pPr>
      <w:r w:rsidRPr="00D77E8F">
        <w:rPr>
          <w:b/>
          <w:sz w:val="28"/>
          <w:szCs w:val="28"/>
        </w:rPr>
        <w:t xml:space="preserve">IANA Naming </w:t>
      </w:r>
      <w:r>
        <w:rPr>
          <w:b/>
          <w:sz w:val="28"/>
          <w:szCs w:val="28"/>
        </w:rPr>
        <w:t>Function Contract</w:t>
      </w:r>
    </w:p>
    <w:p w14:paraId="146702C6" w14:textId="77777777" w:rsidR="00514FBA" w:rsidRDefault="00514FBA" w:rsidP="00514FBA"/>
    <w:p w14:paraId="4EE21E47" w14:textId="77777777" w:rsidR="00514FBA" w:rsidRDefault="00514FBA" w:rsidP="00514FBA"/>
    <w:p w14:paraId="53B06B0D" w14:textId="77777777" w:rsidR="00514FBA" w:rsidRPr="00514FBA" w:rsidRDefault="00514FBA" w:rsidP="00514FBA">
      <w:pPr>
        <w:rPr>
          <w:b/>
        </w:rPr>
      </w:pPr>
      <w:r w:rsidRPr="00514FBA">
        <w:rPr>
          <w:b/>
        </w:rPr>
        <w:t>Section 4.4. Performance of the IANA Naming Function</w:t>
      </w:r>
    </w:p>
    <w:p w14:paraId="3207A2B9" w14:textId="77777777" w:rsidR="00514FBA" w:rsidRDefault="00514FBA" w:rsidP="00514FBA"/>
    <w:p w14:paraId="69FA543E" w14:textId="77777777" w:rsidR="00514FBA" w:rsidRDefault="00514FBA" w:rsidP="00514FBA">
      <w:r>
        <w:t xml:space="preserve">(a) Contractor shall perform the IANA Naming Function in a stable and secure manner and in accordance with the SOW. The IANA naming Function is administrative and technical in nature based on established policies that are developed through applicable ICANN policy development bodies and approved by ICANN, in each case in accordance with </w:t>
      </w:r>
      <w:proofErr w:type="spellStart"/>
      <w:r>
        <w:t>iCANN’s</w:t>
      </w:r>
      <w:proofErr w:type="spellEnd"/>
      <w:r>
        <w:t xml:space="preserve"> Bylaws.</w:t>
      </w:r>
    </w:p>
    <w:p w14:paraId="437EC1D7" w14:textId="77777777" w:rsidR="00514FBA" w:rsidRDefault="00514FBA" w:rsidP="00514FBA"/>
    <w:p w14:paraId="70DF1D7C" w14:textId="77777777" w:rsidR="00514FBA" w:rsidRPr="00514FBA" w:rsidRDefault="00514FBA" w:rsidP="00514FBA">
      <w:pPr>
        <w:pStyle w:val="ARTICLEAL2"/>
        <w:keepNext/>
        <w:numPr>
          <w:ilvl w:val="0"/>
          <w:numId w:val="0"/>
        </w:numPr>
        <w:rPr>
          <w:rFonts w:asciiTheme="minorHAnsi" w:hAnsiTheme="minorHAnsi" w:cstheme="minorHAnsi"/>
          <w:b/>
          <w:szCs w:val="24"/>
        </w:rPr>
      </w:pPr>
      <w:r w:rsidRPr="00514FBA">
        <w:rPr>
          <w:rFonts w:asciiTheme="minorHAnsi" w:hAnsiTheme="minorHAnsi" w:cstheme="minorHAnsi"/>
          <w:b/>
          <w:szCs w:val="24"/>
        </w:rPr>
        <w:t>Section 7.2 Performance Monitoring</w:t>
      </w:r>
      <w:r w:rsidRPr="00514FBA">
        <w:rPr>
          <w:rFonts w:asciiTheme="minorHAnsi" w:hAnsiTheme="minorHAnsi" w:cstheme="minorHAnsi"/>
          <w:b/>
          <w:szCs w:val="24"/>
          <w:u w:val="none"/>
        </w:rPr>
        <w:t>.</w:t>
      </w:r>
    </w:p>
    <w:p w14:paraId="3A7B09B8" w14:textId="77777777" w:rsidR="00514FBA" w:rsidRDefault="00514FBA" w:rsidP="00514FBA">
      <w:pPr>
        <w:pStyle w:val="ARTICLEAL3"/>
        <w:rPr>
          <w:rFonts w:asciiTheme="minorHAnsi" w:hAnsiTheme="minorHAnsi" w:cstheme="minorHAnsi"/>
          <w:szCs w:val="24"/>
        </w:rPr>
      </w:pPr>
      <w:r>
        <w:rPr>
          <w:rFonts w:asciiTheme="minorHAnsi" w:hAnsiTheme="minorHAnsi" w:cstheme="minorHAnsi"/>
          <w:szCs w:val="24"/>
        </w:rPr>
        <w:t xml:space="preserve">So long as the CSC exists pursuant to ICANN’s Bylaws, Contractor acknowledges and agrees that the CSC is entitled to monitor Contractor’s performance under this Agreement (including the SOW) in accordance with ICANN’s Bylaws. </w:t>
      </w:r>
    </w:p>
    <w:p w14:paraId="1D30B26F" w14:textId="77777777" w:rsidR="00514FBA" w:rsidRDefault="00514FBA" w:rsidP="00514FBA">
      <w:pPr>
        <w:pStyle w:val="ARTICLEAL3"/>
        <w:rPr>
          <w:rFonts w:asciiTheme="minorHAnsi" w:hAnsiTheme="minorHAnsi" w:cstheme="minorHAnsi"/>
          <w:szCs w:val="24"/>
        </w:rPr>
      </w:pPr>
      <w:r>
        <w:rPr>
          <w:rFonts w:asciiTheme="minorHAnsi" w:hAnsiTheme="minorHAnsi" w:cstheme="minorHAnsi"/>
          <w:szCs w:val="24"/>
        </w:rPr>
        <w:t>Contractor shall provide reports to the CSC as contemplated by the SOW.</w:t>
      </w:r>
    </w:p>
    <w:p w14:paraId="703A16F3" w14:textId="77777777" w:rsidR="00514FBA" w:rsidRDefault="00514FBA" w:rsidP="00514FBA">
      <w:pPr>
        <w:pStyle w:val="ARTICLEAL3"/>
        <w:rPr>
          <w:rFonts w:asciiTheme="minorHAnsi" w:hAnsiTheme="minorHAnsi" w:cstheme="minorHAnsi"/>
          <w:szCs w:val="24"/>
        </w:rPr>
      </w:pPr>
      <w:r>
        <w:rPr>
          <w:rFonts w:asciiTheme="minorHAnsi" w:hAnsiTheme="minorHAnsi" w:cstheme="minorHAnsi"/>
          <w:szCs w:val="24"/>
          <w:lang w:eastAsia="zh-CN"/>
        </w:rPr>
        <w:t>Contractor shall act in good faith to resolve issues identified by the CSC.</w:t>
      </w:r>
    </w:p>
    <w:p w14:paraId="7F8F652E" w14:textId="77777777" w:rsidR="00514FBA" w:rsidRDefault="00514FBA" w:rsidP="00514FBA">
      <w:pPr>
        <w:pStyle w:val="ARTICLEAL3"/>
        <w:rPr>
          <w:rFonts w:asciiTheme="minorHAnsi" w:hAnsiTheme="minorHAnsi" w:cstheme="minorHAnsi"/>
          <w:szCs w:val="24"/>
        </w:rPr>
      </w:pPr>
      <w:r>
        <w:rPr>
          <w:rFonts w:asciiTheme="minorHAnsi" w:hAnsiTheme="minorHAnsi" w:cstheme="minorHAnsi"/>
          <w:szCs w:val="24"/>
          <w:lang w:eastAsia="zh-CN"/>
        </w:rPr>
        <w:t>Contractor acknowledges that the CSC shall be empowered to escalate identified areas of concern as set forth in “Escalation Mechanisms” below.</w:t>
      </w:r>
    </w:p>
    <w:p w14:paraId="3B298E1F" w14:textId="77777777" w:rsidR="00514FBA" w:rsidRPr="00514FBA" w:rsidRDefault="00514FBA" w:rsidP="00514FBA">
      <w:pPr>
        <w:pStyle w:val="ARTICLEAL2"/>
        <w:numPr>
          <w:ilvl w:val="0"/>
          <w:numId w:val="0"/>
        </w:numPr>
        <w:rPr>
          <w:rFonts w:asciiTheme="minorHAnsi" w:hAnsiTheme="minorHAnsi" w:cstheme="minorHAnsi"/>
          <w:b/>
          <w:szCs w:val="24"/>
        </w:rPr>
      </w:pPr>
      <w:bookmarkStart w:id="1" w:name="_Ref456855576"/>
      <w:r w:rsidRPr="00514FBA">
        <w:rPr>
          <w:rFonts w:asciiTheme="minorHAnsi" w:hAnsiTheme="minorHAnsi" w:cstheme="minorHAnsi"/>
          <w:b/>
          <w:szCs w:val="24"/>
        </w:rPr>
        <w:t>Section 7.3 IANA Naming Function Reviews</w:t>
      </w:r>
      <w:r w:rsidRPr="00514FBA">
        <w:rPr>
          <w:rFonts w:asciiTheme="minorHAnsi" w:hAnsiTheme="minorHAnsi" w:cstheme="minorHAnsi"/>
          <w:b/>
          <w:szCs w:val="24"/>
          <w:u w:val="none"/>
        </w:rPr>
        <w:t>.</w:t>
      </w:r>
      <w:bookmarkEnd w:id="1"/>
    </w:p>
    <w:p w14:paraId="443E1134" w14:textId="77777777" w:rsidR="00514FBA" w:rsidRDefault="00514FBA" w:rsidP="00514FBA">
      <w:pPr>
        <w:rPr>
          <w:rFonts w:cstheme="minorHAnsi"/>
          <w:lang w:eastAsia="zh-CN"/>
        </w:rPr>
      </w:pPr>
      <w:r>
        <w:rPr>
          <w:rFonts w:cstheme="minorHAnsi"/>
          <w:lang w:eastAsia="zh-CN"/>
        </w:rPr>
        <w:t>Contractor acknowledges that ICANN’s Board of Directors (the “</w:t>
      </w:r>
      <w:r>
        <w:rPr>
          <w:rFonts w:cstheme="minorHAnsi"/>
          <w:b/>
          <w:bCs/>
          <w:lang w:eastAsia="zh-CN"/>
        </w:rPr>
        <w:t>ICANN Board</w:t>
      </w:r>
      <w:r>
        <w:rPr>
          <w:rFonts w:cstheme="minorHAnsi"/>
          <w:lang w:eastAsia="zh-CN"/>
        </w:rPr>
        <w:t>”) may cause a review by an IFRT, in accordance with ICANN’s Bylaws (an “</w:t>
      </w:r>
      <w:r>
        <w:rPr>
          <w:rFonts w:cstheme="minorHAnsi"/>
          <w:b/>
          <w:lang w:eastAsia="zh-CN"/>
        </w:rPr>
        <w:t>IANA Function Review</w:t>
      </w:r>
      <w:r>
        <w:rPr>
          <w:rFonts w:cstheme="minorHAnsi"/>
          <w:lang w:eastAsia="zh-CN"/>
        </w:rPr>
        <w:t>” or “</w:t>
      </w:r>
      <w:r>
        <w:rPr>
          <w:rFonts w:cstheme="minorHAnsi"/>
          <w:b/>
          <w:lang w:eastAsia="zh-CN"/>
        </w:rPr>
        <w:t>IFR</w:t>
      </w:r>
      <w:r>
        <w:rPr>
          <w:rFonts w:cstheme="minorHAnsi"/>
          <w:lang w:eastAsia="zh-CN"/>
        </w:rPr>
        <w:t xml:space="preserve">”).    </w:t>
      </w:r>
    </w:p>
    <w:p w14:paraId="1C26DED8" w14:textId="77777777" w:rsidR="00514FBA" w:rsidRDefault="00514FBA" w:rsidP="00514FBA">
      <w:pPr>
        <w:rPr>
          <w:rFonts w:cstheme="minorHAnsi"/>
          <w:lang w:eastAsia="zh-CN"/>
        </w:rPr>
      </w:pPr>
    </w:p>
    <w:p w14:paraId="1A3FCDFA" w14:textId="77777777" w:rsidR="00514FBA" w:rsidRDefault="00514FBA" w:rsidP="00514FBA">
      <w:pPr>
        <w:rPr>
          <w:rFonts w:cstheme="minorHAnsi"/>
          <w:lang w:eastAsia="zh-CN"/>
        </w:rPr>
      </w:pPr>
    </w:p>
    <w:p w14:paraId="1CCDAA91" w14:textId="77777777" w:rsidR="00514FBA" w:rsidRDefault="00514FBA" w:rsidP="00514FBA">
      <w:pPr>
        <w:pStyle w:val="ARTICLEAL2"/>
        <w:numPr>
          <w:ilvl w:val="0"/>
          <w:numId w:val="0"/>
        </w:numPr>
        <w:rPr>
          <w:rFonts w:asciiTheme="minorHAnsi" w:hAnsiTheme="minorHAnsi" w:cstheme="minorHAnsi"/>
          <w:szCs w:val="24"/>
          <w:u w:val="none"/>
        </w:rPr>
      </w:pPr>
      <w:r w:rsidRPr="00514FBA">
        <w:rPr>
          <w:rFonts w:asciiTheme="minorHAnsi" w:hAnsiTheme="minorHAnsi" w:cstheme="minorHAnsi"/>
          <w:b/>
          <w:szCs w:val="24"/>
        </w:rPr>
        <w:t xml:space="preserve">Section </w:t>
      </w:r>
      <w:proofErr w:type="gramStart"/>
      <w:r w:rsidRPr="00514FBA">
        <w:rPr>
          <w:rFonts w:asciiTheme="minorHAnsi" w:hAnsiTheme="minorHAnsi" w:cstheme="minorHAnsi"/>
          <w:b/>
          <w:szCs w:val="24"/>
        </w:rPr>
        <w:t>14.3  Amendments</w:t>
      </w:r>
      <w:proofErr w:type="gramEnd"/>
      <w:r w:rsidRPr="00514FBA">
        <w:rPr>
          <w:rFonts w:asciiTheme="minorHAnsi" w:hAnsiTheme="minorHAnsi" w:cstheme="minorHAnsi"/>
          <w:b/>
          <w:szCs w:val="24"/>
          <w:u w:val="none"/>
        </w:rPr>
        <w:t xml:space="preserve">.  </w:t>
      </w:r>
      <w:r>
        <w:rPr>
          <w:rFonts w:asciiTheme="minorHAnsi" w:hAnsiTheme="minorHAnsi" w:cstheme="minorHAnsi"/>
          <w:szCs w:val="24"/>
          <w:u w:val="none"/>
        </w:rPr>
        <w:t xml:space="preserve">Except as provided in </w:t>
      </w:r>
      <w:r>
        <w:t>Section 7.3 (</w:t>
      </w:r>
      <w:proofErr w:type="gramStart"/>
      <w:r>
        <w:t>c )</w:t>
      </w:r>
      <w:proofErr w:type="gramEnd"/>
      <w:r>
        <w:rPr>
          <w:rFonts w:asciiTheme="minorHAnsi" w:hAnsiTheme="minorHAnsi" w:cstheme="minorHAnsi"/>
          <w:szCs w:val="24"/>
          <w:u w:val="none"/>
        </w:rPr>
        <w:t xml:space="preserve">, any term or provision of this Contract may be amended, and the observance of any term of this Contract  may be waived only by a physical writing referencing this Contract, and either (a) manually signed by the Parties to be bound or (b) digitally signed by the Parties to be bound.  Nothing herein shall limit ICANN’s obligations under ICANN’s Bylaws to the extent related to ICANN’s commitments related to the amendment or modification of this Contract, including the ability to amend this Contract pursuant to </w:t>
      </w:r>
      <w:r>
        <w:rPr>
          <w:rFonts w:asciiTheme="minorHAnsi" w:hAnsiTheme="minorHAnsi" w:cstheme="minorHAnsi"/>
          <w:szCs w:val="24"/>
          <w:u w:val="none"/>
          <w:lang w:eastAsia="zh-CN"/>
        </w:rPr>
        <w:t>an approved IFR Recommendation, an approved Special IFR Recommendation or an approved SCWG Recommendation</w:t>
      </w:r>
      <w:r>
        <w:rPr>
          <w:rFonts w:asciiTheme="minorHAnsi" w:hAnsiTheme="minorHAnsi" w:cstheme="minorHAnsi"/>
          <w:szCs w:val="24"/>
          <w:u w:val="none"/>
        </w:rPr>
        <w:t>, each as set forth in ICANN’s Bylaws.</w:t>
      </w:r>
    </w:p>
    <w:p w14:paraId="19153FBD" w14:textId="77777777" w:rsidR="00514FBA" w:rsidRDefault="00514FBA" w:rsidP="00514FBA">
      <w:pPr>
        <w:pStyle w:val="BodyText"/>
      </w:pPr>
    </w:p>
    <w:p w14:paraId="5F3AFEF0" w14:textId="77777777" w:rsidR="00514FBA" w:rsidRDefault="00514FBA" w:rsidP="00514FBA">
      <w:pPr>
        <w:pStyle w:val="BodyText"/>
      </w:pPr>
    </w:p>
    <w:p w14:paraId="75532FC0" w14:textId="77777777" w:rsidR="00514FBA" w:rsidRDefault="00514FBA" w:rsidP="00514FBA">
      <w:pPr>
        <w:pStyle w:val="BodyText"/>
        <w:rPr>
          <w:rFonts w:cstheme="minorHAnsi"/>
          <w:b/>
          <w:bCs/>
          <w:u w:val="single"/>
        </w:rPr>
      </w:pPr>
      <w:r>
        <w:rPr>
          <w:rFonts w:cstheme="minorHAnsi"/>
          <w:b/>
          <w:bCs/>
          <w:u w:val="single"/>
        </w:rPr>
        <w:t>ANNEX A:  STATEMENT OF WORK FOR MANAGEMENT OF THE DNS ROOT ZONE</w:t>
      </w:r>
    </w:p>
    <w:p w14:paraId="135BCE8A" w14:textId="77777777" w:rsidR="00514FBA" w:rsidRDefault="00514FBA" w:rsidP="00514FBA">
      <w:pPr>
        <w:pStyle w:val="BodyText"/>
        <w:rPr>
          <w:rFonts w:cstheme="minorHAnsi"/>
          <w:b/>
          <w:bCs/>
          <w:u w:val="single"/>
        </w:rPr>
      </w:pPr>
    </w:p>
    <w:p w14:paraId="440F4C4A" w14:textId="77777777" w:rsidR="00514FBA" w:rsidRDefault="00514FBA" w:rsidP="00514FBA">
      <w:pPr>
        <w:pStyle w:val="ARTICLEAL1"/>
        <w:numPr>
          <w:ilvl w:val="0"/>
          <w:numId w:val="2"/>
        </w:numPr>
        <w:jc w:val="left"/>
      </w:pPr>
      <w:r>
        <w:t>Root Zone Management</w:t>
      </w:r>
    </w:p>
    <w:p w14:paraId="19EE89A7" w14:textId="77777777" w:rsidR="00514FBA" w:rsidRDefault="00514FBA" w:rsidP="00514FBA">
      <w:pPr>
        <w:pStyle w:val="BodyText"/>
        <w:ind w:left="360"/>
      </w:pPr>
      <w:r>
        <w:rPr>
          <w:rFonts w:cstheme="minorHAnsi"/>
        </w:rPr>
        <w:t xml:space="preserve">b. Contractor shall collaborate with all Interested and Affected Parties to develop, maintain, enhance and </w:t>
      </w:r>
      <w:proofErr w:type="spellStart"/>
      <w:r>
        <w:rPr>
          <w:rFonts w:cstheme="minorHAnsi"/>
        </w:rPr>
        <w:t>post performance</w:t>
      </w:r>
      <w:proofErr w:type="spellEnd"/>
      <w:r>
        <w:rPr>
          <w:rFonts w:cstheme="minorHAnsi"/>
        </w:rPr>
        <w:t xml:space="preserve"> standards for Root Zone Management.  Specifically, Contractor shall perform Root Zone Management in accordance with the service levels set forth in Section</w:t>
      </w:r>
      <w:r>
        <w:t xml:space="preserve"> 2. </w:t>
      </w:r>
    </w:p>
    <w:p w14:paraId="6F238C2E" w14:textId="77777777" w:rsidR="00514FBA" w:rsidRDefault="00514FBA" w:rsidP="00514FBA">
      <w:pPr>
        <w:pStyle w:val="BodyText"/>
        <w:ind w:left="360"/>
      </w:pPr>
    </w:p>
    <w:p w14:paraId="41C5A99C" w14:textId="77777777" w:rsidR="00514FBA" w:rsidRDefault="00514FBA" w:rsidP="00514FBA">
      <w:pPr>
        <w:pStyle w:val="BodyText"/>
        <w:ind w:left="360"/>
      </w:pPr>
    </w:p>
    <w:p w14:paraId="5708AAE6" w14:textId="77777777" w:rsidR="00514FBA" w:rsidRDefault="00514FBA" w:rsidP="00514FBA">
      <w:pPr>
        <w:pStyle w:val="BodyText"/>
        <w:rPr>
          <w:b/>
        </w:rPr>
      </w:pPr>
      <w:bookmarkStart w:id="2" w:name="_Ref456862311"/>
      <w:r w:rsidRPr="00D77E8F">
        <w:rPr>
          <w:b/>
        </w:rPr>
        <w:t>2</w:t>
      </w:r>
      <w:bookmarkEnd w:id="2"/>
      <w:r w:rsidRPr="00D77E8F">
        <w:rPr>
          <w:b/>
        </w:rPr>
        <w:t>. SERVICE LEVELS</w:t>
      </w:r>
    </w:p>
    <w:p w14:paraId="0291229C" w14:textId="77777777" w:rsidR="00514FBA" w:rsidRDefault="00514FBA" w:rsidP="00514FBA">
      <w:pPr>
        <w:pStyle w:val="BodyText"/>
        <w:rPr>
          <w:b/>
        </w:rPr>
      </w:pPr>
    </w:p>
    <w:p w14:paraId="14E9611D" w14:textId="77777777" w:rsidR="00514FBA" w:rsidRDefault="00514FBA" w:rsidP="00514FBA">
      <w:pPr>
        <w:pStyle w:val="KBody"/>
        <w:numPr>
          <w:ilvl w:val="1"/>
          <w:numId w:val="2"/>
        </w:numPr>
        <w:ind w:left="1440"/>
        <w:rPr>
          <w:rFonts w:asciiTheme="minorHAnsi" w:hAnsiTheme="minorHAnsi" w:cstheme="minorHAnsi"/>
        </w:rPr>
      </w:pPr>
      <w:r>
        <w:rPr>
          <w:rFonts w:asciiTheme="minorHAnsi" w:hAnsiTheme="minorHAnsi" w:cstheme="minorHAnsi"/>
        </w:rPr>
        <w:t xml:space="preserve">Contractor shall perform the Services in accordance with the following “Service Levels”. The expectation is that Contractor will normally perform within the threshold. The thresholds will be modified over time </w:t>
      </w:r>
      <w:r w:rsidRPr="00514FBA">
        <w:rPr>
          <w:rFonts w:asciiTheme="minorHAnsi" w:hAnsiTheme="minorHAnsi" w:cstheme="minorHAnsi"/>
          <w:b/>
        </w:rPr>
        <w:t>as part of periodic reviews of the service level expectation.</w:t>
      </w:r>
      <w:r>
        <w:rPr>
          <w:rFonts w:asciiTheme="minorHAnsi" w:hAnsiTheme="minorHAnsi" w:cstheme="minorHAnsi"/>
        </w:rPr>
        <w:t xml:space="preserve"> A subset of the following measures </w:t>
      </w:r>
      <w:proofErr w:type="gramStart"/>
      <w:r>
        <w:rPr>
          <w:rFonts w:asciiTheme="minorHAnsi" w:hAnsiTheme="minorHAnsi" w:cstheme="minorHAnsi"/>
        </w:rPr>
        <w:t>relate</w:t>
      </w:r>
      <w:proofErr w:type="gramEnd"/>
      <w:r>
        <w:rPr>
          <w:rFonts w:asciiTheme="minorHAnsi" w:hAnsiTheme="minorHAnsi" w:cstheme="minorHAnsi"/>
        </w:rPr>
        <w:t xml:space="preserve"> to measurement of non-routine changes where it is not applicable to set a specific threshold for performance. It is expected for measurements of non-routine process steps these will only be reported with no applicable service level expectation.</w:t>
      </w:r>
    </w:p>
    <w:p w14:paraId="583F4FFB" w14:textId="77777777" w:rsidR="00514FBA" w:rsidRPr="00D77E8F" w:rsidRDefault="00514FBA" w:rsidP="005E651A">
      <w:pPr>
        <w:rPr>
          <w:rFonts w:cstheme="minorHAnsi"/>
          <w:lang w:eastAsia="zh-CN"/>
        </w:rPr>
      </w:pPr>
    </w:p>
    <w:sectPr w:rsidR="00514FBA" w:rsidRPr="00D77E8F" w:rsidSect="00E065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C44D6"/>
    <w:multiLevelType w:val="multilevel"/>
    <w:tmpl w:val="3BDAA1DE"/>
    <w:lvl w:ilvl="0">
      <w:start w:val="1"/>
      <w:numFmt w:val="upperRoman"/>
      <w:pStyle w:val="ARTICLEAL1"/>
      <w:suff w:val="nothing"/>
      <w:lvlText w:val="ARTICLE %1"/>
      <w:lvlJc w:val="left"/>
      <w:pPr>
        <w:ind w:left="0" w:firstLine="0"/>
      </w:pPr>
      <w:rPr>
        <w:rFonts w:asciiTheme="minorHAnsi" w:hAnsiTheme="minorHAnsi"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RTICLEAL2"/>
      <w:isLgl/>
      <w:lvlText w:val="Section %1.%2"/>
      <w:lvlJc w:val="left"/>
      <w:pPr>
        <w:tabs>
          <w:tab w:val="num" w:pos="1440"/>
        </w:tabs>
        <w:ind w:left="0" w:firstLine="0"/>
      </w:pPr>
      <w:rPr>
        <w:rFonts w:ascii="Calibri" w:hAnsi="Calibri" w:cs="Calibri" w:hint="default"/>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hint="default"/>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hint="default"/>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hint="default"/>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hint="default"/>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hint="default"/>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hint="default"/>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hint="default"/>
        <w:b w:val="0"/>
        <w:i w:val="0"/>
        <w:caps w:val="0"/>
        <w:sz w:val="24"/>
        <w:u w:val="none"/>
      </w:rPr>
    </w:lvl>
  </w:abstractNum>
  <w:abstractNum w:abstractNumId="1">
    <w:nsid w:val="68776316"/>
    <w:multiLevelType w:val="hybridMultilevel"/>
    <w:tmpl w:val="A0CC4C00"/>
    <w:lvl w:ilvl="0" w:tplc="7382A42A">
      <w:start w:val="1"/>
      <w:numFmt w:val="decimal"/>
      <w:lvlText w:val="%1."/>
      <w:lvlJc w:val="center"/>
      <w:pPr>
        <w:ind w:left="360" w:hanging="360"/>
      </w:pPr>
      <w:rPr>
        <w:rFonts w:hint="default"/>
      </w:rPr>
    </w:lvl>
    <w:lvl w:ilvl="1" w:tplc="30F6D724">
      <w:start w:val="1"/>
      <w:numFmt w:val="lowerLetter"/>
      <w:lvlText w:val="%2."/>
      <w:lvlJc w:val="left"/>
      <w:pPr>
        <w:ind w:left="1080" w:hanging="360"/>
      </w:pPr>
      <w:rPr>
        <w:rFonts w:asciiTheme="minorHAnsi" w:hAnsiTheme="minorHAnsi"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AF"/>
    <w:rsid w:val="000B4C21"/>
    <w:rsid w:val="001D7394"/>
    <w:rsid w:val="002108AF"/>
    <w:rsid w:val="002D117B"/>
    <w:rsid w:val="003B2718"/>
    <w:rsid w:val="003D6876"/>
    <w:rsid w:val="003F0E10"/>
    <w:rsid w:val="004E4166"/>
    <w:rsid w:val="00514FBA"/>
    <w:rsid w:val="00594CF1"/>
    <w:rsid w:val="005A31E1"/>
    <w:rsid w:val="005B046A"/>
    <w:rsid w:val="005E651A"/>
    <w:rsid w:val="0062668F"/>
    <w:rsid w:val="007B53BB"/>
    <w:rsid w:val="009B069D"/>
    <w:rsid w:val="00AB6624"/>
    <w:rsid w:val="00AC5C94"/>
    <w:rsid w:val="00AD61B8"/>
    <w:rsid w:val="00AE3A18"/>
    <w:rsid w:val="00B7433E"/>
    <w:rsid w:val="00C84933"/>
    <w:rsid w:val="00D013DE"/>
    <w:rsid w:val="00D77E8F"/>
    <w:rsid w:val="00E065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222F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849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D013D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AL1">
    <w:name w:val="ARTICLEA_L1"/>
    <w:basedOn w:val="Normal"/>
    <w:next w:val="BodyText"/>
    <w:link w:val="ARTICLEAL1Char"/>
    <w:rsid w:val="002D117B"/>
    <w:pPr>
      <w:keepNext/>
      <w:numPr>
        <w:numId w:val="1"/>
      </w:numPr>
      <w:spacing w:after="240"/>
      <w:jc w:val="center"/>
      <w:outlineLvl w:val="0"/>
    </w:pPr>
    <w:rPr>
      <w:rFonts w:eastAsia="SimSun" w:cstheme="minorHAnsi"/>
      <w:b/>
      <w:caps/>
    </w:rPr>
  </w:style>
  <w:style w:type="paragraph" w:customStyle="1" w:styleId="ARTICLEAL2">
    <w:name w:val="ARTICLEA_L2"/>
    <w:basedOn w:val="Normal"/>
    <w:next w:val="BodyText"/>
    <w:link w:val="ARTICLEAL2Char"/>
    <w:rsid w:val="002D117B"/>
    <w:pPr>
      <w:numPr>
        <w:ilvl w:val="1"/>
        <w:numId w:val="1"/>
      </w:numPr>
      <w:spacing w:after="240"/>
      <w:outlineLvl w:val="1"/>
    </w:pPr>
    <w:rPr>
      <w:rFonts w:ascii="Calibri" w:eastAsia="SimSun" w:hAnsi="Calibri" w:cs="Calibri"/>
      <w:szCs w:val="20"/>
      <w:u w:val="single"/>
    </w:rPr>
  </w:style>
  <w:style w:type="character" w:customStyle="1" w:styleId="ARTICLEAL2Char">
    <w:name w:val="ARTICLEA_L2 Char"/>
    <w:basedOn w:val="DefaultParagraphFont"/>
    <w:link w:val="ARTICLEAL2"/>
    <w:rsid w:val="002D117B"/>
    <w:rPr>
      <w:rFonts w:ascii="Calibri" w:eastAsia="SimSun" w:hAnsi="Calibri" w:cs="Calibri"/>
      <w:szCs w:val="20"/>
      <w:u w:val="single"/>
    </w:rPr>
  </w:style>
  <w:style w:type="paragraph" w:customStyle="1" w:styleId="ARTICLEAL3">
    <w:name w:val="ARTICLEA_L3"/>
    <w:basedOn w:val="Normal"/>
    <w:next w:val="BodyText"/>
    <w:link w:val="ARTICLEAL3Char"/>
    <w:rsid w:val="002D117B"/>
    <w:pPr>
      <w:numPr>
        <w:ilvl w:val="2"/>
        <w:numId w:val="1"/>
      </w:numPr>
      <w:spacing w:after="240"/>
      <w:outlineLvl w:val="2"/>
    </w:pPr>
    <w:rPr>
      <w:rFonts w:ascii="Calibri" w:eastAsia="SimSun" w:hAnsi="Calibri" w:cs="Calibri"/>
      <w:szCs w:val="20"/>
    </w:rPr>
  </w:style>
  <w:style w:type="character" w:customStyle="1" w:styleId="ARTICLEAL3Char">
    <w:name w:val="ARTICLEA_L3 Char"/>
    <w:basedOn w:val="DefaultParagraphFont"/>
    <w:link w:val="ARTICLEAL3"/>
    <w:rsid w:val="002D117B"/>
    <w:rPr>
      <w:rFonts w:ascii="Calibri" w:eastAsia="SimSun" w:hAnsi="Calibri" w:cs="Calibri"/>
      <w:szCs w:val="20"/>
    </w:rPr>
  </w:style>
  <w:style w:type="paragraph" w:customStyle="1" w:styleId="ARTICLEAL4">
    <w:name w:val="ARTICLEA_L4"/>
    <w:basedOn w:val="Normal"/>
    <w:next w:val="BodyText"/>
    <w:rsid w:val="002D117B"/>
    <w:pPr>
      <w:numPr>
        <w:ilvl w:val="3"/>
        <w:numId w:val="1"/>
      </w:numPr>
      <w:spacing w:after="240"/>
      <w:outlineLvl w:val="3"/>
    </w:pPr>
    <w:rPr>
      <w:rFonts w:ascii="Calibri" w:eastAsia="SimSun" w:hAnsi="Calibri" w:cs="Calibri"/>
      <w:szCs w:val="20"/>
    </w:rPr>
  </w:style>
  <w:style w:type="paragraph" w:customStyle="1" w:styleId="ARTICLEAL5">
    <w:name w:val="ARTICLEA_L5"/>
    <w:basedOn w:val="Normal"/>
    <w:next w:val="BodyText"/>
    <w:rsid w:val="002D117B"/>
    <w:pPr>
      <w:numPr>
        <w:ilvl w:val="4"/>
        <w:numId w:val="1"/>
      </w:numPr>
      <w:spacing w:after="240"/>
      <w:outlineLvl w:val="4"/>
    </w:pPr>
    <w:rPr>
      <w:rFonts w:ascii="Times New Roman" w:eastAsia="SimSun" w:hAnsi="Times New Roman" w:cs="Times New Roman"/>
      <w:szCs w:val="20"/>
    </w:rPr>
  </w:style>
  <w:style w:type="paragraph" w:customStyle="1" w:styleId="ARTICLEAL6">
    <w:name w:val="ARTICLEA_L6"/>
    <w:basedOn w:val="ARTICLEAL5"/>
    <w:next w:val="BodyText"/>
    <w:rsid w:val="002D117B"/>
    <w:pPr>
      <w:numPr>
        <w:ilvl w:val="5"/>
      </w:numPr>
      <w:outlineLvl w:val="5"/>
    </w:pPr>
  </w:style>
  <w:style w:type="paragraph" w:customStyle="1" w:styleId="ARTICLEAL7">
    <w:name w:val="ARTICLEA_L7"/>
    <w:basedOn w:val="ARTICLEAL6"/>
    <w:next w:val="BodyText"/>
    <w:rsid w:val="002D117B"/>
    <w:pPr>
      <w:numPr>
        <w:ilvl w:val="6"/>
      </w:numPr>
      <w:outlineLvl w:val="6"/>
    </w:pPr>
  </w:style>
  <w:style w:type="paragraph" w:customStyle="1" w:styleId="ARTICLEAL8">
    <w:name w:val="ARTICLEA_L8"/>
    <w:basedOn w:val="ARTICLEAL7"/>
    <w:next w:val="BodyText"/>
    <w:rsid w:val="002D117B"/>
    <w:pPr>
      <w:numPr>
        <w:ilvl w:val="7"/>
      </w:numPr>
      <w:outlineLvl w:val="7"/>
    </w:pPr>
  </w:style>
  <w:style w:type="paragraph" w:customStyle="1" w:styleId="ARTICLEAL9">
    <w:name w:val="ARTICLEA_L9"/>
    <w:basedOn w:val="ARTICLEAL8"/>
    <w:next w:val="BodyText"/>
    <w:rsid w:val="002D117B"/>
    <w:pPr>
      <w:numPr>
        <w:ilvl w:val="8"/>
      </w:numPr>
      <w:outlineLvl w:val="8"/>
    </w:pPr>
  </w:style>
  <w:style w:type="paragraph" w:styleId="BodyText">
    <w:name w:val="Body Text"/>
    <w:basedOn w:val="Normal"/>
    <w:link w:val="BodyTextChar"/>
    <w:uiPriority w:val="99"/>
    <w:semiHidden/>
    <w:unhideWhenUsed/>
    <w:rsid w:val="002D117B"/>
    <w:pPr>
      <w:spacing w:after="120"/>
    </w:pPr>
  </w:style>
  <w:style w:type="character" w:customStyle="1" w:styleId="BodyTextChar">
    <w:name w:val="Body Text Char"/>
    <w:basedOn w:val="DefaultParagraphFont"/>
    <w:link w:val="BodyText"/>
    <w:uiPriority w:val="99"/>
    <w:semiHidden/>
    <w:rsid w:val="002D117B"/>
  </w:style>
  <w:style w:type="character" w:customStyle="1" w:styleId="ARTICLEAL1Char">
    <w:name w:val="ARTICLEA_L1 Char"/>
    <w:basedOn w:val="DefaultParagraphFont"/>
    <w:link w:val="ARTICLEAL1"/>
    <w:rsid w:val="00D77E8F"/>
    <w:rPr>
      <w:rFonts w:eastAsia="SimSun" w:cstheme="minorHAnsi"/>
      <w:b/>
      <w:caps/>
    </w:rPr>
  </w:style>
  <w:style w:type="paragraph" w:customStyle="1" w:styleId="KBody">
    <w:name w:val="KBody"/>
    <w:basedOn w:val="Normal"/>
    <w:uiPriority w:val="4"/>
    <w:qFormat/>
    <w:rsid w:val="00D77E8F"/>
    <w:pPr>
      <w:spacing w:after="240"/>
      <w:jc w:val="both"/>
    </w:pPr>
    <w:rPr>
      <w:rFonts w:ascii="Times New Roman" w:eastAsia="SimSun" w:hAnsi="Times New Roman" w:cs="Times New Roman"/>
    </w:rPr>
  </w:style>
  <w:style w:type="character" w:customStyle="1" w:styleId="Heading4Char">
    <w:name w:val="Heading 4 Char"/>
    <w:basedOn w:val="DefaultParagraphFont"/>
    <w:link w:val="Heading4"/>
    <w:uiPriority w:val="9"/>
    <w:rsid w:val="00D013DE"/>
    <w:rPr>
      <w:rFonts w:ascii="Times New Roman" w:hAnsi="Times New Roman" w:cs="Times New Roman"/>
      <w:b/>
      <w:bCs/>
    </w:rPr>
  </w:style>
  <w:style w:type="paragraph" w:styleId="NormalWeb">
    <w:name w:val="Normal (Web)"/>
    <w:basedOn w:val="Normal"/>
    <w:uiPriority w:val="99"/>
    <w:semiHidden/>
    <w:unhideWhenUsed/>
    <w:rsid w:val="00D013D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013DE"/>
    <w:rPr>
      <w:b/>
      <w:bCs/>
    </w:rPr>
  </w:style>
  <w:style w:type="character" w:customStyle="1" w:styleId="Heading3Char">
    <w:name w:val="Heading 3 Char"/>
    <w:basedOn w:val="DefaultParagraphFont"/>
    <w:link w:val="Heading3"/>
    <w:uiPriority w:val="9"/>
    <w:semiHidden/>
    <w:rsid w:val="00C8493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85313">
      <w:bodyDiv w:val="1"/>
      <w:marLeft w:val="0"/>
      <w:marRight w:val="0"/>
      <w:marTop w:val="0"/>
      <w:marBottom w:val="0"/>
      <w:divBdr>
        <w:top w:val="none" w:sz="0" w:space="0" w:color="auto"/>
        <w:left w:val="none" w:sz="0" w:space="0" w:color="auto"/>
        <w:bottom w:val="none" w:sz="0" w:space="0" w:color="auto"/>
        <w:right w:val="none" w:sz="0" w:space="0" w:color="auto"/>
      </w:divBdr>
    </w:div>
    <w:div w:id="711344521">
      <w:bodyDiv w:val="1"/>
      <w:marLeft w:val="0"/>
      <w:marRight w:val="0"/>
      <w:marTop w:val="0"/>
      <w:marBottom w:val="0"/>
      <w:divBdr>
        <w:top w:val="none" w:sz="0" w:space="0" w:color="auto"/>
        <w:left w:val="none" w:sz="0" w:space="0" w:color="auto"/>
        <w:bottom w:val="none" w:sz="0" w:space="0" w:color="auto"/>
        <w:right w:val="none" w:sz="0" w:space="0" w:color="auto"/>
      </w:divBdr>
    </w:div>
    <w:div w:id="791705462">
      <w:bodyDiv w:val="1"/>
      <w:marLeft w:val="0"/>
      <w:marRight w:val="0"/>
      <w:marTop w:val="0"/>
      <w:marBottom w:val="0"/>
      <w:divBdr>
        <w:top w:val="none" w:sz="0" w:space="0" w:color="auto"/>
        <w:left w:val="none" w:sz="0" w:space="0" w:color="auto"/>
        <w:bottom w:val="none" w:sz="0" w:space="0" w:color="auto"/>
        <w:right w:val="none" w:sz="0" w:space="0" w:color="auto"/>
      </w:divBdr>
    </w:div>
    <w:div w:id="1409308850">
      <w:bodyDiv w:val="1"/>
      <w:marLeft w:val="0"/>
      <w:marRight w:val="0"/>
      <w:marTop w:val="0"/>
      <w:marBottom w:val="0"/>
      <w:divBdr>
        <w:top w:val="none" w:sz="0" w:space="0" w:color="auto"/>
        <w:left w:val="none" w:sz="0" w:space="0" w:color="auto"/>
        <w:bottom w:val="none" w:sz="0" w:space="0" w:color="auto"/>
        <w:right w:val="none" w:sz="0" w:space="0" w:color="auto"/>
      </w:divBdr>
    </w:div>
    <w:div w:id="1791775999">
      <w:bodyDiv w:val="1"/>
      <w:marLeft w:val="0"/>
      <w:marRight w:val="0"/>
      <w:marTop w:val="0"/>
      <w:marBottom w:val="0"/>
      <w:divBdr>
        <w:top w:val="none" w:sz="0" w:space="0" w:color="auto"/>
        <w:left w:val="none" w:sz="0" w:space="0" w:color="auto"/>
        <w:bottom w:val="none" w:sz="0" w:space="0" w:color="auto"/>
        <w:right w:val="none" w:sz="0" w:space="0" w:color="auto"/>
      </w:divBdr>
      <w:divsChild>
        <w:div w:id="1076705863">
          <w:marLeft w:val="0"/>
          <w:marRight w:val="0"/>
          <w:marTop w:val="0"/>
          <w:marBottom w:val="0"/>
          <w:divBdr>
            <w:top w:val="none" w:sz="0" w:space="0" w:color="auto"/>
            <w:left w:val="none" w:sz="0" w:space="0" w:color="auto"/>
            <w:bottom w:val="none" w:sz="0" w:space="0" w:color="auto"/>
            <w:right w:val="none" w:sz="0" w:space="0" w:color="auto"/>
          </w:divBdr>
        </w:div>
        <w:div w:id="1497266726">
          <w:marLeft w:val="0"/>
          <w:marRight w:val="0"/>
          <w:marTop w:val="0"/>
          <w:marBottom w:val="0"/>
          <w:divBdr>
            <w:top w:val="none" w:sz="0" w:space="0" w:color="auto"/>
            <w:left w:val="none" w:sz="0" w:space="0" w:color="auto"/>
            <w:bottom w:val="none" w:sz="0" w:space="0" w:color="auto"/>
            <w:right w:val="none" w:sz="0" w:space="0" w:color="auto"/>
          </w:divBdr>
        </w:div>
        <w:div w:id="590162946">
          <w:marLeft w:val="0"/>
          <w:marRight w:val="0"/>
          <w:marTop w:val="0"/>
          <w:marBottom w:val="0"/>
          <w:divBdr>
            <w:top w:val="none" w:sz="0" w:space="0" w:color="auto"/>
            <w:left w:val="none" w:sz="0" w:space="0" w:color="auto"/>
            <w:bottom w:val="none" w:sz="0" w:space="0" w:color="auto"/>
            <w:right w:val="none" w:sz="0" w:space="0" w:color="auto"/>
          </w:divBdr>
        </w:div>
        <w:div w:id="1300838832">
          <w:marLeft w:val="0"/>
          <w:marRight w:val="0"/>
          <w:marTop w:val="0"/>
          <w:marBottom w:val="0"/>
          <w:divBdr>
            <w:top w:val="none" w:sz="0" w:space="0" w:color="auto"/>
            <w:left w:val="none" w:sz="0" w:space="0" w:color="auto"/>
            <w:bottom w:val="none" w:sz="0" w:space="0" w:color="auto"/>
            <w:right w:val="none" w:sz="0" w:space="0" w:color="auto"/>
          </w:divBdr>
        </w:div>
        <w:div w:id="941180611">
          <w:marLeft w:val="0"/>
          <w:marRight w:val="0"/>
          <w:marTop w:val="0"/>
          <w:marBottom w:val="0"/>
          <w:divBdr>
            <w:top w:val="none" w:sz="0" w:space="0" w:color="auto"/>
            <w:left w:val="none" w:sz="0" w:space="0" w:color="auto"/>
            <w:bottom w:val="none" w:sz="0" w:space="0" w:color="auto"/>
            <w:right w:val="none" w:sz="0" w:space="0" w:color="auto"/>
          </w:divBdr>
        </w:div>
        <w:div w:id="1358654663">
          <w:marLeft w:val="0"/>
          <w:marRight w:val="0"/>
          <w:marTop w:val="0"/>
          <w:marBottom w:val="0"/>
          <w:divBdr>
            <w:top w:val="none" w:sz="0" w:space="0" w:color="auto"/>
            <w:left w:val="none" w:sz="0" w:space="0" w:color="auto"/>
            <w:bottom w:val="none" w:sz="0" w:space="0" w:color="auto"/>
            <w:right w:val="none" w:sz="0" w:space="0" w:color="auto"/>
          </w:divBdr>
        </w:div>
        <w:div w:id="741173879">
          <w:marLeft w:val="0"/>
          <w:marRight w:val="0"/>
          <w:marTop w:val="0"/>
          <w:marBottom w:val="0"/>
          <w:divBdr>
            <w:top w:val="none" w:sz="0" w:space="0" w:color="auto"/>
            <w:left w:val="none" w:sz="0" w:space="0" w:color="auto"/>
            <w:bottom w:val="none" w:sz="0" w:space="0" w:color="auto"/>
            <w:right w:val="none" w:sz="0" w:space="0" w:color="auto"/>
          </w:divBdr>
        </w:div>
        <w:div w:id="216090292">
          <w:marLeft w:val="0"/>
          <w:marRight w:val="0"/>
          <w:marTop w:val="0"/>
          <w:marBottom w:val="0"/>
          <w:divBdr>
            <w:top w:val="none" w:sz="0" w:space="0" w:color="auto"/>
            <w:left w:val="none" w:sz="0" w:space="0" w:color="auto"/>
            <w:bottom w:val="none" w:sz="0" w:space="0" w:color="auto"/>
            <w:right w:val="none" w:sz="0" w:space="0" w:color="auto"/>
          </w:divBdr>
        </w:div>
        <w:div w:id="272519263">
          <w:marLeft w:val="0"/>
          <w:marRight w:val="0"/>
          <w:marTop w:val="0"/>
          <w:marBottom w:val="0"/>
          <w:divBdr>
            <w:top w:val="none" w:sz="0" w:space="0" w:color="auto"/>
            <w:left w:val="none" w:sz="0" w:space="0" w:color="auto"/>
            <w:bottom w:val="none" w:sz="0" w:space="0" w:color="auto"/>
            <w:right w:val="none" w:sz="0" w:space="0" w:color="auto"/>
          </w:divBdr>
        </w:div>
        <w:div w:id="1956716707">
          <w:marLeft w:val="0"/>
          <w:marRight w:val="0"/>
          <w:marTop w:val="0"/>
          <w:marBottom w:val="0"/>
          <w:divBdr>
            <w:top w:val="none" w:sz="0" w:space="0" w:color="auto"/>
            <w:left w:val="none" w:sz="0" w:space="0" w:color="auto"/>
            <w:bottom w:val="none" w:sz="0" w:space="0" w:color="auto"/>
            <w:right w:val="none" w:sz="0" w:space="0" w:color="auto"/>
          </w:divBdr>
        </w:div>
        <w:div w:id="582032884">
          <w:marLeft w:val="0"/>
          <w:marRight w:val="0"/>
          <w:marTop w:val="0"/>
          <w:marBottom w:val="0"/>
          <w:divBdr>
            <w:top w:val="none" w:sz="0" w:space="0" w:color="auto"/>
            <w:left w:val="none" w:sz="0" w:space="0" w:color="auto"/>
            <w:bottom w:val="none" w:sz="0" w:space="0" w:color="auto"/>
            <w:right w:val="none" w:sz="0" w:space="0" w:color="auto"/>
          </w:divBdr>
        </w:div>
        <w:div w:id="434446583">
          <w:marLeft w:val="0"/>
          <w:marRight w:val="0"/>
          <w:marTop w:val="0"/>
          <w:marBottom w:val="0"/>
          <w:divBdr>
            <w:top w:val="none" w:sz="0" w:space="0" w:color="auto"/>
            <w:left w:val="none" w:sz="0" w:space="0" w:color="auto"/>
            <w:bottom w:val="none" w:sz="0" w:space="0" w:color="auto"/>
            <w:right w:val="none" w:sz="0" w:space="0" w:color="auto"/>
          </w:divBdr>
        </w:div>
        <w:div w:id="740181670">
          <w:marLeft w:val="0"/>
          <w:marRight w:val="0"/>
          <w:marTop w:val="0"/>
          <w:marBottom w:val="0"/>
          <w:divBdr>
            <w:top w:val="none" w:sz="0" w:space="0" w:color="auto"/>
            <w:left w:val="none" w:sz="0" w:space="0" w:color="auto"/>
            <w:bottom w:val="none" w:sz="0" w:space="0" w:color="auto"/>
            <w:right w:val="none" w:sz="0" w:space="0" w:color="auto"/>
          </w:divBdr>
        </w:div>
        <w:div w:id="1753040506">
          <w:marLeft w:val="0"/>
          <w:marRight w:val="0"/>
          <w:marTop w:val="0"/>
          <w:marBottom w:val="0"/>
          <w:divBdr>
            <w:top w:val="none" w:sz="0" w:space="0" w:color="auto"/>
            <w:left w:val="none" w:sz="0" w:space="0" w:color="auto"/>
            <w:bottom w:val="none" w:sz="0" w:space="0" w:color="auto"/>
            <w:right w:val="none" w:sz="0" w:space="0" w:color="auto"/>
          </w:divBdr>
        </w:div>
        <w:div w:id="1676296713">
          <w:marLeft w:val="0"/>
          <w:marRight w:val="0"/>
          <w:marTop w:val="0"/>
          <w:marBottom w:val="0"/>
          <w:divBdr>
            <w:top w:val="none" w:sz="0" w:space="0" w:color="auto"/>
            <w:left w:val="none" w:sz="0" w:space="0" w:color="auto"/>
            <w:bottom w:val="none" w:sz="0" w:space="0" w:color="auto"/>
            <w:right w:val="none" w:sz="0" w:space="0" w:color="auto"/>
          </w:divBdr>
        </w:div>
        <w:div w:id="1959868764">
          <w:marLeft w:val="0"/>
          <w:marRight w:val="0"/>
          <w:marTop w:val="0"/>
          <w:marBottom w:val="0"/>
          <w:divBdr>
            <w:top w:val="none" w:sz="0" w:space="0" w:color="auto"/>
            <w:left w:val="none" w:sz="0" w:space="0" w:color="auto"/>
            <w:bottom w:val="none" w:sz="0" w:space="0" w:color="auto"/>
            <w:right w:val="none" w:sz="0" w:space="0" w:color="auto"/>
          </w:divBdr>
        </w:div>
        <w:div w:id="83577784">
          <w:marLeft w:val="0"/>
          <w:marRight w:val="0"/>
          <w:marTop w:val="0"/>
          <w:marBottom w:val="0"/>
          <w:divBdr>
            <w:top w:val="none" w:sz="0" w:space="0" w:color="auto"/>
            <w:left w:val="none" w:sz="0" w:space="0" w:color="auto"/>
            <w:bottom w:val="none" w:sz="0" w:space="0" w:color="auto"/>
            <w:right w:val="none" w:sz="0" w:space="0" w:color="auto"/>
          </w:divBdr>
        </w:div>
        <w:div w:id="1999191607">
          <w:marLeft w:val="0"/>
          <w:marRight w:val="0"/>
          <w:marTop w:val="0"/>
          <w:marBottom w:val="0"/>
          <w:divBdr>
            <w:top w:val="none" w:sz="0" w:space="0" w:color="auto"/>
            <w:left w:val="none" w:sz="0" w:space="0" w:color="auto"/>
            <w:bottom w:val="none" w:sz="0" w:space="0" w:color="auto"/>
            <w:right w:val="none" w:sz="0" w:space="0" w:color="auto"/>
          </w:divBdr>
        </w:div>
        <w:div w:id="1543249386">
          <w:marLeft w:val="0"/>
          <w:marRight w:val="0"/>
          <w:marTop w:val="0"/>
          <w:marBottom w:val="0"/>
          <w:divBdr>
            <w:top w:val="none" w:sz="0" w:space="0" w:color="auto"/>
            <w:left w:val="none" w:sz="0" w:space="0" w:color="auto"/>
            <w:bottom w:val="none" w:sz="0" w:space="0" w:color="auto"/>
            <w:right w:val="none" w:sz="0" w:space="0" w:color="auto"/>
          </w:divBdr>
        </w:div>
        <w:div w:id="707028066">
          <w:marLeft w:val="0"/>
          <w:marRight w:val="0"/>
          <w:marTop w:val="0"/>
          <w:marBottom w:val="0"/>
          <w:divBdr>
            <w:top w:val="none" w:sz="0" w:space="0" w:color="auto"/>
            <w:left w:val="none" w:sz="0" w:space="0" w:color="auto"/>
            <w:bottom w:val="none" w:sz="0" w:space="0" w:color="auto"/>
            <w:right w:val="none" w:sz="0" w:space="0" w:color="auto"/>
          </w:divBdr>
        </w:div>
        <w:div w:id="500509961">
          <w:marLeft w:val="0"/>
          <w:marRight w:val="0"/>
          <w:marTop w:val="0"/>
          <w:marBottom w:val="0"/>
          <w:divBdr>
            <w:top w:val="none" w:sz="0" w:space="0" w:color="auto"/>
            <w:left w:val="none" w:sz="0" w:space="0" w:color="auto"/>
            <w:bottom w:val="none" w:sz="0" w:space="0" w:color="auto"/>
            <w:right w:val="none" w:sz="0" w:space="0" w:color="auto"/>
          </w:divBdr>
        </w:div>
        <w:div w:id="1451585007">
          <w:marLeft w:val="0"/>
          <w:marRight w:val="0"/>
          <w:marTop w:val="0"/>
          <w:marBottom w:val="0"/>
          <w:divBdr>
            <w:top w:val="none" w:sz="0" w:space="0" w:color="auto"/>
            <w:left w:val="none" w:sz="0" w:space="0" w:color="auto"/>
            <w:bottom w:val="none" w:sz="0" w:space="0" w:color="auto"/>
            <w:right w:val="none" w:sz="0" w:space="0" w:color="auto"/>
          </w:divBdr>
        </w:div>
        <w:div w:id="344795089">
          <w:marLeft w:val="0"/>
          <w:marRight w:val="0"/>
          <w:marTop w:val="0"/>
          <w:marBottom w:val="0"/>
          <w:divBdr>
            <w:top w:val="none" w:sz="0" w:space="0" w:color="auto"/>
            <w:left w:val="none" w:sz="0" w:space="0" w:color="auto"/>
            <w:bottom w:val="none" w:sz="0" w:space="0" w:color="auto"/>
            <w:right w:val="none" w:sz="0" w:space="0" w:color="auto"/>
          </w:divBdr>
        </w:div>
        <w:div w:id="25721576">
          <w:marLeft w:val="0"/>
          <w:marRight w:val="0"/>
          <w:marTop w:val="0"/>
          <w:marBottom w:val="0"/>
          <w:divBdr>
            <w:top w:val="none" w:sz="0" w:space="0" w:color="auto"/>
            <w:left w:val="none" w:sz="0" w:space="0" w:color="auto"/>
            <w:bottom w:val="none" w:sz="0" w:space="0" w:color="auto"/>
            <w:right w:val="none" w:sz="0" w:space="0" w:color="auto"/>
          </w:divBdr>
        </w:div>
        <w:div w:id="1343775162">
          <w:marLeft w:val="0"/>
          <w:marRight w:val="0"/>
          <w:marTop w:val="0"/>
          <w:marBottom w:val="0"/>
          <w:divBdr>
            <w:top w:val="none" w:sz="0" w:space="0" w:color="auto"/>
            <w:left w:val="none" w:sz="0" w:space="0" w:color="auto"/>
            <w:bottom w:val="none" w:sz="0" w:space="0" w:color="auto"/>
            <w:right w:val="none" w:sz="0" w:space="0" w:color="auto"/>
          </w:divBdr>
        </w:div>
        <w:div w:id="915165388">
          <w:marLeft w:val="0"/>
          <w:marRight w:val="0"/>
          <w:marTop w:val="0"/>
          <w:marBottom w:val="0"/>
          <w:divBdr>
            <w:top w:val="none" w:sz="0" w:space="0" w:color="auto"/>
            <w:left w:val="none" w:sz="0" w:space="0" w:color="auto"/>
            <w:bottom w:val="none" w:sz="0" w:space="0" w:color="auto"/>
            <w:right w:val="none" w:sz="0" w:space="0" w:color="auto"/>
          </w:divBdr>
        </w:div>
        <w:div w:id="1242906936">
          <w:marLeft w:val="0"/>
          <w:marRight w:val="0"/>
          <w:marTop w:val="0"/>
          <w:marBottom w:val="0"/>
          <w:divBdr>
            <w:top w:val="none" w:sz="0" w:space="0" w:color="auto"/>
            <w:left w:val="none" w:sz="0" w:space="0" w:color="auto"/>
            <w:bottom w:val="none" w:sz="0" w:space="0" w:color="auto"/>
            <w:right w:val="none" w:sz="0" w:space="0" w:color="auto"/>
          </w:divBdr>
        </w:div>
        <w:div w:id="329256069">
          <w:marLeft w:val="0"/>
          <w:marRight w:val="0"/>
          <w:marTop w:val="0"/>
          <w:marBottom w:val="0"/>
          <w:divBdr>
            <w:top w:val="none" w:sz="0" w:space="0" w:color="auto"/>
            <w:left w:val="none" w:sz="0" w:space="0" w:color="auto"/>
            <w:bottom w:val="none" w:sz="0" w:space="0" w:color="auto"/>
            <w:right w:val="none" w:sz="0" w:space="0" w:color="auto"/>
          </w:divBdr>
        </w:div>
        <w:div w:id="1450969508">
          <w:marLeft w:val="0"/>
          <w:marRight w:val="0"/>
          <w:marTop w:val="0"/>
          <w:marBottom w:val="0"/>
          <w:divBdr>
            <w:top w:val="none" w:sz="0" w:space="0" w:color="auto"/>
            <w:left w:val="none" w:sz="0" w:space="0" w:color="auto"/>
            <w:bottom w:val="none" w:sz="0" w:space="0" w:color="auto"/>
            <w:right w:val="none" w:sz="0" w:space="0" w:color="auto"/>
          </w:divBdr>
        </w:div>
        <w:div w:id="1966155188">
          <w:marLeft w:val="0"/>
          <w:marRight w:val="0"/>
          <w:marTop w:val="0"/>
          <w:marBottom w:val="0"/>
          <w:divBdr>
            <w:top w:val="none" w:sz="0" w:space="0" w:color="auto"/>
            <w:left w:val="none" w:sz="0" w:space="0" w:color="auto"/>
            <w:bottom w:val="none" w:sz="0" w:space="0" w:color="auto"/>
            <w:right w:val="none" w:sz="0" w:space="0" w:color="auto"/>
          </w:divBdr>
        </w:div>
        <w:div w:id="1818449601">
          <w:marLeft w:val="0"/>
          <w:marRight w:val="0"/>
          <w:marTop w:val="0"/>
          <w:marBottom w:val="0"/>
          <w:divBdr>
            <w:top w:val="none" w:sz="0" w:space="0" w:color="auto"/>
            <w:left w:val="none" w:sz="0" w:space="0" w:color="auto"/>
            <w:bottom w:val="none" w:sz="0" w:space="0" w:color="auto"/>
            <w:right w:val="none" w:sz="0" w:space="0" w:color="auto"/>
          </w:divBdr>
        </w:div>
        <w:div w:id="1333416055">
          <w:marLeft w:val="0"/>
          <w:marRight w:val="0"/>
          <w:marTop w:val="0"/>
          <w:marBottom w:val="0"/>
          <w:divBdr>
            <w:top w:val="none" w:sz="0" w:space="0" w:color="auto"/>
            <w:left w:val="none" w:sz="0" w:space="0" w:color="auto"/>
            <w:bottom w:val="none" w:sz="0" w:space="0" w:color="auto"/>
            <w:right w:val="none" w:sz="0" w:space="0" w:color="auto"/>
          </w:divBdr>
        </w:div>
        <w:div w:id="2069457783">
          <w:marLeft w:val="0"/>
          <w:marRight w:val="0"/>
          <w:marTop w:val="0"/>
          <w:marBottom w:val="0"/>
          <w:divBdr>
            <w:top w:val="none" w:sz="0" w:space="0" w:color="auto"/>
            <w:left w:val="none" w:sz="0" w:space="0" w:color="auto"/>
            <w:bottom w:val="none" w:sz="0" w:space="0" w:color="auto"/>
            <w:right w:val="none" w:sz="0" w:space="0" w:color="auto"/>
          </w:divBdr>
        </w:div>
        <w:div w:id="1598368589">
          <w:marLeft w:val="0"/>
          <w:marRight w:val="0"/>
          <w:marTop w:val="0"/>
          <w:marBottom w:val="0"/>
          <w:divBdr>
            <w:top w:val="none" w:sz="0" w:space="0" w:color="auto"/>
            <w:left w:val="none" w:sz="0" w:space="0" w:color="auto"/>
            <w:bottom w:val="none" w:sz="0" w:space="0" w:color="auto"/>
            <w:right w:val="none" w:sz="0" w:space="0" w:color="auto"/>
          </w:divBdr>
        </w:div>
        <w:div w:id="933057129">
          <w:marLeft w:val="0"/>
          <w:marRight w:val="0"/>
          <w:marTop w:val="0"/>
          <w:marBottom w:val="0"/>
          <w:divBdr>
            <w:top w:val="none" w:sz="0" w:space="0" w:color="auto"/>
            <w:left w:val="none" w:sz="0" w:space="0" w:color="auto"/>
            <w:bottom w:val="none" w:sz="0" w:space="0" w:color="auto"/>
            <w:right w:val="none" w:sz="0" w:space="0" w:color="auto"/>
          </w:divBdr>
        </w:div>
        <w:div w:id="444886034">
          <w:marLeft w:val="0"/>
          <w:marRight w:val="0"/>
          <w:marTop w:val="0"/>
          <w:marBottom w:val="0"/>
          <w:divBdr>
            <w:top w:val="none" w:sz="0" w:space="0" w:color="auto"/>
            <w:left w:val="none" w:sz="0" w:space="0" w:color="auto"/>
            <w:bottom w:val="none" w:sz="0" w:space="0" w:color="auto"/>
            <w:right w:val="none" w:sz="0" w:space="0" w:color="auto"/>
          </w:divBdr>
        </w:div>
        <w:div w:id="97875285">
          <w:marLeft w:val="0"/>
          <w:marRight w:val="0"/>
          <w:marTop w:val="0"/>
          <w:marBottom w:val="0"/>
          <w:divBdr>
            <w:top w:val="none" w:sz="0" w:space="0" w:color="auto"/>
            <w:left w:val="none" w:sz="0" w:space="0" w:color="auto"/>
            <w:bottom w:val="none" w:sz="0" w:space="0" w:color="auto"/>
            <w:right w:val="none" w:sz="0" w:space="0" w:color="auto"/>
          </w:divBdr>
        </w:div>
        <w:div w:id="1685397953">
          <w:marLeft w:val="0"/>
          <w:marRight w:val="0"/>
          <w:marTop w:val="0"/>
          <w:marBottom w:val="0"/>
          <w:divBdr>
            <w:top w:val="none" w:sz="0" w:space="0" w:color="auto"/>
            <w:left w:val="none" w:sz="0" w:space="0" w:color="auto"/>
            <w:bottom w:val="none" w:sz="0" w:space="0" w:color="auto"/>
            <w:right w:val="none" w:sz="0" w:space="0" w:color="auto"/>
          </w:divBdr>
        </w:div>
        <w:div w:id="1848984189">
          <w:marLeft w:val="0"/>
          <w:marRight w:val="0"/>
          <w:marTop w:val="0"/>
          <w:marBottom w:val="0"/>
          <w:divBdr>
            <w:top w:val="none" w:sz="0" w:space="0" w:color="auto"/>
            <w:left w:val="none" w:sz="0" w:space="0" w:color="auto"/>
            <w:bottom w:val="none" w:sz="0" w:space="0" w:color="auto"/>
            <w:right w:val="none" w:sz="0" w:space="0" w:color="auto"/>
          </w:divBdr>
        </w:div>
        <w:div w:id="1459181853">
          <w:marLeft w:val="0"/>
          <w:marRight w:val="0"/>
          <w:marTop w:val="0"/>
          <w:marBottom w:val="0"/>
          <w:divBdr>
            <w:top w:val="none" w:sz="0" w:space="0" w:color="auto"/>
            <w:left w:val="none" w:sz="0" w:space="0" w:color="auto"/>
            <w:bottom w:val="none" w:sz="0" w:space="0" w:color="auto"/>
            <w:right w:val="none" w:sz="0" w:space="0" w:color="auto"/>
          </w:divBdr>
        </w:div>
        <w:div w:id="1531064882">
          <w:marLeft w:val="0"/>
          <w:marRight w:val="0"/>
          <w:marTop w:val="0"/>
          <w:marBottom w:val="0"/>
          <w:divBdr>
            <w:top w:val="none" w:sz="0" w:space="0" w:color="auto"/>
            <w:left w:val="none" w:sz="0" w:space="0" w:color="auto"/>
            <w:bottom w:val="none" w:sz="0" w:space="0" w:color="auto"/>
            <w:right w:val="none" w:sz="0" w:space="0" w:color="auto"/>
          </w:divBdr>
        </w:div>
        <w:div w:id="952633139">
          <w:marLeft w:val="0"/>
          <w:marRight w:val="0"/>
          <w:marTop w:val="0"/>
          <w:marBottom w:val="0"/>
          <w:divBdr>
            <w:top w:val="none" w:sz="0" w:space="0" w:color="auto"/>
            <w:left w:val="none" w:sz="0" w:space="0" w:color="auto"/>
            <w:bottom w:val="none" w:sz="0" w:space="0" w:color="auto"/>
            <w:right w:val="none" w:sz="0" w:space="0" w:color="auto"/>
          </w:divBdr>
        </w:div>
        <w:div w:id="774636622">
          <w:marLeft w:val="0"/>
          <w:marRight w:val="0"/>
          <w:marTop w:val="0"/>
          <w:marBottom w:val="0"/>
          <w:divBdr>
            <w:top w:val="none" w:sz="0" w:space="0" w:color="auto"/>
            <w:left w:val="none" w:sz="0" w:space="0" w:color="auto"/>
            <w:bottom w:val="none" w:sz="0" w:space="0" w:color="auto"/>
            <w:right w:val="none" w:sz="0" w:space="0" w:color="auto"/>
          </w:divBdr>
        </w:div>
        <w:div w:id="628361791">
          <w:marLeft w:val="0"/>
          <w:marRight w:val="0"/>
          <w:marTop w:val="0"/>
          <w:marBottom w:val="0"/>
          <w:divBdr>
            <w:top w:val="none" w:sz="0" w:space="0" w:color="auto"/>
            <w:left w:val="none" w:sz="0" w:space="0" w:color="auto"/>
            <w:bottom w:val="none" w:sz="0" w:space="0" w:color="auto"/>
            <w:right w:val="none" w:sz="0" w:space="0" w:color="auto"/>
          </w:divBdr>
        </w:div>
        <w:div w:id="438372815">
          <w:marLeft w:val="0"/>
          <w:marRight w:val="0"/>
          <w:marTop w:val="0"/>
          <w:marBottom w:val="0"/>
          <w:divBdr>
            <w:top w:val="none" w:sz="0" w:space="0" w:color="auto"/>
            <w:left w:val="none" w:sz="0" w:space="0" w:color="auto"/>
            <w:bottom w:val="none" w:sz="0" w:space="0" w:color="auto"/>
            <w:right w:val="none" w:sz="0" w:space="0" w:color="auto"/>
          </w:divBdr>
        </w:div>
        <w:div w:id="1473791311">
          <w:marLeft w:val="0"/>
          <w:marRight w:val="0"/>
          <w:marTop w:val="0"/>
          <w:marBottom w:val="0"/>
          <w:divBdr>
            <w:top w:val="none" w:sz="0" w:space="0" w:color="auto"/>
            <w:left w:val="none" w:sz="0" w:space="0" w:color="auto"/>
            <w:bottom w:val="none" w:sz="0" w:space="0" w:color="auto"/>
            <w:right w:val="none" w:sz="0" w:space="0" w:color="auto"/>
          </w:divBdr>
        </w:div>
        <w:div w:id="2054383939">
          <w:marLeft w:val="0"/>
          <w:marRight w:val="0"/>
          <w:marTop w:val="0"/>
          <w:marBottom w:val="0"/>
          <w:divBdr>
            <w:top w:val="none" w:sz="0" w:space="0" w:color="auto"/>
            <w:left w:val="none" w:sz="0" w:space="0" w:color="auto"/>
            <w:bottom w:val="none" w:sz="0" w:space="0" w:color="auto"/>
            <w:right w:val="none" w:sz="0" w:space="0" w:color="auto"/>
          </w:divBdr>
        </w:div>
        <w:div w:id="1218400594">
          <w:marLeft w:val="0"/>
          <w:marRight w:val="0"/>
          <w:marTop w:val="0"/>
          <w:marBottom w:val="0"/>
          <w:divBdr>
            <w:top w:val="none" w:sz="0" w:space="0" w:color="auto"/>
            <w:left w:val="none" w:sz="0" w:space="0" w:color="auto"/>
            <w:bottom w:val="none" w:sz="0" w:space="0" w:color="auto"/>
            <w:right w:val="none" w:sz="0" w:space="0" w:color="auto"/>
          </w:divBdr>
        </w:div>
        <w:div w:id="1280575534">
          <w:marLeft w:val="0"/>
          <w:marRight w:val="0"/>
          <w:marTop w:val="0"/>
          <w:marBottom w:val="0"/>
          <w:divBdr>
            <w:top w:val="none" w:sz="0" w:space="0" w:color="auto"/>
            <w:left w:val="none" w:sz="0" w:space="0" w:color="auto"/>
            <w:bottom w:val="none" w:sz="0" w:space="0" w:color="auto"/>
            <w:right w:val="none" w:sz="0" w:space="0" w:color="auto"/>
          </w:divBdr>
        </w:div>
        <w:div w:id="1164974602">
          <w:marLeft w:val="0"/>
          <w:marRight w:val="0"/>
          <w:marTop w:val="0"/>
          <w:marBottom w:val="0"/>
          <w:divBdr>
            <w:top w:val="none" w:sz="0" w:space="0" w:color="auto"/>
            <w:left w:val="none" w:sz="0" w:space="0" w:color="auto"/>
            <w:bottom w:val="none" w:sz="0" w:space="0" w:color="auto"/>
            <w:right w:val="none" w:sz="0" w:space="0" w:color="auto"/>
          </w:divBdr>
        </w:div>
        <w:div w:id="55474834">
          <w:marLeft w:val="0"/>
          <w:marRight w:val="0"/>
          <w:marTop w:val="0"/>
          <w:marBottom w:val="0"/>
          <w:divBdr>
            <w:top w:val="none" w:sz="0" w:space="0" w:color="auto"/>
            <w:left w:val="none" w:sz="0" w:space="0" w:color="auto"/>
            <w:bottom w:val="none" w:sz="0" w:space="0" w:color="auto"/>
            <w:right w:val="none" w:sz="0" w:space="0" w:color="auto"/>
          </w:divBdr>
        </w:div>
        <w:div w:id="1882549959">
          <w:marLeft w:val="0"/>
          <w:marRight w:val="0"/>
          <w:marTop w:val="0"/>
          <w:marBottom w:val="0"/>
          <w:divBdr>
            <w:top w:val="none" w:sz="0" w:space="0" w:color="auto"/>
            <w:left w:val="none" w:sz="0" w:space="0" w:color="auto"/>
            <w:bottom w:val="none" w:sz="0" w:space="0" w:color="auto"/>
            <w:right w:val="none" w:sz="0" w:space="0" w:color="auto"/>
          </w:divBdr>
        </w:div>
        <w:div w:id="2045592715">
          <w:marLeft w:val="0"/>
          <w:marRight w:val="0"/>
          <w:marTop w:val="0"/>
          <w:marBottom w:val="0"/>
          <w:divBdr>
            <w:top w:val="none" w:sz="0" w:space="0" w:color="auto"/>
            <w:left w:val="none" w:sz="0" w:space="0" w:color="auto"/>
            <w:bottom w:val="none" w:sz="0" w:space="0" w:color="auto"/>
            <w:right w:val="none" w:sz="0" w:space="0" w:color="auto"/>
          </w:divBdr>
        </w:div>
        <w:div w:id="729502939">
          <w:marLeft w:val="0"/>
          <w:marRight w:val="0"/>
          <w:marTop w:val="0"/>
          <w:marBottom w:val="0"/>
          <w:divBdr>
            <w:top w:val="none" w:sz="0" w:space="0" w:color="auto"/>
            <w:left w:val="none" w:sz="0" w:space="0" w:color="auto"/>
            <w:bottom w:val="none" w:sz="0" w:space="0" w:color="auto"/>
            <w:right w:val="none" w:sz="0" w:space="0" w:color="auto"/>
          </w:divBdr>
        </w:div>
        <w:div w:id="1812863334">
          <w:marLeft w:val="0"/>
          <w:marRight w:val="0"/>
          <w:marTop w:val="0"/>
          <w:marBottom w:val="0"/>
          <w:divBdr>
            <w:top w:val="none" w:sz="0" w:space="0" w:color="auto"/>
            <w:left w:val="none" w:sz="0" w:space="0" w:color="auto"/>
            <w:bottom w:val="none" w:sz="0" w:space="0" w:color="auto"/>
            <w:right w:val="none" w:sz="0" w:space="0" w:color="auto"/>
          </w:divBdr>
        </w:div>
        <w:div w:id="1881820675">
          <w:marLeft w:val="0"/>
          <w:marRight w:val="0"/>
          <w:marTop w:val="0"/>
          <w:marBottom w:val="0"/>
          <w:divBdr>
            <w:top w:val="none" w:sz="0" w:space="0" w:color="auto"/>
            <w:left w:val="none" w:sz="0" w:space="0" w:color="auto"/>
            <w:bottom w:val="none" w:sz="0" w:space="0" w:color="auto"/>
            <w:right w:val="none" w:sz="0" w:space="0" w:color="auto"/>
          </w:divBdr>
        </w:div>
        <w:div w:id="1622111708">
          <w:marLeft w:val="0"/>
          <w:marRight w:val="0"/>
          <w:marTop w:val="0"/>
          <w:marBottom w:val="0"/>
          <w:divBdr>
            <w:top w:val="none" w:sz="0" w:space="0" w:color="auto"/>
            <w:left w:val="none" w:sz="0" w:space="0" w:color="auto"/>
            <w:bottom w:val="none" w:sz="0" w:space="0" w:color="auto"/>
            <w:right w:val="none" w:sz="0" w:space="0" w:color="auto"/>
          </w:divBdr>
        </w:div>
        <w:div w:id="775095887">
          <w:marLeft w:val="0"/>
          <w:marRight w:val="0"/>
          <w:marTop w:val="0"/>
          <w:marBottom w:val="0"/>
          <w:divBdr>
            <w:top w:val="none" w:sz="0" w:space="0" w:color="auto"/>
            <w:left w:val="none" w:sz="0" w:space="0" w:color="auto"/>
            <w:bottom w:val="none" w:sz="0" w:space="0" w:color="auto"/>
            <w:right w:val="none" w:sz="0" w:space="0" w:color="auto"/>
          </w:divBdr>
        </w:div>
        <w:div w:id="389765455">
          <w:marLeft w:val="0"/>
          <w:marRight w:val="0"/>
          <w:marTop w:val="0"/>
          <w:marBottom w:val="0"/>
          <w:divBdr>
            <w:top w:val="none" w:sz="0" w:space="0" w:color="auto"/>
            <w:left w:val="none" w:sz="0" w:space="0" w:color="auto"/>
            <w:bottom w:val="none" w:sz="0" w:space="0" w:color="auto"/>
            <w:right w:val="none" w:sz="0" w:space="0" w:color="auto"/>
          </w:divBdr>
        </w:div>
        <w:div w:id="1091507574">
          <w:marLeft w:val="0"/>
          <w:marRight w:val="0"/>
          <w:marTop w:val="0"/>
          <w:marBottom w:val="0"/>
          <w:divBdr>
            <w:top w:val="none" w:sz="0" w:space="0" w:color="auto"/>
            <w:left w:val="none" w:sz="0" w:space="0" w:color="auto"/>
            <w:bottom w:val="none" w:sz="0" w:space="0" w:color="auto"/>
            <w:right w:val="none" w:sz="0" w:space="0" w:color="auto"/>
          </w:divBdr>
        </w:div>
        <w:div w:id="1899972285">
          <w:marLeft w:val="0"/>
          <w:marRight w:val="0"/>
          <w:marTop w:val="0"/>
          <w:marBottom w:val="0"/>
          <w:divBdr>
            <w:top w:val="none" w:sz="0" w:space="0" w:color="auto"/>
            <w:left w:val="none" w:sz="0" w:space="0" w:color="auto"/>
            <w:bottom w:val="none" w:sz="0" w:space="0" w:color="auto"/>
            <w:right w:val="none" w:sz="0" w:space="0" w:color="auto"/>
          </w:divBdr>
        </w:div>
        <w:div w:id="1741177547">
          <w:marLeft w:val="0"/>
          <w:marRight w:val="0"/>
          <w:marTop w:val="0"/>
          <w:marBottom w:val="0"/>
          <w:divBdr>
            <w:top w:val="none" w:sz="0" w:space="0" w:color="auto"/>
            <w:left w:val="none" w:sz="0" w:space="0" w:color="auto"/>
            <w:bottom w:val="none" w:sz="0" w:space="0" w:color="auto"/>
            <w:right w:val="none" w:sz="0" w:space="0" w:color="auto"/>
          </w:divBdr>
        </w:div>
        <w:div w:id="1983265655">
          <w:marLeft w:val="0"/>
          <w:marRight w:val="0"/>
          <w:marTop w:val="0"/>
          <w:marBottom w:val="0"/>
          <w:divBdr>
            <w:top w:val="none" w:sz="0" w:space="0" w:color="auto"/>
            <w:left w:val="none" w:sz="0" w:space="0" w:color="auto"/>
            <w:bottom w:val="none" w:sz="0" w:space="0" w:color="auto"/>
            <w:right w:val="none" w:sz="0" w:space="0" w:color="auto"/>
          </w:divBdr>
        </w:div>
        <w:div w:id="1846020545">
          <w:marLeft w:val="0"/>
          <w:marRight w:val="0"/>
          <w:marTop w:val="0"/>
          <w:marBottom w:val="0"/>
          <w:divBdr>
            <w:top w:val="none" w:sz="0" w:space="0" w:color="auto"/>
            <w:left w:val="none" w:sz="0" w:space="0" w:color="auto"/>
            <w:bottom w:val="none" w:sz="0" w:space="0" w:color="auto"/>
            <w:right w:val="none" w:sz="0" w:space="0" w:color="auto"/>
          </w:divBdr>
        </w:div>
        <w:div w:id="707874569">
          <w:marLeft w:val="0"/>
          <w:marRight w:val="0"/>
          <w:marTop w:val="0"/>
          <w:marBottom w:val="0"/>
          <w:divBdr>
            <w:top w:val="none" w:sz="0" w:space="0" w:color="auto"/>
            <w:left w:val="none" w:sz="0" w:space="0" w:color="auto"/>
            <w:bottom w:val="none" w:sz="0" w:space="0" w:color="auto"/>
            <w:right w:val="none" w:sz="0" w:space="0" w:color="auto"/>
          </w:divBdr>
        </w:div>
        <w:div w:id="605694223">
          <w:marLeft w:val="0"/>
          <w:marRight w:val="0"/>
          <w:marTop w:val="0"/>
          <w:marBottom w:val="0"/>
          <w:divBdr>
            <w:top w:val="none" w:sz="0" w:space="0" w:color="auto"/>
            <w:left w:val="none" w:sz="0" w:space="0" w:color="auto"/>
            <w:bottom w:val="none" w:sz="0" w:space="0" w:color="auto"/>
            <w:right w:val="none" w:sz="0" w:space="0" w:color="auto"/>
          </w:divBdr>
        </w:div>
        <w:div w:id="1166936509">
          <w:marLeft w:val="0"/>
          <w:marRight w:val="0"/>
          <w:marTop w:val="0"/>
          <w:marBottom w:val="0"/>
          <w:divBdr>
            <w:top w:val="none" w:sz="0" w:space="0" w:color="auto"/>
            <w:left w:val="none" w:sz="0" w:space="0" w:color="auto"/>
            <w:bottom w:val="none" w:sz="0" w:space="0" w:color="auto"/>
            <w:right w:val="none" w:sz="0" w:space="0" w:color="auto"/>
          </w:divBdr>
        </w:div>
        <w:div w:id="416904064">
          <w:marLeft w:val="0"/>
          <w:marRight w:val="0"/>
          <w:marTop w:val="0"/>
          <w:marBottom w:val="0"/>
          <w:divBdr>
            <w:top w:val="none" w:sz="0" w:space="0" w:color="auto"/>
            <w:left w:val="none" w:sz="0" w:space="0" w:color="auto"/>
            <w:bottom w:val="none" w:sz="0" w:space="0" w:color="auto"/>
            <w:right w:val="none" w:sz="0" w:space="0" w:color="auto"/>
          </w:divBdr>
        </w:div>
        <w:div w:id="236089236">
          <w:marLeft w:val="0"/>
          <w:marRight w:val="0"/>
          <w:marTop w:val="0"/>
          <w:marBottom w:val="0"/>
          <w:divBdr>
            <w:top w:val="none" w:sz="0" w:space="0" w:color="auto"/>
            <w:left w:val="none" w:sz="0" w:space="0" w:color="auto"/>
            <w:bottom w:val="none" w:sz="0" w:space="0" w:color="auto"/>
            <w:right w:val="none" w:sz="0" w:space="0" w:color="auto"/>
          </w:divBdr>
        </w:div>
        <w:div w:id="840462883">
          <w:marLeft w:val="0"/>
          <w:marRight w:val="0"/>
          <w:marTop w:val="0"/>
          <w:marBottom w:val="0"/>
          <w:divBdr>
            <w:top w:val="none" w:sz="0" w:space="0" w:color="auto"/>
            <w:left w:val="none" w:sz="0" w:space="0" w:color="auto"/>
            <w:bottom w:val="none" w:sz="0" w:space="0" w:color="auto"/>
            <w:right w:val="none" w:sz="0" w:space="0" w:color="auto"/>
          </w:divBdr>
        </w:div>
        <w:div w:id="1118138006">
          <w:marLeft w:val="0"/>
          <w:marRight w:val="0"/>
          <w:marTop w:val="0"/>
          <w:marBottom w:val="0"/>
          <w:divBdr>
            <w:top w:val="none" w:sz="0" w:space="0" w:color="auto"/>
            <w:left w:val="none" w:sz="0" w:space="0" w:color="auto"/>
            <w:bottom w:val="none" w:sz="0" w:space="0" w:color="auto"/>
            <w:right w:val="none" w:sz="0" w:space="0" w:color="auto"/>
          </w:divBdr>
        </w:div>
        <w:div w:id="629746325">
          <w:marLeft w:val="0"/>
          <w:marRight w:val="0"/>
          <w:marTop w:val="0"/>
          <w:marBottom w:val="0"/>
          <w:divBdr>
            <w:top w:val="none" w:sz="0" w:space="0" w:color="auto"/>
            <w:left w:val="none" w:sz="0" w:space="0" w:color="auto"/>
            <w:bottom w:val="none" w:sz="0" w:space="0" w:color="auto"/>
            <w:right w:val="none" w:sz="0" w:space="0" w:color="auto"/>
          </w:divBdr>
        </w:div>
        <w:div w:id="465704820">
          <w:marLeft w:val="0"/>
          <w:marRight w:val="0"/>
          <w:marTop w:val="0"/>
          <w:marBottom w:val="0"/>
          <w:divBdr>
            <w:top w:val="none" w:sz="0" w:space="0" w:color="auto"/>
            <w:left w:val="none" w:sz="0" w:space="0" w:color="auto"/>
            <w:bottom w:val="none" w:sz="0" w:space="0" w:color="auto"/>
            <w:right w:val="none" w:sz="0" w:space="0" w:color="auto"/>
          </w:divBdr>
        </w:div>
        <w:div w:id="1405445475">
          <w:marLeft w:val="0"/>
          <w:marRight w:val="0"/>
          <w:marTop w:val="0"/>
          <w:marBottom w:val="0"/>
          <w:divBdr>
            <w:top w:val="none" w:sz="0" w:space="0" w:color="auto"/>
            <w:left w:val="none" w:sz="0" w:space="0" w:color="auto"/>
            <w:bottom w:val="none" w:sz="0" w:space="0" w:color="auto"/>
            <w:right w:val="none" w:sz="0" w:space="0" w:color="auto"/>
          </w:divBdr>
        </w:div>
        <w:div w:id="554704459">
          <w:marLeft w:val="0"/>
          <w:marRight w:val="0"/>
          <w:marTop w:val="0"/>
          <w:marBottom w:val="0"/>
          <w:divBdr>
            <w:top w:val="none" w:sz="0" w:space="0" w:color="auto"/>
            <w:left w:val="none" w:sz="0" w:space="0" w:color="auto"/>
            <w:bottom w:val="none" w:sz="0" w:space="0" w:color="auto"/>
            <w:right w:val="none" w:sz="0" w:space="0" w:color="auto"/>
          </w:divBdr>
        </w:div>
        <w:div w:id="994726458">
          <w:marLeft w:val="0"/>
          <w:marRight w:val="0"/>
          <w:marTop w:val="0"/>
          <w:marBottom w:val="0"/>
          <w:divBdr>
            <w:top w:val="none" w:sz="0" w:space="0" w:color="auto"/>
            <w:left w:val="none" w:sz="0" w:space="0" w:color="auto"/>
            <w:bottom w:val="none" w:sz="0" w:space="0" w:color="auto"/>
            <w:right w:val="none" w:sz="0" w:space="0" w:color="auto"/>
          </w:divBdr>
        </w:div>
        <w:div w:id="233777789">
          <w:marLeft w:val="0"/>
          <w:marRight w:val="0"/>
          <w:marTop w:val="0"/>
          <w:marBottom w:val="0"/>
          <w:divBdr>
            <w:top w:val="none" w:sz="0" w:space="0" w:color="auto"/>
            <w:left w:val="none" w:sz="0" w:space="0" w:color="auto"/>
            <w:bottom w:val="none" w:sz="0" w:space="0" w:color="auto"/>
            <w:right w:val="none" w:sz="0" w:space="0" w:color="auto"/>
          </w:divBdr>
        </w:div>
        <w:div w:id="520776099">
          <w:marLeft w:val="0"/>
          <w:marRight w:val="0"/>
          <w:marTop w:val="0"/>
          <w:marBottom w:val="0"/>
          <w:divBdr>
            <w:top w:val="none" w:sz="0" w:space="0" w:color="auto"/>
            <w:left w:val="none" w:sz="0" w:space="0" w:color="auto"/>
            <w:bottom w:val="none" w:sz="0" w:space="0" w:color="auto"/>
            <w:right w:val="none" w:sz="0" w:space="0" w:color="auto"/>
          </w:divBdr>
        </w:div>
        <w:div w:id="1000045287">
          <w:marLeft w:val="0"/>
          <w:marRight w:val="0"/>
          <w:marTop w:val="0"/>
          <w:marBottom w:val="0"/>
          <w:divBdr>
            <w:top w:val="none" w:sz="0" w:space="0" w:color="auto"/>
            <w:left w:val="none" w:sz="0" w:space="0" w:color="auto"/>
            <w:bottom w:val="none" w:sz="0" w:space="0" w:color="auto"/>
            <w:right w:val="none" w:sz="0" w:space="0" w:color="auto"/>
          </w:divBdr>
        </w:div>
        <w:div w:id="605582402">
          <w:marLeft w:val="0"/>
          <w:marRight w:val="0"/>
          <w:marTop w:val="0"/>
          <w:marBottom w:val="0"/>
          <w:divBdr>
            <w:top w:val="none" w:sz="0" w:space="0" w:color="auto"/>
            <w:left w:val="none" w:sz="0" w:space="0" w:color="auto"/>
            <w:bottom w:val="none" w:sz="0" w:space="0" w:color="auto"/>
            <w:right w:val="none" w:sz="0" w:space="0" w:color="auto"/>
          </w:divBdr>
        </w:div>
        <w:div w:id="835000163">
          <w:marLeft w:val="0"/>
          <w:marRight w:val="0"/>
          <w:marTop w:val="0"/>
          <w:marBottom w:val="0"/>
          <w:divBdr>
            <w:top w:val="none" w:sz="0" w:space="0" w:color="auto"/>
            <w:left w:val="none" w:sz="0" w:space="0" w:color="auto"/>
            <w:bottom w:val="none" w:sz="0" w:space="0" w:color="auto"/>
            <w:right w:val="none" w:sz="0" w:space="0" w:color="auto"/>
          </w:divBdr>
        </w:div>
        <w:div w:id="1244989013">
          <w:marLeft w:val="0"/>
          <w:marRight w:val="0"/>
          <w:marTop w:val="0"/>
          <w:marBottom w:val="0"/>
          <w:divBdr>
            <w:top w:val="none" w:sz="0" w:space="0" w:color="auto"/>
            <w:left w:val="none" w:sz="0" w:space="0" w:color="auto"/>
            <w:bottom w:val="none" w:sz="0" w:space="0" w:color="auto"/>
            <w:right w:val="none" w:sz="0" w:space="0" w:color="auto"/>
          </w:divBdr>
        </w:div>
      </w:divsChild>
    </w:div>
    <w:div w:id="1848717004">
      <w:bodyDiv w:val="1"/>
      <w:marLeft w:val="0"/>
      <w:marRight w:val="0"/>
      <w:marTop w:val="0"/>
      <w:marBottom w:val="0"/>
      <w:divBdr>
        <w:top w:val="none" w:sz="0" w:space="0" w:color="auto"/>
        <w:left w:val="none" w:sz="0" w:space="0" w:color="auto"/>
        <w:bottom w:val="none" w:sz="0" w:space="0" w:color="auto"/>
        <w:right w:val="none" w:sz="0" w:space="0" w:color="auto"/>
      </w:divBdr>
    </w:div>
    <w:div w:id="2028406296">
      <w:bodyDiv w:val="1"/>
      <w:marLeft w:val="0"/>
      <w:marRight w:val="0"/>
      <w:marTop w:val="0"/>
      <w:marBottom w:val="0"/>
      <w:divBdr>
        <w:top w:val="none" w:sz="0" w:space="0" w:color="auto"/>
        <w:left w:val="none" w:sz="0" w:space="0" w:color="auto"/>
        <w:bottom w:val="none" w:sz="0" w:space="0" w:color="auto"/>
        <w:right w:val="none" w:sz="0" w:space="0" w:color="auto"/>
      </w:divBdr>
    </w:div>
    <w:div w:id="2099864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5909</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ARTICLE 18 IANA NAMING FUNCTION REVIEWS</vt:lpstr>
      <vt:lpstr>    Section 7.2 Performance Monitoring.</vt:lpstr>
      <vt:lpstr>        So long as the CSC exists pursuant to ICANN’s Bylaws, Contractor acknowledges an</vt:lpstr>
      <vt:lpstr>        Contractor shall provide reports to the CSC as contemplated by the SOW.</vt:lpstr>
      <vt:lpstr>        Contractor shall act in good faith to resolve issues identified by the CSC.</vt:lpstr>
      <vt:lpstr>        Contractor acknowledges that the CSC shall be empowered to escalate identified a</vt:lpstr>
      <vt:lpstr>    Section 7.3 IANA Naming Function Reviews.</vt:lpstr>
      <vt:lpstr>    Section 14.3  Amendments.  Except as provided in Section 7.3 (c ), any term or p</vt:lpstr>
      <vt:lpstr>Root Zone Management</vt:lpstr>
    </vt:vector>
  </TitlesOfParts>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ICANN</cp:lastModifiedBy>
  <cp:revision>2</cp:revision>
  <dcterms:created xsi:type="dcterms:W3CDTF">2017-07-11T17:47:00Z</dcterms:created>
  <dcterms:modified xsi:type="dcterms:W3CDTF">2017-07-11T17:47:00Z</dcterms:modified>
</cp:coreProperties>
</file>