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80" w:rsidRPr="00AA1F90" w:rsidRDefault="00A61780" w:rsidP="00A61780">
      <w:pPr>
        <w:rPr>
          <w:b/>
          <w:bCs/>
        </w:rPr>
      </w:pPr>
      <w:r w:rsidRPr="00AA1F90">
        <w:rPr>
          <w:b/>
          <w:bCs/>
        </w:rPr>
        <w:t>IDN Implementation Guidelines (IDNG) Working Group (WG)</w:t>
      </w:r>
    </w:p>
    <w:p w:rsidR="00A61780" w:rsidRPr="00AA1F90" w:rsidRDefault="00A61780" w:rsidP="004D734C">
      <w:pPr>
        <w:rPr>
          <w:b/>
          <w:bCs/>
        </w:rPr>
      </w:pPr>
      <w:r w:rsidRPr="00AA1F90">
        <w:rPr>
          <w:b/>
          <w:bCs/>
        </w:rPr>
        <w:t xml:space="preserve">Notes from Meeting on </w:t>
      </w:r>
      <w:r w:rsidR="004D734C">
        <w:rPr>
          <w:b/>
          <w:bCs/>
        </w:rPr>
        <w:t>2 Dec</w:t>
      </w:r>
      <w:r w:rsidRPr="00AA1F90">
        <w:rPr>
          <w:b/>
          <w:bCs/>
        </w:rPr>
        <w:t>. 2015</w:t>
      </w:r>
    </w:p>
    <w:p w:rsidR="00B6339C" w:rsidRPr="007100C7" w:rsidRDefault="007100C7" w:rsidP="00A61780">
      <w:pPr>
        <w:rPr>
          <w:u w:val="single"/>
        </w:rPr>
      </w:pPr>
      <w:r w:rsidRPr="007100C7">
        <w:rPr>
          <w:u w:val="single"/>
        </w:rPr>
        <w:t>Meeting Attendees</w:t>
      </w:r>
    </w:p>
    <w:p w:rsidR="00A61780" w:rsidRDefault="007E6AF4" w:rsidP="00A61780">
      <w:r>
        <w:tab/>
      </w:r>
      <w:r w:rsidR="00AA1F90">
        <w:t>WG</w:t>
      </w:r>
      <w:r w:rsidR="00B6339C">
        <w:t xml:space="preserve"> members</w:t>
      </w:r>
      <w:r w:rsidR="00AA1F90">
        <w:t xml:space="preserve"> </w:t>
      </w:r>
      <w:r w:rsidR="000A0618">
        <w:t>(in alphabetical order)</w:t>
      </w:r>
      <w:r w:rsidR="007100C7">
        <w:t>:</w:t>
      </w:r>
    </w:p>
    <w:p w:rsidR="00154E71" w:rsidRDefault="00154E71" w:rsidP="00154E71">
      <w:pPr>
        <w:pStyle w:val="ListParagraph"/>
        <w:numPr>
          <w:ilvl w:val="0"/>
          <w:numId w:val="2"/>
        </w:numPr>
      </w:pPr>
      <w:r>
        <w:t>Dennis Tan Tanka</w:t>
      </w:r>
    </w:p>
    <w:p w:rsidR="00DF74FC" w:rsidRDefault="00DF74FC" w:rsidP="000A0618">
      <w:pPr>
        <w:pStyle w:val="ListParagraph"/>
        <w:numPr>
          <w:ilvl w:val="0"/>
          <w:numId w:val="2"/>
        </w:numPr>
      </w:pPr>
      <w:r>
        <w:t>Chris Dillon</w:t>
      </w:r>
    </w:p>
    <w:p w:rsidR="001936C7" w:rsidRDefault="001936C7" w:rsidP="00DF74FC">
      <w:pPr>
        <w:pStyle w:val="ListParagraph"/>
        <w:numPr>
          <w:ilvl w:val="0"/>
          <w:numId w:val="2"/>
        </w:numPr>
      </w:pPr>
      <w:r>
        <w:t>Jian Chang</w:t>
      </w:r>
    </w:p>
    <w:p w:rsidR="000A0618" w:rsidRDefault="000A0618" w:rsidP="000A0618">
      <w:pPr>
        <w:pStyle w:val="ListParagraph"/>
        <w:numPr>
          <w:ilvl w:val="0"/>
          <w:numId w:val="2"/>
        </w:numPr>
      </w:pPr>
      <w:r>
        <w:t>Edmon Chung</w:t>
      </w:r>
    </w:p>
    <w:p w:rsidR="00D335E2" w:rsidRDefault="00D335E2" w:rsidP="00D335E2">
      <w:pPr>
        <w:pStyle w:val="ListParagraph"/>
        <w:numPr>
          <w:ilvl w:val="0"/>
          <w:numId w:val="2"/>
        </w:numPr>
      </w:pPr>
      <w:r w:rsidRPr="00995177">
        <w:t>Mats Dufberg</w:t>
      </w:r>
    </w:p>
    <w:p w:rsidR="001936C7" w:rsidRDefault="001936C7" w:rsidP="001936C7">
      <w:pPr>
        <w:pStyle w:val="ListParagraph"/>
        <w:numPr>
          <w:ilvl w:val="0"/>
          <w:numId w:val="2"/>
        </w:numPr>
      </w:pPr>
      <w:r>
        <w:t>Ram Mohan</w:t>
      </w:r>
    </w:p>
    <w:p w:rsidR="001936C7" w:rsidRDefault="001936C7" w:rsidP="001936C7">
      <w:pPr>
        <w:pStyle w:val="ListParagraph"/>
        <w:numPr>
          <w:ilvl w:val="0"/>
          <w:numId w:val="2"/>
        </w:numPr>
      </w:pPr>
      <w:r>
        <w:t>Wael Nasr</w:t>
      </w:r>
    </w:p>
    <w:p w:rsidR="007100C7" w:rsidRDefault="007100C7" w:rsidP="007100C7">
      <w:pPr>
        <w:pStyle w:val="ListParagraph"/>
        <w:ind w:left="1440"/>
      </w:pPr>
    </w:p>
    <w:p w:rsidR="00AA1F90" w:rsidRDefault="007E6AF4" w:rsidP="00AA1F90">
      <w:pPr>
        <w:pStyle w:val="ListParagraph"/>
        <w:ind w:left="0"/>
      </w:pPr>
      <w:r>
        <w:tab/>
        <w:t>Staff</w:t>
      </w:r>
      <w:r w:rsidR="007100C7">
        <w:t>:</w:t>
      </w:r>
    </w:p>
    <w:p w:rsidR="000A0618" w:rsidRDefault="00AA1F90" w:rsidP="000A0618">
      <w:pPr>
        <w:pStyle w:val="ListParagraph"/>
        <w:numPr>
          <w:ilvl w:val="0"/>
          <w:numId w:val="2"/>
        </w:numPr>
      </w:pPr>
      <w:r>
        <w:t xml:space="preserve">Alireza Saleh </w:t>
      </w:r>
    </w:p>
    <w:p w:rsidR="00073921" w:rsidRDefault="00AA1F90" w:rsidP="00073921">
      <w:pPr>
        <w:pStyle w:val="ListParagraph"/>
        <w:numPr>
          <w:ilvl w:val="0"/>
          <w:numId w:val="2"/>
        </w:numPr>
      </w:pPr>
      <w:r>
        <w:t xml:space="preserve">Sarmad Hussain </w:t>
      </w:r>
    </w:p>
    <w:p w:rsidR="00073921" w:rsidRPr="007100C7" w:rsidRDefault="00073921" w:rsidP="00073921">
      <w:pPr>
        <w:rPr>
          <w:u w:val="single"/>
        </w:rPr>
      </w:pPr>
      <w:r>
        <w:rPr>
          <w:u w:val="single"/>
        </w:rPr>
        <w:t>Regrets</w:t>
      </w:r>
    </w:p>
    <w:p w:rsidR="00DF74FC" w:rsidRDefault="001936C7" w:rsidP="001936C7">
      <w:pPr>
        <w:pStyle w:val="ListParagraph"/>
        <w:ind w:left="1440"/>
      </w:pPr>
      <w:r>
        <w:t>None</w:t>
      </w:r>
    </w:p>
    <w:p w:rsidR="00A61780" w:rsidRDefault="007100C7" w:rsidP="00A61780">
      <w:pPr>
        <w:rPr>
          <w:u w:val="single"/>
        </w:rPr>
      </w:pPr>
      <w:r w:rsidRPr="007100C7">
        <w:rPr>
          <w:u w:val="single"/>
        </w:rPr>
        <w:t>Meeting Notes</w:t>
      </w:r>
    </w:p>
    <w:p w:rsidR="00373A16" w:rsidRDefault="001936C7" w:rsidP="004B4A8A">
      <w:pPr>
        <w:pStyle w:val="ListParagraph"/>
        <w:numPr>
          <w:ilvl w:val="0"/>
          <w:numId w:val="1"/>
        </w:numPr>
        <w:rPr>
          <w:b/>
          <w:bCs/>
        </w:rPr>
      </w:pPr>
      <w:r>
        <w:rPr>
          <w:b/>
          <w:bCs/>
        </w:rPr>
        <w:t>String Contention</w:t>
      </w:r>
      <w:r w:rsidR="00BF038D" w:rsidRPr="00373A16">
        <w:rPr>
          <w:b/>
          <w:bCs/>
        </w:rPr>
        <w:t>.</w:t>
      </w:r>
      <w:r w:rsidR="00BF038D">
        <w:t xml:space="preserve">  </w:t>
      </w:r>
      <w:r w:rsidR="005F488B">
        <w:t>Need for analysis</w:t>
      </w:r>
      <w:r>
        <w:t xml:space="preserve"> for string</w:t>
      </w:r>
      <w:r w:rsidR="0061064A">
        <w:t xml:space="preserve"> similarity and related</w:t>
      </w:r>
      <w:r>
        <w:t xml:space="preserve"> contention for different scripts was raised.  </w:t>
      </w:r>
      <w:r w:rsidR="00923BE8">
        <w:t xml:space="preserve">This may be applicable both at top-level and second level.  </w:t>
      </w:r>
      <w:r>
        <w:t xml:space="preserve">The group discussed the issue and </w:t>
      </w:r>
      <w:r w:rsidR="005F488B">
        <w:t>determined</w:t>
      </w:r>
      <w:r>
        <w:t xml:space="preserve"> </w:t>
      </w:r>
      <w:r w:rsidR="0061064A">
        <w:t>that this</w:t>
      </w:r>
      <w:r w:rsidR="005F488B">
        <w:t xml:space="preserve"> may not be specifically IDN related.</w:t>
      </w:r>
      <w:r w:rsidR="0061064A">
        <w:t xml:space="preserve">  If IDN specific aspect of this issue</w:t>
      </w:r>
      <w:r w:rsidR="00923BE8">
        <w:t xml:space="preserve"> can be identified, </w:t>
      </w:r>
      <w:r w:rsidR="0061064A">
        <w:t>the WG</w:t>
      </w:r>
      <w:r w:rsidR="00923BE8">
        <w:t xml:space="preserve"> </w:t>
      </w:r>
      <w:r w:rsidR="004B4A8A">
        <w:t>would</w:t>
      </w:r>
      <w:r w:rsidR="00923BE8">
        <w:t xml:space="preserve"> discuss this further</w:t>
      </w:r>
      <w:r w:rsidR="0061064A">
        <w:t xml:space="preserve">.  </w:t>
      </w:r>
    </w:p>
    <w:p w:rsidR="00154E71" w:rsidRDefault="00154E71" w:rsidP="00154E71">
      <w:pPr>
        <w:pStyle w:val="ListParagraph"/>
      </w:pPr>
    </w:p>
    <w:p w:rsidR="0052290D" w:rsidRDefault="00846081" w:rsidP="0052290D">
      <w:pPr>
        <w:pStyle w:val="ListParagraph"/>
        <w:numPr>
          <w:ilvl w:val="0"/>
          <w:numId w:val="1"/>
        </w:numPr>
        <w:rPr>
          <w:u w:val="single"/>
        </w:rPr>
      </w:pPr>
      <w:r>
        <w:rPr>
          <w:b/>
          <w:bCs/>
        </w:rPr>
        <w:t xml:space="preserve">Issue list for IDN Guidelines.  </w:t>
      </w:r>
      <w:r>
        <w:t>The issue list</w:t>
      </w:r>
      <w:r w:rsidR="0052290D">
        <w:t xml:space="preserve"> in Appendix A</w:t>
      </w:r>
      <w:r>
        <w:t>, circulated on the email, was discuss</w:t>
      </w:r>
      <w:r w:rsidR="00E44242">
        <w:t>ed, as per the details below.</w:t>
      </w:r>
    </w:p>
    <w:p w:rsidR="0052290D" w:rsidRPr="0052290D" w:rsidRDefault="0052290D" w:rsidP="0052290D">
      <w:pPr>
        <w:pStyle w:val="ListParagraph"/>
        <w:rPr>
          <w:b/>
          <w:bCs/>
        </w:rPr>
      </w:pPr>
    </w:p>
    <w:p w:rsidR="0080673C" w:rsidRPr="0052290D" w:rsidRDefault="0052290D" w:rsidP="0052290D">
      <w:pPr>
        <w:pStyle w:val="ListParagraph"/>
        <w:numPr>
          <w:ilvl w:val="0"/>
          <w:numId w:val="1"/>
        </w:numPr>
        <w:rPr>
          <w:u w:val="single"/>
        </w:rPr>
      </w:pPr>
      <w:r w:rsidRPr="0052290D">
        <w:rPr>
          <w:b/>
          <w:bCs/>
        </w:rPr>
        <w:t xml:space="preserve">Transition to IDNA2008.  </w:t>
      </w:r>
      <w:r>
        <w:t>It was suggested that the guidelines should specify that IDNA2008 would be followed.  The members shared that many tools are still based on IDNA2003.  It was concluded to look at this issue, first to gauge how much progress has been made, and then to decide how to make the recommendation in the current version</w:t>
      </w:r>
      <w:r w:rsidR="004B4A8A">
        <w:t xml:space="preserve"> of the Guidelines</w:t>
      </w:r>
      <w:r>
        <w:t>.</w:t>
      </w:r>
    </w:p>
    <w:p w:rsidR="0052290D" w:rsidRDefault="0052290D" w:rsidP="0052290D">
      <w:pPr>
        <w:pStyle w:val="ListParagraph"/>
        <w:rPr>
          <w:u w:val="single"/>
        </w:rPr>
      </w:pPr>
    </w:p>
    <w:p w:rsidR="0052290D" w:rsidRPr="0052290D" w:rsidRDefault="0052290D" w:rsidP="004B4A8A">
      <w:pPr>
        <w:pStyle w:val="ListParagraph"/>
        <w:numPr>
          <w:ilvl w:val="0"/>
          <w:numId w:val="1"/>
        </w:numPr>
        <w:rPr>
          <w:u w:val="single"/>
        </w:rPr>
      </w:pPr>
      <w:r>
        <w:rPr>
          <w:b/>
          <w:bCs/>
        </w:rPr>
        <w:t xml:space="preserve">Transition </w:t>
      </w:r>
      <w:r w:rsidR="00E44242">
        <w:rPr>
          <w:b/>
          <w:bCs/>
        </w:rPr>
        <w:t>across</w:t>
      </w:r>
      <w:r>
        <w:rPr>
          <w:b/>
          <w:bCs/>
        </w:rPr>
        <w:t xml:space="preserve"> Unicode Versions.</w:t>
      </w:r>
      <w:r w:rsidRPr="0052290D">
        <w:rPr>
          <w:b/>
          <w:bCs/>
        </w:rPr>
        <w:t xml:space="preserve">  </w:t>
      </w:r>
      <w:r w:rsidRPr="0052290D">
        <w:t>The members noted that the</w:t>
      </w:r>
      <w:r>
        <w:t xml:space="preserve"> Unicode version is also getting updated and that is an important consideration in the discussion around IDNs.  </w:t>
      </w:r>
      <w:r w:rsidR="00E44242">
        <w:t>It was note</w:t>
      </w:r>
      <w:r w:rsidR="004B4A8A">
        <w:t>d</w:t>
      </w:r>
      <w:r w:rsidR="00E44242">
        <w:t xml:space="preserve"> that </w:t>
      </w:r>
      <w:r w:rsidR="004B4A8A">
        <w:t xml:space="preserve">though </w:t>
      </w:r>
      <w:r w:rsidR="00E44242">
        <w:t>IDNA2008 is Unicode version agnostic</w:t>
      </w:r>
      <w:r w:rsidR="004B4A8A">
        <w:t>, it</w:t>
      </w:r>
      <w:r w:rsidR="00E44242">
        <w:t xml:space="preserve"> has not been upgraded due to issues with some characters as identified in the IAB statement</w:t>
      </w:r>
      <w:r w:rsidR="00E44242">
        <w:rPr>
          <w:rStyle w:val="FootnoteReference"/>
        </w:rPr>
        <w:footnoteReference w:id="1"/>
      </w:r>
      <w:r w:rsidR="00E44242">
        <w:t xml:space="preserve">.  The group concluded to have a section on IDNA and Unicode versions.  </w:t>
      </w:r>
    </w:p>
    <w:p w:rsidR="0052290D" w:rsidRPr="0052290D" w:rsidRDefault="0052290D" w:rsidP="0052290D">
      <w:pPr>
        <w:pStyle w:val="ListParagraph"/>
        <w:rPr>
          <w:u w:val="single"/>
        </w:rPr>
      </w:pPr>
    </w:p>
    <w:p w:rsidR="0066220B" w:rsidRDefault="00E44242" w:rsidP="0066220B">
      <w:pPr>
        <w:pStyle w:val="ListParagraph"/>
        <w:numPr>
          <w:ilvl w:val="0"/>
          <w:numId w:val="1"/>
        </w:numPr>
        <w:rPr>
          <w:b/>
          <w:bCs/>
        </w:rPr>
      </w:pPr>
      <w:r w:rsidRPr="00E44242">
        <w:rPr>
          <w:b/>
          <w:bCs/>
        </w:rPr>
        <w:lastRenderedPageBreak/>
        <w:t>Glossary</w:t>
      </w:r>
      <w:r>
        <w:rPr>
          <w:b/>
          <w:bCs/>
        </w:rPr>
        <w:t xml:space="preserve"> of Relevant Terms</w:t>
      </w:r>
      <w:r w:rsidRPr="00E44242">
        <w:rPr>
          <w:b/>
          <w:bCs/>
        </w:rPr>
        <w:t xml:space="preserve">.  </w:t>
      </w:r>
      <w:r>
        <w:t xml:space="preserve">Glossary is important but should be produced as the discussions proceed.  The WG agreed that staff should start with an initial list of terms on the wiki and the WG members can also contribute.  Initially </w:t>
      </w:r>
      <w:r w:rsidR="00BC4E4A">
        <w:t xml:space="preserve">only </w:t>
      </w:r>
      <w:r>
        <w:t>the terms should be identified and then</w:t>
      </w:r>
      <w:r w:rsidR="00BC4E4A">
        <w:t>,</w:t>
      </w:r>
      <w:r>
        <w:t xml:space="preserve"> </w:t>
      </w:r>
      <w:r w:rsidR="00BC4E4A">
        <w:t>towards the end of this work,</w:t>
      </w:r>
      <w:r>
        <w:t xml:space="preserve"> they </w:t>
      </w:r>
      <w:r w:rsidR="00BC4E4A">
        <w:t>be defined and included in the G</w:t>
      </w:r>
      <w:r>
        <w:t xml:space="preserve">uidelines.  </w:t>
      </w:r>
    </w:p>
    <w:p w:rsidR="0066220B" w:rsidRPr="0066220B" w:rsidRDefault="0066220B" w:rsidP="0066220B">
      <w:pPr>
        <w:pStyle w:val="ListParagraph"/>
        <w:rPr>
          <w:i/>
          <w:iCs/>
        </w:rPr>
      </w:pPr>
    </w:p>
    <w:p w:rsidR="0066220B" w:rsidRPr="0066220B" w:rsidRDefault="0066220B" w:rsidP="0066220B">
      <w:pPr>
        <w:pStyle w:val="ListParagraph"/>
        <w:rPr>
          <w:b/>
          <w:bCs/>
        </w:rPr>
      </w:pPr>
      <w:r w:rsidRPr="0066220B">
        <w:rPr>
          <w:i/>
          <w:iCs/>
        </w:rPr>
        <w:t xml:space="preserve">Staff to create an initial glossary </w:t>
      </w:r>
      <w:r>
        <w:rPr>
          <w:i/>
          <w:iCs/>
        </w:rPr>
        <w:t xml:space="preserve">of </w:t>
      </w:r>
      <w:r w:rsidRPr="0066220B">
        <w:rPr>
          <w:i/>
          <w:iCs/>
        </w:rPr>
        <w:t xml:space="preserve">terms on the wiki.  All </w:t>
      </w:r>
      <w:r>
        <w:rPr>
          <w:i/>
          <w:iCs/>
        </w:rPr>
        <w:t xml:space="preserve">members </w:t>
      </w:r>
      <w:r w:rsidRPr="0066220B">
        <w:rPr>
          <w:i/>
          <w:iCs/>
        </w:rPr>
        <w:t xml:space="preserve">to contribute </w:t>
      </w:r>
      <w:r>
        <w:rPr>
          <w:i/>
          <w:iCs/>
        </w:rPr>
        <w:t>to</w:t>
      </w:r>
      <w:r w:rsidRPr="0066220B">
        <w:rPr>
          <w:i/>
          <w:iCs/>
        </w:rPr>
        <w:t xml:space="preserve"> this list of </w:t>
      </w:r>
      <w:bookmarkStart w:id="0" w:name="_GoBack"/>
      <w:bookmarkEnd w:id="0"/>
      <w:r w:rsidRPr="0066220B">
        <w:rPr>
          <w:i/>
          <w:iCs/>
        </w:rPr>
        <w:t>term</w:t>
      </w:r>
      <w:r>
        <w:rPr>
          <w:i/>
          <w:iCs/>
        </w:rPr>
        <w:t>s</w:t>
      </w:r>
      <w:r w:rsidRPr="0066220B">
        <w:rPr>
          <w:i/>
          <w:iCs/>
        </w:rPr>
        <w:t xml:space="preserve"> as the work </w:t>
      </w:r>
      <w:r>
        <w:rPr>
          <w:i/>
          <w:iCs/>
        </w:rPr>
        <w:t>progresses</w:t>
      </w:r>
      <w:r w:rsidRPr="0066220B">
        <w:rPr>
          <w:i/>
          <w:iCs/>
        </w:rPr>
        <w:t>.</w:t>
      </w:r>
    </w:p>
    <w:p w:rsidR="00E44242" w:rsidRPr="00E44242" w:rsidRDefault="00E44242" w:rsidP="00E44242">
      <w:pPr>
        <w:pStyle w:val="ListParagraph"/>
        <w:rPr>
          <w:b/>
          <w:bCs/>
        </w:rPr>
      </w:pPr>
    </w:p>
    <w:p w:rsidR="00E44242" w:rsidRPr="00E80306" w:rsidRDefault="00E44242" w:rsidP="00E51A12">
      <w:pPr>
        <w:pStyle w:val="ListParagraph"/>
        <w:numPr>
          <w:ilvl w:val="0"/>
          <w:numId w:val="1"/>
        </w:numPr>
        <w:rPr>
          <w:b/>
          <w:bCs/>
        </w:rPr>
      </w:pPr>
      <w:r>
        <w:rPr>
          <w:b/>
          <w:bCs/>
        </w:rPr>
        <w:t>Language Table Format.</w:t>
      </w:r>
      <w:r>
        <w:t xml:space="preserve">  </w:t>
      </w:r>
      <w:r w:rsidR="00E80306">
        <w:t xml:space="preserve">The members noted that the </w:t>
      </w:r>
      <w:r w:rsidR="00E51A12">
        <w:t>new Label Generation Rules (LGR)</w:t>
      </w:r>
      <w:r w:rsidR="00E80306">
        <w:t xml:space="preserve"> format is </w:t>
      </w:r>
      <w:r w:rsidR="00E51A12">
        <w:t>well</w:t>
      </w:r>
      <w:r w:rsidR="00E80306">
        <w:t xml:space="preserve"> defined and contains all the relevant information, like variant </w:t>
      </w:r>
      <w:r w:rsidR="00E51A12">
        <w:t xml:space="preserve">information </w:t>
      </w:r>
      <w:r w:rsidR="00E80306">
        <w:t xml:space="preserve">and contextual rules. It was recommended that the registries be required to publish their IDN tables in this format, if the RFC </w:t>
      </w:r>
      <w:r w:rsidR="00E51A12">
        <w:t>for the LGR format is finalized while these Guidelines are being formulated</w:t>
      </w:r>
      <w:r w:rsidR="00E80306">
        <w:t xml:space="preserve">. </w:t>
      </w:r>
      <w:r w:rsidR="00E51A12">
        <w:t xml:space="preserve">The members noted that this would be one of the main items in the current revision, and the Guidelines must require this format.  </w:t>
      </w:r>
      <w:r w:rsidR="00E80306">
        <w:t xml:space="preserve"> In this context, the WG should also elaborate</w:t>
      </w:r>
      <w:r w:rsidR="00E51A12">
        <w:t xml:space="preserve"> and clarify</w:t>
      </w:r>
      <w:r w:rsidR="00E80306">
        <w:t xml:space="preserve"> </w:t>
      </w:r>
      <w:r w:rsidR="00E51A12">
        <w:t xml:space="preserve">differences between </w:t>
      </w:r>
      <w:proofErr w:type="gramStart"/>
      <w:r w:rsidR="00E51A12">
        <w:t>language</w:t>
      </w:r>
      <w:proofErr w:type="gramEnd"/>
      <w:r w:rsidR="00E80306">
        <w:t xml:space="preserve"> vs. script </w:t>
      </w:r>
      <w:r w:rsidR="00E51A12">
        <w:t>based IDN tables</w:t>
      </w:r>
      <w:r w:rsidR="00E80306">
        <w:t xml:space="preserve">. </w:t>
      </w:r>
    </w:p>
    <w:p w:rsidR="00E80306" w:rsidRPr="00E80306" w:rsidRDefault="00E80306" w:rsidP="00E80306">
      <w:pPr>
        <w:pStyle w:val="ListParagraph"/>
        <w:rPr>
          <w:b/>
          <w:bCs/>
        </w:rPr>
      </w:pPr>
    </w:p>
    <w:p w:rsidR="0066220B" w:rsidRPr="0066220B" w:rsidRDefault="001A6A50" w:rsidP="0066220B">
      <w:pPr>
        <w:pStyle w:val="ListParagraph"/>
        <w:numPr>
          <w:ilvl w:val="0"/>
          <w:numId w:val="1"/>
        </w:numPr>
        <w:rPr>
          <w:b/>
          <w:bCs/>
        </w:rPr>
      </w:pPr>
      <w:r>
        <w:rPr>
          <w:b/>
          <w:bCs/>
        </w:rPr>
        <w:t xml:space="preserve">Variant </w:t>
      </w:r>
      <w:r w:rsidR="00E51A12">
        <w:rPr>
          <w:b/>
          <w:bCs/>
        </w:rPr>
        <w:t>Management</w:t>
      </w:r>
      <w:r>
        <w:rPr>
          <w:b/>
          <w:bCs/>
        </w:rPr>
        <w:t xml:space="preserve">.  </w:t>
      </w:r>
      <w:r>
        <w:t xml:space="preserve">It was explained that currently there is no general reference on what the possible states of a variant label are, how these states are defined, and how a variant may transition from one state to another.  For example, </w:t>
      </w:r>
      <w:r w:rsidR="00E51A12">
        <w:t xml:space="preserve">it is not clear </w:t>
      </w:r>
      <w:r>
        <w:t xml:space="preserve">what is a “blocked” variant, and </w:t>
      </w:r>
      <w:r w:rsidR="00E51A12">
        <w:t xml:space="preserve">if </w:t>
      </w:r>
      <w:r>
        <w:t xml:space="preserve">such a variant </w:t>
      </w:r>
      <w:r w:rsidR="00E51A12">
        <w:t xml:space="preserve">can </w:t>
      </w:r>
      <w:r>
        <w:t xml:space="preserve">be unblocked?  The WG agreed that the types of variants should be defined either as </w:t>
      </w:r>
      <w:r w:rsidR="00E51A12">
        <w:t xml:space="preserve">part of the </w:t>
      </w:r>
      <w:r>
        <w:t xml:space="preserve">glossary or as a recommendation – to be determined later.  The WG also agreed to discuss the variant state </w:t>
      </w:r>
      <w:r w:rsidR="00E51A12">
        <w:t>management</w:t>
      </w:r>
      <w:r>
        <w:t xml:space="preserve">.  For example, the WG could suggest that changing a blocked state may require change in LGR.  </w:t>
      </w:r>
      <w:r w:rsidR="0066220B">
        <w:t>Such</w:t>
      </w:r>
      <w:r>
        <w:t xml:space="preserve"> cases should be identified and WG should decide which ones to comment on.  </w:t>
      </w:r>
      <w:r w:rsidR="0066220B">
        <w:t>Some level of v</w:t>
      </w:r>
      <w:r>
        <w:t xml:space="preserve">ariant </w:t>
      </w:r>
      <w:r w:rsidR="005E1272">
        <w:t xml:space="preserve">management should be </w:t>
      </w:r>
      <w:r w:rsidR="0066220B">
        <w:t>done</w:t>
      </w:r>
      <w:r w:rsidR="005E1272">
        <w:t xml:space="preserve"> by the registries offering IDNs with variants.  </w:t>
      </w:r>
    </w:p>
    <w:p w:rsidR="0066220B" w:rsidRDefault="0066220B" w:rsidP="0066220B">
      <w:pPr>
        <w:pStyle w:val="ListParagraph"/>
      </w:pPr>
    </w:p>
    <w:p w:rsidR="0066220B" w:rsidRDefault="005E1272" w:rsidP="0066220B">
      <w:pPr>
        <w:pStyle w:val="ListParagraph"/>
      </w:pPr>
      <w:r>
        <w:t>The group also considered that allocation of variants to the same registrant was a gray area as this may not be directly related to IDNs and the group may come back to it</w:t>
      </w:r>
      <w:r w:rsidR="0066220B">
        <w:t>, if needed</w:t>
      </w:r>
      <w:r>
        <w:t>.</w:t>
      </w:r>
      <w:r>
        <w:rPr>
          <w:b/>
          <w:bCs/>
        </w:rPr>
        <w:t xml:space="preserve">  </w:t>
      </w:r>
      <w:r>
        <w:t xml:space="preserve">It was pointed out that in some cases, </w:t>
      </w:r>
      <w:r w:rsidR="0066220B">
        <w:t xml:space="preserve">e.g. </w:t>
      </w:r>
      <w:r>
        <w:t xml:space="preserve">through a dispute, some variants had to be dis-allocated from a registrant.  </w:t>
      </w:r>
    </w:p>
    <w:p w:rsidR="0066220B" w:rsidRDefault="0066220B" w:rsidP="0066220B">
      <w:pPr>
        <w:pStyle w:val="ListParagraph"/>
      </w:pPr>
    </w:p>
    <w:p w:rsidR="00E80306" w:rsidRDefault="00E61F09" w:rsidP="0066220B">
      <w:pPr>
        <w:pStyle w:val="ListParagraph"/>
      </w:pPr>
      <w:r>
        <w:t xml:space="preserve">It was </w:t>
      </w:r>
      <w:r w:rsidR="0066220B">
        <w:t>noted</w:t>
      </w:r>
      <w:r>
        <w:t xml:space="preserve"> that allocatable variants may be determined by the LGR directly </w:t>
      </w:r>
      <w:r w:rsidR="0066220B">
        <w:t>so</w:t>
      </w:r>
      <w:r>
        <w:t xml:space="preserve"> the issue in 3.c.</w:t>
      </w:r>
      <w:r w:rsidR="0066220B">
        <w:t>iii may be redundant.</w:t>
      </w:r>
      <w:r>
        <w:t xml:space="preserve">  However, it was further explained that this issue was raised for the contexts in which the number of allocatable variants generated by the LGR may be very large and additional management mechanism may be needed.</w:t>
      </w:r>
    </w:p>
    <w:p w:rsidR="0066220B" w:rsidRDefault="0066220B" w:rsidP="0066220B">
      <w:pPr>
        <w:pStyle w:val="ListParagraph"/>
      </w:pPr>
    </w:p>
    <w:p w:rsidR="0066220B" w:rsidRPr="005E1272" w:rsidRDefault="0066220B" w:rsidP="0066220B">
      <w:pPr>
        <w:pStyle w:val="ListParagraph"/>
        <w:rPr>
          <w:b/>
          <w:bCs/>
        </w:rPr>
      </w:pPr>
      <w:r>
        <w:t xml:space="preserve">Due to limitation of time, the group decided to continue the discussion in two weeks on Wednesday, 16 Dec.  </w:t>
      </w:r>
    </w:p>
    <w:p w:rsidR="00B6339C" w:rsidRPr="007100C7" w:rsidRDefault="00B6339C" w:rsidP="00B6339C">
      <w:pPr>
        <w:rPr>
          <w:u w:val="single"/>
        </w:rPr>
      </w:pPr>
      <w:r w:rsidRPr="007100C7">
        <w:rPr>
          <w:u w:val="single"/>
        </w:rPr>
        <w:t>Action Items</w:t>
      </w:r>
    </w:p>
    <w:tbl>
      <w:tblPr>
        <w:tblStyle w:val="TableGrid"/>
        <w:tblW w:w="0" w:type="auto"/>
        <w:tblLook w:val="04A0" w:firstRow="1" w:lastRow="0" w:firstColumn="1" w:lastColumn="0" w:noHBand="0" w:noVBand="1"/>
      </w:tblPr>
      <w:tblGrid>
        <w:gridCol w:w="805"/>
        <w:gridCol w:w="6570"/>
        <w:gridCol w:w="1975"/>
      </w:tblGrid>
      <w:tr w:rsidR="00B6339C" w:rsidTr="00CE15DD">
        <w:tc>
          <w:tcPr>
            <w:tcW w:w="805" w:type="dxa"/>
          </w:tcPr>
          <w:p w:rsidR="00B6339C" w:rsidRPr="005E1272" w:rsidRDefault="00B6339C" w:rsidP="00B6339C">
            <w:pPr>
              <w:rPr>
                <w:b/>
                <w:bCs/>
              </w:rPr>
            </w:pPr>
            <w:proofErr w:type="spellStart"/>
            <w:r w:rsidRPr="005E1272">
              <w:rPr>
                <w:b/>
                <w:bCs/>
              </w:rPr>
              <w:t>S.No</w:t>
            </w:r>
            <w:proofErr w:type="spellEnd"/>
            <w:r w:rsidRPr="005E1272">
              <w:rPr>
                <w:b/>
                <w:bCs/>
              </w:rPr>
              <w:t>.</w:t>
            </w:r>
          </w:p>
        </w:tc>
        <w:tc>
          <w:tcPr>
            <w:tcW w:w="6570" w:type="dxa"/>
          </w:tcPr>
          <w:p w:rsidR="00B6339C" w:rsidRPr="005E1272" w:rsidRDefault="00B6339C" w:rsidP="00B6339C">
            <w:pPr>
              <w:rPr>
                <w:b/>
                <w:bCs/>
              </w:rPr>
            </w:pPr>
            <w:r w:rsidRPr="005E1272">
              <w:rPr>
                <w:b/>
                <w:bCs/>
              </w:rPr>
              <w:t>Action</w:t>
            </w:r>
          </w:p>
        </w:tc>
        <w:tc>
          <w:tcPr>
            <w:tcW w:w="1975" w:type="dxa"/>
          </w:tcPr>
          <w:p w:rsidR="00B6339C" w:rsidRPr="005E1272" w:rsidRDefault="00B6339C" w:rsidP="00B6339C">
            <w:pPr>
              <w:rPr>
                <w:b/>
                <w:bCs/>
              </w:rPr>
            </w:pPr>
            <w:r w:rsidRPr="005E1272">
              <w:rPr>
                <w:b/>
                <w:bCs/>
              </w:rPr>
              <w:t>Owner</w:t>
            </w:r>
          </w:p>
        </w:tc>
      </w:tr>
      <w:tr w:rsidR="00B6339C" w:rsidTr="00CE15DD">
        <w:tc>
          <w:tcPr>
            <w:tcW w:w="805" w:type="dxa"/>
          </w:tcPr>
          <w:p w:rsidR="00B6339C" w:rsidRDefault="00B6339C" w:rsidP="00B6339C">
            <w:r>
              <w:t>1</w:t>
            </w:r>
          </w:p>
        </w:tc>
        <w:tc>
          <w:tcPr>
            <w:tcW w:w="6570" w:type="dxa"/>
          </w:tcPr>
          <w:p w:rsidR="00FF3CB6" w:rsidRPr="0066220B" w:rsidRDefault="0066220B" w:rsidP="0066220B">
            <w:pPr>
              <w:pStyle w:val="ListParagraph"/>
              <w:ind w:left="0"/>
              <w:rPr>
                <w:b/>
                <w:bCs/>
              </w:rPr>
            </w:pPr>
            <w:r w:rsidRPr="0066220B">
              <w:rPr>
                <w:i/>
                <w:iCs/>
              </w:rPr>
              <w:t xml:space="preserve">Staff to create an initial glossary </w:t>
            </w:r>
            <w:r>
              <w:rPr>
                <w:i/>
                <w:iCs/>
              </w:rPr>
              <w:t xml:space="preserve">of </w:t>
            </w:r>
            <w:r w:rsidRPr="0066220B">
              <w:rPr>
                <w:i/>
                <w:iCs/>
              </w:rPr>
              <w:t xml:space="preserve">terms on the wiki.  All </w:t>
            </w:r>
            <w:r>
              <w:rPr>
                <w:i/>
                <w:iCs/>
              </w:rPr>
              <w:t xml:space="preserve">members </w:t>
            </w:r>
            <w:r w:rsidRPr="0066220B">
              <w:rPr>
                <w:i/>
                <w:iCs/>
              </w:rPr>
              <w:t xml:space="preserve">to contribute </w:t>
            </w:r>
            <w:r>
              <w:rPr>
                <w:i/>
                <w:iCs/>
              </w:rPr>
              <w:t>to</w:t>
            </w:r>
            <w:r w:rsidRPr="0066220B">
              <w:rPr>
                <w:i/>
                <w:iCs/>
              </w:rPr>
              <w:t xml:space="preserve"> this list of term</w:t>
            </w:r>
            <w:r>
              <w:rPr>
                <w:i/>
                <w:iCs/>
              </w:rPr>
              <w:t>s</w:t>
            </w:r>
            <w:r w:rsidRPr="0066220B">
              <w:rPr>
                <w:i/>
                <w:iCs/>
              </w:rPr>
              <w:t xml:space="preserve"> as the work </w:t>
            </w:r>
            <w:r>
              <w:rPr>
                <w:i/>
                <w:iCs/>
              </w:rPr>
              <w:t>progresses</w:t>
            </w:r>
            <w:r w:rsidRPr="0066220B">
              <w:rPr>
                <w:i/>
                <w:iCs/>
              </w:rPr>
              <w:t>.</w:t>
            </w:r>
          </w:p>
          <w:p w:rsidR="00B6339C" w:rsidRPr="0080673C" w:rsidRDefault="00B6339C" w:rsidP="003421E2">
            <w:pPr>
              <w:rPr>
                <w:i/>
                <w:iCs/>
              </w:rPr>
            </w:pPr>
          </w:p>
        </w:tc>
        <w:tc>
          <w:tcPr>
            <w:tcW w:w="1975" w:type="dxa"/>
          </w:tcPr>
          <w:p w:rsidR="00B6339C" w:rsidRPr="00E61F09" w:rsidRDefault="00FF3CB6" w:rsidP="000D427F">
            <w:pPr>
              <w:rPr>
                <w:i/>
                <w:iCs/>
              </w:rPr>
            </w:pPr>
            <w:r w:rsidRPr="00E61F09">
              <w:rPr>
                <w:i/>
                <w:iCs/>
              </w:rPr>
              <w:t>Staff</w:t>
            </w:r>
          </w:p>
        </w:tc>
      </w:tr>
    </w:tbl>
    <w:p w:rsidR="00C05501" w:rsidRDefault="00C05501" w:rsidP="00CE15DD"/>
    <w:p w:rsidR="0052290D" w:rsidRPr="0052290D" w:rsidRDefault="0052290D" w:rsidP="00CE15DD">
      <w:pPr>
        <w:rPr>
          <w:b/>
          <w:bCs/>
        </w:rPr>
      </w:pPr>
      <w:r w:rsidRPr="0052290D">
        <w:rPr>
          <w:b/>
          <w:bCs/>
        </w:rPr>
        <w:t>Appendix A: Issues list discussed</w:t>
      </w:r>
    </w:p>
    <w:p w:rsidR="0052290D" w:rsidRPr="0052290D" w:rsidRDefault="0052290D" w:rsidP="0052290D">
      <w:pPr>
        <w:pStyle w:val="NormalWeb"/>
        <w:spacing w:before="0" w:beforeAutospacing="0" w:after="0" w:afterAutospacing="0"/>
        <w:rPr>
          <w:sz w:val="22"/>
          <w:szCs w:val="22"/>
        </w:rPr>
      </w:pPr>
      <w:r w:rsidRPr="0052290D">
        <w:rPr>
          <w:rFonts w:ascii="Calibri" w:hAnsi="Calibri"/>
          <w:sz w:val="22"/>
          <w:szCs w:val="22"/>
        </w:rPr>
        <w:t>1.     </w:t>
      </w:r>
      <w:r w:rsidRPr="0052290D">
        <w:rPr>
          <w:sz w:val="22"/>
          <w:szCs w:val="22"/>
        </w:rPr>
        <w:t xml:space="preserve"> </w:t>
      </w:r>
      <w:r w:rsidRPr="0052290D">
        <w:rPr>
          <w:rFonts w:ascii="Calibri" w:hAnsi="Calibri"/>
          <w:sz w:val="22"/>
          <w:szCs w:val="22"/>
        </w:rPr>
        <w:t>Transition and Terminology</w:t>
      </w:r>
    </w:p>
    <w:p w:rsidR="0052290D" w:rsidRPr="0052290D" w:rsidRDefault="0052290D" w:rsidP="0052290D">
      <w:pPr>
        <w:pStyle w:val="NormalWeb"/>
        <w:spacing w:before="0" w:beforeAutospacing="0" w:after="0" w:afterAutospacing="0"/>
        <w:ind w:left="720"/>
        <w:rPr>
          <w:sz w:val="22"/>
          <w:szCs w:val="22"/>
        </w:rPr>
      </w:pPr>
      <w:r w:rsidRPr="0052290D">
        <w:rPr>
          <w:rFonts w:ascii="Calibri" w:hAnsi="Calibri"/>
          <w:sz w:val="22"/>
          <w:szCs w:val="22"/>
        </w:rPr>
        <w:t>a.     </w:t>
      </w:r>
      <w:r w:rsidRPr="0052290D">
        <w:rPr>
          <w:sz w:val="22"/>
          <w:szCs w:val="22"/>
        </w:rPr>
        <w:t xml:space="preserve"> </w:t>
      </w:r>
      <w:r w:rsidRPr="0052290D">
        <w:rPr>
          <w:rFonts w:ascii="Calibri" w:hAnsi="Calibri"/>
          <w:sz w:val="22"/>
          <w:szCs w:val="22"/>
        </w:rPr>
        <w:t>Any (residual) issues/items from IDNA2003 to IDNA2008 transition?</w:t>
      </w:r>
    </w:p>
    <w:p w:rsidR="0052290D" w:rsidRPr="0052290D" w:rsidRDefault="0052290D" w:rsidP="0052290D">
      <w:pPr>
        <w:pStyle w:val="NormalWeb"/>
        <w:spacing w:before="0" w:beforeAutospacing="0" w:after="0" w:afterAutospacing="0"/>
        <w:ind w:left="720"/>
        <w:rPr>
          <w:sz w:val="22"/>
          <w:szCs w:val="22"/>
        </w:rPr>
      </w:pPr>
      <w:r w:rsidRPr="0052290D">
        <w:rPr>
          <w:rFonts w:ascii="Calibri" w:hAnsi="Calibri"/>
          <w:sz w:val="22"/>
          <w:szCs w:val="22"/>
        </w:rPr>
        <w:t>b.     </w:t>
      </w:r>
      <w:r w:rsidRPr="0052290D">
        <w:rPr>
          <w:sz w:val="22"/>
          <w:szCs w:val="22"/>
        </w:rPr>
        <w:t xml:space="preserve"> </w:t>
      </w:r>
      <w:r w:rsidRPr="0052290D">
        <w:rPr>
          <w:rFonts w:ascii="Calibri" w:hAnsi="Calibri"/>
          <w:sz w:val="22"/>
          <w:szCs w:val="22"/>
        </w:rPr>
        <w:t>Glossary of terms around LGRs and variants from the IDN TLD project and other work</w:t>
      </w:r>
    </w:p>
    <w:p w:rsidR="0052290D" w:rsidRPr="0052290D" w:rsidRDefault="0052290D" w:rsidP="0052290D">
      <w:pPr>
        <w:pStyle w:val="NormalWeb"/>
        <w:spacing w:before="0" w:beforeAutospacing="0" w:after="0" w:afterAutospacing="0"/>
        <w:rPr>
          <w:sz w:val="22"/>
          <w:szCs w:val="22"/>
        </w:rPr>
      </w:pPr>
      <w:r w:rsidRPr="0052290D">
        <w:rPr>
          <w:rFonts w:ascii="Calibri" w:hAnsi="Calibri"/>
          <w:sz w:val="22"/>
          <w:szCs w:val="22"/>
        </w:rPr>
        <w:t>2.     </w:t>
      </w:r>
      <w:r w:rsidRPr="0052290D">
        <w:rPr>
          <w:sz w:val="22"/>
          <w:szCs w:val="22"/>
        </w:rPr>
        <w:t xml:space="preserve"> </w:t>
      </w:r>
      <w:r w:rsidRPr="0052290D">
        <w:rPr>
          <w:rFonts w:ascii="Calibri" w:hAnsi="Calibri"/>
          <w:sz w:val="22"/>
          <w:szCs w:val="22"/>
        </w:rPr>
        <w:t>Language table format and</w:t>
      </w:r>
      <w:r w:rsidRPr="0052290D">
        <w:rPr>
          <w:sz w:val="22"/>
          <w:szCs w:val="22"/>
        </w:rPr>
        <w:t xml:space="preserve"> </w:t>
      </w:r>
      <w:r w:rsidRPr="0052290D">
        <w:rPr>
          <w:rFonts w:ascii="Calibri" w:hAnsi="Calibri"/>
          <w:sz w:val="22"/>
          <w:szCs w:val="22"/>
        </w:rPr>
        <w:t>managing</w:t>
      </w:r>
      <w:r w:rsidRPr="0052290D">
        <w:rPr>
          <w:sz w:val="22"/>
          <w:szCs w:val="22"/>
        </w:rPr>
        <w:t xml:space="preserve"> </w:t>
      </w:r>
      <w:r w:rsidRPr="0052290D">
        <w:rPr>
          <w:rFonts w:ascii="Calibri" w:hAnsi="Calibri"/>
          <w:sz w:val="22"/>
          <w:szCs w:val="22"/>
        </w:rPr>
        <w:t>consistency of end-user experience</w:t>
      </w:r>
    </w:p>
    <w:p w:rsidR="0052290D" w:rsidRPr="0052290D" w:rsidRDefault="0052290D" w:rsidP="0052290D">
      <w:pPr>
        <w:pStyle w:val="NormalWeb"/>
        <w:spacing w:before="0" w:beforeAutospacing="0" w:after="0" w:afterAutospacing="0"/>
        <w:ind w:left="720"/>
        <w:rPr>
          <w:sz w:val="22"/>
          <w:szCs w:val="22"/>
        </w:rPr>
      </w:pPr>
      <w:proofErr w:type="gramStart"/>
      <w:r w:rsidRPr="0052290D">
        <w:rPr>
          <w:rFonts w:ascii="Calibri" w:hAnsi="Calibri"/>
          <w:sz w:val="22"/>
          <w:szCs w:val="22"/>
        </w:rPr>
        <w:t>a.     </w:t>
      </w:r>
      <w:r w:rsidRPr="0052290D">
        <w:rPr>
          <w:sz w:val="22"/>
          <w:szCs w:val="22"/>
        </w:rPr>
        <w:t xml:space="preserve"> </w:t>
      </w:r>
      <w:r w:rsidRPr="0052290D">
        <w:rPr>
          <w:rFonts w:ascii="Calibri" w:hAnsi="Calibri"/>
          <w:sz w:val="22"/>
          <w:szCs w:val="22"/>
        </w:rPr>
        <w:t>IDN</w:t>
      </w:r>
      <w:proofErr w:type="gramEnd"/>
      <w:r w:rsidRPr="0052290D">
        <w:rPr>
          <w:rFonts w:ascii="Calibri" w:hAnsi="Calibri"/>
          <w:sz w:val="22"/>
          <w:szCs w:val="22"/>
        </w:rPr>
        <w:t xml:space="preserve"> Table format in XML, based on new</w:t>
      </w:r>
      <w:r w:rsidRPr="0052290D">
        <w:rPr>
          <w:sz w:val="22"/>
          <w:szCs w:val="22"/>
        </w:rPr>
        <w:t xml:space="preserve"> </w:t>
      </w:r>
      <w:r w:rsidRPr="0052290D">
        <w:rPr>
          <w:rFonts w:ascii="Calibri" w:hAnsi="Calibri"/>
          <w:sz w:val="22"/>
          <w:szCs w:val="22"/>
        </w:rPr>
        <w:t>LGR</w:t>
      </w:r>
      <w:r w:rsidRPr="0052290D">
        <w:rPr>
          <w:sz w:val="22"/>
          <w:szCs w:val="22"/>
        </w:rPr>
        <w:t xml:space="preserve"> </w:t>
      </w:r>
      <w:r w:rsidRPr="0052290D">
        <w:rPr>
          <w:rFonts w:ascii="Calibri" w:hAnsi="Calibri"/>
          <w:sz w:val="22"/>
          <w:szCs w:val="22"/>
        </w:rPr>
        <w:t>specifications being developed</w:t>
      </w:r>
      <w:r w:rsidRPr="0052290D">
        <w:rPr>
          <w:sz w:val="22"/>
          <w:szCs w:val="22"/>
        </w:rPr>
        <w:t xml:space="preserve"> </w:t>
      </w:r>
    </w:p>
    <w:p w:rsidR="0052290D" w:rsidRPr="0052290D" w:rsidRDefault="0052290D" w:rsidP="0052290D">
      <w:pPr>
        <w:pStyle w:val="NormalWeb"/>
        <w:spacing w:before="0" w:beforeAutospacing="0" w:after="0" w:afterAutospacing="0"/>
        <w:ind w:left="720"/>
        <w:rPr>
          <w:sz w:val="22"/>
          <w:szCs w:val="22"/>
        </w:rPr>
      </w:pPr>
      <w:r w:rsidRPr="0052290D">
        <w:rPr>
          <w:rFonts w:ascii="Calibri" w:hAnsi="Calibri"/>
          <w:sz w:val="22"/>
          <w:szCs w:val="22"/>
        </w:rPr>
        <w:t>b.     </w:t>
      </w:r>
      <w:r w:rsidRPr="0052290D">
        <w:rPr>
          <w:sz w:val="22"/>
          <w:szCs w:val="22"/>
        </w:rPr>
        <w:t xml:space="preserve"> </w:t>
      </w:r>
      <w:r w:rsidRPr="0052290D">
        <w:rPr>
          <w:rFonts w:ascii="Calibri" w:hAnsi="Calibri"/>
          <w:sz w:val="22"/>
          <w:szCs w:val="22"/>
        </w:rPr>
        <w:t>Role of reference</w:t>
      </w:r>
      <w:r w:rsidRPr="0052290D">
        <w:rPr>
          <w:sz w:val="22"/>
          <w:szCs w:val="22"/>
        </w:rPr>
        <w:t xml:space="preserve"> </w:t>
      </w:r>
      <w:r w:rsidRPr="0052290D">
        <w:rPr>
          <w:rFonts w:ascii="Calibri" w:hAnsi="Calibri"/>
          <w:sz w:val="22"/>
          <w:szCs w:val="22"/>
        </w:rPr>
        <w:t>second level</w:t>
      </w:r>
      <w:r w:rsidRPr="0052290D">
        <w:rPr>
          <w:sz w:val="22"/>
          <w:szCs w:val="22"/>
        </w:rPr>
        <w:t xml:space="preserve"> </w:t>
      </w:r>
      <w:r w:rsidRPr="0052290D">
        <w:rPr>
          <w:rFonts w:ascii="Calibri" w:hAnsi="Calibri"/>
          <w:sz w:val="22"/>
          <w:szCs w:val="22"/>
        </w:rPr>
        <w:t>tables in</w:t>
      </w:r>
      <w:r w:rsidRPr="0052290D">
        <w:rPr>
          <w:sz w:val="22"/>
          <w:szCs w:val="22"/>
        </w:rPr>
        <w:t xml:space="preserve"> </w:t>
      </w:r>
      <w:r w:rsidRPr="0052290D">
        <w:rPr>
          <w:rFonts w:ascii="Calibri" w:hAnsi="Calibri"/>
          <w:sz w:val="22"/>
          <w:szCs w:val="22"/>
        </w:rPr>
        <w:t>managing</w:t>
      </w:r>
      <w:r w:rsidRPr="0052290D">
        <w:rPr>
          <w:sz w:val="22"/>
          <w:szCs w:val="22"/>
        </w:rPr>
        <w:t xml:space="preserve"> </w:t>
      </w:r>
      <w:r w:rsidRPr="0052290D">
        <w:rPr>
          <w:rFonts w:ascii="Calibri" w:hAnsi="Calibri"/>
          <w:sz w:val="22"/>
          <w:szCs w:val="22"/>
        </w:rPr>
        <w:t>consistency and</w:t>
      </w:r>
      <w:r w:rsidRPr="0052290D">
        <w:rPr>
          <w:sz w:val="22"/>
          <w:szCs w:val="22"/>
        </w:rPr>
        <w:t xml:space="preserve"> </w:t>
      </w:r>
      <w:r w:rsidRPr="0052290D">
        <w:rPr>
          <w:rFonts w:ascii="Calibri" w:hAnsi="Calibri"/>
          <w:sz w:val="22"/>
          <w:szCs w:val="22"/>
        </w:rPr>
        <w:t>differences across TLDs</w:t>
      </w:r>
      <w:r w:rsidRPr="0052290D">
        <w:rPr>
          <w:sz w:val="22"/>
          <w:szCs w:val="22"/>
        </w:rPr>
        <w:t xml:space="preserve"> </w:t>
      </w:r>
      <w:r w:rsidRPr="0052290D">
        <w:rPr>
          <w:rFonts w:ascii="Calibri" w:hAnsi="Calibri"/>
          <w:sz w:val="22"/>
          <w:szCs w:val="22"/>
        </w:rPr>
        <w:t>for</w:t>
      </w:r>
      <w:r w:rsidRPr="0052290D">
        <w:rPr>
          <w:sz w:val="22"/>
          <w:szCs w:val="22"/>
        </w:rPr>
        <w:t xml:space="preserve"> </w:t>
      </w:r>
      <w:r w:rsidRPr="0052290D">
        <w:rPr>
          <w:rFonts w:ascii="Calibri" w:hAnsi="Calibri"/>
          <w:sz w:val="22"/>
          <w:szCs w:val="22"/>
        </w:rPr>
        <w:t>a predictable end-user</w:t>
      </w:r>
      <w:r w:rsidRPr="0052290D">
        <w:rPr>
          <w:sz w:val="22"/>
          <w:szCs w:val="22"/>
        </w:rPr>
        <w:t xml:space="preserve"> </w:t>
      </w:r>
      <w:r w:rsidRPr="0052290D">
        <w:rPr>
          <w:rFonts w:ascii="Calibri" w:hAnsi="Calibri"/>
          <w:sz w:val="22"/>
          <w:szCs w:val="22"/>
        </w:rPr>
        <w:t>experience</w:t>
      </w:r>
    </w:p>
    <w:p w:rsidR="0052290D" w:rsidRPr="0052290D" w:rsidRDefault="0052290D" w:rsidP="0052290D">
      <w:pPr>
        <w:pStyle w:val="NormalWeb"/>
        <w:spacing w:before="0" w:beforeAutospacing="0" w:after="0" w:afterAutospacing="0"/>
        <w:ind w:left="720"/>
        <w:rPr>
          <w:sz w:val="22"/>
          <w:szCs w:val="22"/>
        </w:rPr>
      </w:pPr>
      <w:r w:rsidRPr="0052290D">
        <w:rPr>
          <w:rFonts w:ascii="Calibri" w:hAnsi="Calibri"/>
          <w:sz w:val="22"/>
          <w:szCs w:val="22"/>
        </w:rPr>
        <w:t>c.     </w:t>
      </w:r>
      <w:r w:rsidRPr="0052290D">
        <w:rPr>
          <w:sz w:val="22"/>
          <w:szCs w:val="22"/>
        </w:rPr>
        <w:t xml:space="preserve"> </w:t>
      </w:r>
      <w:r w:rsidRPr="0052290D">
        <w:rPr>
          <w:rFonts w:ascii="Calibri" w:hAnsi="Calibri"/>
          <w:sz w:val="22"/>
          <w:szCs w:val="22"/>
        </w:rPr>
        <w:t>Relationship between language tables and script tables? Other categories (some languages but not entire script)?</w:t>
      </w:r>
    </w:p>
    <w:p w:rsidR="0052290D" w:rsidRPr="0052290D" w:rsidRDefault="0052290D" w:rsidP="0052290D">
      <w:pPr>
        <w:pStyle w:val="NormalWeb"/>
        <w:spacing w:before="0" w:beforeAutospacing="0" w:after="0" w:afterAutospacing="0"/>
        <w:ind w:left="720"/>
        <w:rPr>
          <w:sz w:val="22"/>
          <w:szCs w:val="22"/>
        </w:rPr>
      </w:pPr>
      <w:r w:rsidRPr="0052290D">
        <w:rPr>
          <w:rFonts w:ascii="Calibri" w:hAnsi="Calibri"/>
          <w:sz w:val="22"/>
          <w:szCs w:val="22"/>
        </w:rPr>
        <w:t>d.     </w:t>
      </w:r>
      <w:r w:rsidRPr="0052290D">
        <w:rPr>
          <w:sz w:val="22"/>
          <w:szCs w:val="22"/>
        </w:rPr>
        <w:t xml:space="preserve"> </w:t>
      </w:r>
      <w:r w:rsidRPr="0052290D">
        <w:rPr>
          <w:rFonts w:ascii="Calibri" w:hAnsi="Calibri"/>
          <w:sz w:val="22"/>
          <w:szCs w:val="22"/>
        </w:rPr>
        <w:t>Managing consistence across levels;</w:t>
      </w:r>
      <w:proofErr w:type="gramStart"/>
      <w:r w:rsidRPr="0052290D">
        <w:rPr>
          <w:rFonts w:ascii="Calibri" w:hAnsi="Calibri"/>
          <w:sz w:val="22"/>
          <w:szCs w:val="22"/>
        </w:rPr>
        <w:t> </w:t>
      </w:r>
      <w:r w:rsidRPr="0052290D">
        <w:rPr>
          <w:sz w:val="22"/>
          <w:szCs w:val="22"/>
        </w:rPr>
        <w:t xml:space="preserve"> </w:t>
      </w:r>
      <w:r w:rsidRPr="0052290D">
        <w:rPr>
          <w:rFonts w:ascii="Calibri" w:hAnsi="Calibri"/>
          <w:sz w:val="22"/>
          <w:szCs w:val="22"/>
        </w:rPr>
        <w:t>relationship</w:t>
      </w:r>
      <w:proofErr w:type="gramEnd"/>
      <w:r w:rsidRPr="0052290D">
        <w:rPr>
          <w:rFonts w:ascii="Calibri" w:hAnsi="Calibri"/>
          <w:sz w:val="22"/>
          <w:szCs w:val="22"/>
        </w:rPr>
        <w:t xml:space="preserve"> of Root Zone LGR and the second level IDN tables?</w:t>
      </w:r>
    </w:p>
    <w:p w:rsidR="0052290D" w:rsidRPr="0052290D" w:rsidRDefault="0052290D" w:rsidP="0052290D">
      <w:pPr>
        <w:pStyle w:val="NormalWeb"/>
        <w:spacing w:before="0" w:beforeAutospacing="0" w:after="0" w:afterAutospacing="0"/>
        <w:rPr>
          <w:sz w:val="22"/>
          <w:szCs w:val="22"/>
        </w:rPr>
      </w:pPr>
      <w:r w:rsidRPr="0052290D">
        <w:rPr>
          <w:rFonts w:ascii="Calibri" w:hAnsi="Calibri"/>
          <w:sz w:val="22"/>
          <w:szCs w:val="22"/>
        </w:rPr>
        <w:t>3.     </w:t>
      </w:r>
      <w:r w:rsidRPr="0052290D">
        <w:rPr>
          <w:sz w:val="22"/>
          <w:szCs w:val="22"/>
        </w:rPr>
        <w:t xml:space="preserve"> </w:t>
      </w:r>
      <w:r w:rsidRPr="0052290D">
        <w:rPr>
          <w:rFonts w:ascii="Calibri" w:hAnsi="Calibri"/>
          <w:sz w:val="22"/>
          <w:szCs w:val="22"/>
        </w:rPr>
        <w:t>Variants</w:t>
      </w:r>
    </w:p>
    <w:p w:rsidR="0052290D" w:rsidRPr="0052290D" w:rsidRDefault="0052290D" w:rsidP="0052290D">
      <w:pPr>
        <w:pStyle w:val="NormalWeb"/>
        <w:spacing w:before="0" w:beforeAutospacing="0" w:after="0" w:afterAutospacing="0"/>
        <w:ind w:left="720"/>
        <w:rPr>
          <w:sz w:val="22"/>
          <w:szCs w:val="22"/>
        </w:rPr>
      </w:pPr>
      <w:r w:rsidRPr="0052290D">
        <w:rPr>
          <w:rFonts w:ascii="Calibri" w:hAnsi="Calibri"/>
          <w:sz w:val="22"/>
          <w:szCs w:val="22"/>
        </w:rPr>
        <w:t>a.     </w:t>
      </w:r>
      <w:r w:rsidRPr="0052290D">
        <w:rPr>
          <w:sz w:val="22"/>
          <w:szCs w:val="22"/>
        </w:rPr>
        <w:t xml:space="preserve"> </w:t>
      </w:r>
      <w:r w:rsidRPr="0052290D">
        <w:rPr>
          <w:rFonts w:ascii="Calibri" w:hAnsi="Calibri"/>
          <w:sz w:val="22"/>
          <w:szCs w:val="22"/>
        </w:rPr>
        <w:t>Variant states</w:t>
      </w:r>
      <w:r w:rsidRPr="0052290D">
        <w:rPr>
          <w:sz w:val="22"/>
          <w:szCs w:val="22"/>
        </w:rPr>
        <w:t xml:space="preserve"> </w:t>
      </w:r>
      <w:r w:rsidRPr="0052290D">
        <w:rPr>
          <w:rFonts w:ascii="Calibri" w:hAnsi="Calibri"/>
          <w:sz w:val="22"/>
          <w:szCs w:val="22"/>
        </w:rPr>
        <w:t>(number and nomenclature)</w:t>
      </w:r>
      <w:r w:rsidRPr="0052290D">
        <w:rPr>
          <w:sz w:val="22"/>
          <w:szCs w:val="22"/>
        </w:rPr>
        <w:t xml:space="preserve"> </w:t>
      </w:r>
      <w:r w:rsidRPr="0052290D">
        <w:rPr>
          <w:rFonts w:ascii="Calibri" w:hAnsi="Calibri"/>
          <w:sz w:val="22"/>
          <w:szCs w:val="22"/>
        </w:rPr>
        <w:t>and state-change mechanisms (e.g. blocked, allocatable, allocated, reserved, etc.)</w:t>
      </w:r>
    </w:p>
    <w:p w:rsidR="0052290D" w:rsidRPr="0052290D" w:rsidRDefault="0052290D" w:rsidP="0052290D">
      <w:pPr>
        <w:pStyle w:val="NormalWeb"/>
        <w:spacing w:before="0" w:beforeAutospacing="0" w:after="0" w:afterAutospacing="0"/>
        <w:ind w:left="720"/>
        <w:rPr>
          <w:sz w:val="22"/>
          <w:szCs w:val="22"/>
        </w:rPr>
      </w:pPr>
      <w:r w:rsidRPr="0052290D">
        <w:rPr>
          <w:rFonts w:ascii="Calibri" w:hAnsi="Calibri"/>
          <w:sz w:val="22"/>
          <w:szCs w:val="22"/>
        </w:rPr>
        <w:t>b.     </w:t>
      </w:r>
      <w:r w:rsidRPr="0052290D">
        <w:rPr>
          <w:sz w:val="22"/>
          <w:szCs w:val="22"/>
        </w:rPr>
        <w:t xml:space="preserve"> </w:t>
      </w:r>
      <w:r w:rsidRPr="0052290D">
        <w:rPr>
          <w:rFonts w:ascii="Calibri" w:hAnsi="Calibri"/>
          <w:sz w:val="22"/>
          <w:szCs w:val="22"/>
        </w:rPr>
        <w:t>Primary vs. secondary variants in Chinese</w:t>
      </w:r>
      <w:r w:rsidRPr="0052290D">
        <w:rPr>
          <w:sz w:val="22"/>
          <w:szCs w:val="22"/>
        </w:rPr>
        <w:t xml:space="preserve"> </w:t>
      </w:r>
      <w:r w:rsidRPr="0052290D">
        <w:rPr>
          <w:rFonts w:ascii="Calibri" w:hAnsi="Calibri"/>
          <w:sz w:val="22"/>
          <w:szCs w:val="22"/>
        </w:rPr>
        <w:t>language</w:t>
      </w:r>
      <w:r w:rsidRPr="0052290D">
        <w:rPr>
          <w:sz w:val="22"/>
          <w:szCs w:val="22"/>
        </w:rPr>
        <w:t xml:space="preserve"> </w:t>
      </w:r>
      <w:r w:rsidRPr="0052290D">
        <w:rPr>
          <w:rFonts w:ascii="Calibri" w:hAnsi="Calibri"/>
          <w:sz w:val="22"/>
          <w:szCs w:val="22"/>
        </w:rPr>
        <w:t>(other scripts or languages?)</w:t>
      </w:r>
    </w:p>
    <w:p w:rsidR="0052290D" w:rsidRPr="0052290D" w:rsidRDefault="0052290D" w:rsidP="0052290D">
      <w:pPr>
        <w:pStyle w:val="NormalWeb"/>
        <w:spacing w:before="0" w:beforeAutospacing="0" w:after="0" w:afterAutospacing="0"/>
        <w:ind w:left="720"/>
        <w:rPr>
          <w:sz w:val="22"/>
          <w:szCs w:val="22"/>
        </w:rPr>
      </w:pPr>
      <w:r w:rsidRPr="0052290D">
        <w:rPr>
          <w:rFonts w:ascii="Calibri" w:hAnsi="Calibri"/>
          <w:sz w:val="22"/>
          <w:szCs w:val="22"/>
        </w:rPr>
        <w:t>c.     </w:t>
      </w:r>
      <w:r w:rsidRPr="0052290D">
        <w:rPr>
          <w:sz w:val="22"/>
          <w:szCs w:val="22"/>
        </w:rPr>
        <w:t xml:space="preserve"> </w:t>
      </w:r>
      <w:r w:rsidRPr="0052290D">
        <w:rPr>
          <w:rFonts w:ascii="Calibri" w:hAnsi="Calibri"/>
          <w:sz w:val="22"/>
          <w:szCs w:val="22"/>
        </w:rPr>
        <w:t>Policy for activating variants</w:t>
      </w:r>
    </w:p>
    <w:p w:rsidR="0052290D" w:rsidRPr="0052290D" w:rsidRDefault="0052290D" w:rsidP="0052290D">
      <w:pPr>
        <w:pStyle w:val="NormalWeb"/>
        <w:spacing w:before="0" w:beforeAutospacing="0" w:after="0" w:afterAutospacing="0"/>
        <w:ind w:left="1440"/>
        <w:rPr>
          <w:sz w:val="22"/>
          <w:szCs w:val="22"/>
        </w:rPr>
      </w:pPr>
      <w:r w:rsidRPr="0052290D">
        <w:rPr>
          <w:rFonts w:ascii="Calibri" w:hAnsi="Calibri"/>
          <w:sz w:val="22"/>
          <w:szCs w:val="22"/>
        </w:rPr>
        <w:t>i.     </w:t>
      </w:r>
      <w:r w:rsidRPr="0052290D">
        <w:rPr>
          <w:sz w:val="22"/>
          <w:szCs w:val="22"/>
        </w:rPr>
        <w:t xml:space="preserve"> </w:t>
      </w:r>
      <w:r w:rsidRPr="0052290D">
        <w:rPr>
          <w:rFonts w:ascii="Calibri" w:hAnsi="Calibri"/>
          <w:sz w:val="22"/>
          <w:szCs w:val="22"/>
        </w:rPr>
        <w:t xml:space="preserve">Automatic or registrant requested allocation </w:t>
      </w:r>
    </w:p>
    <w:p w:rsidR="0052290D" w:rsidRPr="0052290D" w:rsidRDefault="0052290D" w:rsidP="0052290D">
      <w:pPr>
        <w:pStyle w:val="NormalWeb"/>
        <w:spacing w:before="0" w:beforeAutospacing="0" w:after="0" w:afterAutospacing="0"/>
        <w:ind w:left="2160"/>
        <w:rPr>
          <w:sz w:val="22"/>
          <w:szCs w:val="22"/>
        </w:rPr>
      </w:pPr>
      <w:r w:rsidRPr="0052290D">
        <w:rPr>
          <w:rFonts w:ascii="Calibri" w:hAnsi="Calibri"/>
          <w:sz w:val="22"/>
          <w:szCs w:val="22"/>
        </w:rPr>
        <w:t>1.     </w:t>
      </w:r>
      <w:r w:rsidRPr="0052290D">
        <w:rPr>
          <w:sz w:val="22"/>
          <w:szCs w:val="22"/>
        </w:rPr>
        <w:t xml:space="preserve"> </w:t>
      </w:r>
      <w:r w:rsidRPr="0052290D">
        <w:rPr>
          <w:rFonts w:ascii="Calibri" w:hAnsi="Calibri"/>
          <w:sz w:val="22"/>
          <w:szCs w:val="22"/>
        </w:rPr>
        <w:t>Automatic activation of variant labels at second level for Chinese language domain names</w:t>
      </w:r>
    </w:p>
    <w:p w:rsidR="0052290D" w:rsidRPr="0052290D" w:rsidRDefault="0052290D" w:rsidP="0052290D">
      <w:pPr>
        <w:pStyle w:val="NormalWeb"/>
        <w:spacing w:before="0" w:beforeAutospacing="0" w:after="0" w:afterAutospacing="0"/>
        <w:ind w:left="1440"/>
        <w:rPr>
          <w:sz w:val="22"/>
          <w:szCs w:val="22"/>
        </w:rPr>
      </w:pPr>
      <w:r w:rsidRPr="0052290D">
        <w:rPr>
          <w:rFonts w:ascii="Calibri" w:hAnsi="Calibri"/>
          <w:sz w:val="22"/>
          <w:szCs w:val="22"/>
        </w:rPr>
        <w:t>ii.    </w:t>
      </w:r>
      <w:r w:rsidRPr="0052290D">
        <w:rPr>
          <w:sz w:val="22"/>
          <w:szCs w:val="22"/>
        </w:rPr>
        <w:t xml:space="preserve"> </w:t>
      </w:r>
      <w:r w:rsidRPr="0052290D">
        <w:rPr>
          <w:rFonts w:ascii="Calibri" w:hAnsi="Calibri"/>
          <w:sz w:val="22"/>
          <w:szCs w:val="22"/>
        </w:rPr>
        <w:t>Minimum and Maximum</w:t>
      </w:r>
      <w:r w:rsidRPr="0052290D">
        <w:rPr>
          <w:sz w:val="22"/>
          <w:szCs w:val="22"/>
        </w:rPr>
        <w:t xml:space="preserve"> </w:t>
      </w:r>
      <w:r w:rsidRPr="0052290D">
        <w:rPr>
          <w:rFonts w:ascii="Calibri" w:hAnsi="Calibri"/>
          <w:sz w:val="22"/>
          <w:szCs w:val="22"/>
        </w:rPr>
        <w:t>number of allocated variants/Ceiling value?</w:t>
      </w:r>
      <w:r w:rsidRPr="0052290D">
        <w:rPr>
          <w:sz w:val="22"/>
          <w:szCs w:val="22"/>
        </w:rPr>
        <w:t xml:space="preserve"> </w:t>
      </w:r>
    </w:p>
    <w:p w:rsidR="0052290D" w:rsidRPr="0052290D" w:rsidRDefault="0052290D" w:rsidP="0052290D">
      <w:pPr>
        <w:pStyle w:val="NormalWeb"/>
        <w:spacing w:before="0" w:beforeAutospacing="0" w:after="0" w:afterAutospacing="0"/>
        <w:ind w:left="1440"/>
        <w:rPr>
          <w:sz w:val="22"/>
          <w:szCs w:val="22"/>
        </w:rPr>
      </w:pPr>
      <w:r w:rsidRPr="0052290D">
        <w:rPr>
          <w:rFonts w:ascii="Calibri" w:hAnsi="Calibri"/>
          <w:sz w:val="22"/>
          <w:szCs w:val="22"/>
        </w:rPr>
        <w:t>iii.   </w:t>
      </w:r>
      <w:r w:rsidRPr="0052290D">
        <w:rPr>
          <w:sz w:val="22"/>
          <w:szCs w:val="22"/>
        </w:rPr>
        <w:t xml:space="preserve"> </w:t>
      </w:r>
      <w:r w:rsidRPr="0052290D">
        <w:rPr>
          <w:rFonts w:ascii="Calibri" w:hAnsi="Calibri"/>
          <w:sz w:val="22"/>
          <w:szCs w:val="22"/>
        </w:rPr>
        <w:t>Choosing which variants may be activated</w:t>
      </w:r>
    </w:p>
    <w:p w:rsidR="0052290D" w:rsidRPr="0052290D" w:rsidRDefault="0052290D" w:rsidP="0052290D">
      <w:pPr>
        <w:pStyle w:val="NormalWeb"/>
        <w:spacing w:before="0" w:beforeAutospacing="0" w:after="0" w:afterAutospacing="0"/>
        <w:ind w:left="720"/>
        <w:rPr>
          <w:sz w:val="22"/>
          <w:szCs w:val="22"/>
        </w:rPr>
      </w:pPr>
      <w:r w:rsidRPr="0052290D">
        <w:rPr>
          <w:rFonts w:ascii="Calibri" w:hAnsi="Calibri"/>
          <w:sz w:val="22"/>
          <w:szCs w:val="22"/>
        </w:rPr>
        <w:t>d.     </w:t>
      </w:r>
      <w:r w:rsidRPr="0052290D">
        <w:rPr>
          <w:sz w:val="22"/>
          <w:szCs w:val="22"/>
        </w:rPr>
        <w:t xml:space="preserve"> </w:t>
      </w:r>
      <w:r w:rsidRPr="0052290D">
        <w:rPr>
          <w:rFonts w:ascii="Calibri" w:hAnsi="Calibri"/>
          <w:sz w:val="22"/>
          <w:szCs w:val="22"/>
        </w:rPr>
        <w:t xml:space="preserve">Variants at second level </w:t>
      </w:r>
      <w:proofErr w:type="gramStart"/>
      <w:r w:rsidRPr="0052290D">
        <w:rPr>
          <w:rFonts w:ascii="Calibri" w:hAnsi="Calibri"/>
          <w:sz w:val="22"/>
          <w:szCs w:val="22"/>
        </w:rPr>
        <w:t>must(</w:t>
      </w:r>
      <w:proofErr w:type="gramEnd"/>
      <w:r w:rsidRPr="0052290D">
        <w:rPr>
          <w:rFonts w:ascii="Calibri" w:hAnsi="Calibri"/>
          <w:sz w:val="22"/>
          <w:szCs w:val="22"/>
        </w:rPr>
        <w:t>?) be allocated to the same registrant? </w:t>
      </w:r>
      <w:r w:rsidRPr="0052290D">
        <w:rPr>
          <w:sz w:val="22"/>
          <w:szCs w:val="22"/>
        </w:rPr>
        <w:t xml:space="preserve"> </w:t>
      </w:r>
    </w:p>
    <w:p w:rsidR="0052290D" w:rsidRPr="0052290D" w:rsidRDefault="0052290D" w:rsidP="0052290D">
      <w:pPr>
        <w:pStyle w:val="NormalWeb"/>
        <w:spacing w:before="0" w:beforeAutospacing="0" w:after="0" w:afterAutospacing="0"/>
        <w:ind w:left="720"/>
        <w:rPr>
          <w:sz w:val="22"/>
          <w:szCs w:val="22"/>
        </w:rPr>
      </w:pPr>
      <w:r w:rsidRPr="0052290D">
        <w:rPr>
          <w:rFonts w:ascii="Calibri" w:hAnsi="Calibri"/>
          <w:sz w:val="22"/>
          <w:szCs w:val="22"/>
        </w:rPr>
        <w:t>e.     </w:t>
      </w:r>
      <w:r w:rsidRPr="0052290D">
        <w:rPr>
          <w:sz w:val="22"/>
          <w:szCs w:val="22"/>
        </w:rPr>
        <w:t xml:space="preserve"> </w:t>
      </w:r>
      <w:r w:rsidRPr="0052290D">
        <w:rPr>
          <w:rFonts w:ascii="Calibri" w:hAnsi="Calibri"/>
          <w:sz w:val="22"/>
          <w:szCs w:val="22"/>
        </w:rPr>
        <w:t>Implication of second level variants on TMCH</w:t>
      </w:r>
    </w:p>
    <w:p w:rsidR="0052290D" w:rsidRPr="0052290D" w:rsidRDefault="0052290D" w:rsidP="0052290D">
      <w:pPr>
        <w:pStyle w:val="NormalWeb"/>
        <w:spacing w:before="0" w:beforeAutospacing="0" w:after="0" w:afterAutospacing="0"/>
        <w:rPr>
          <w:sz w:val="22"/>
          <w:szCs w:val="22"/>
        </w:rPr>
      </w:pPr>
      <w:r w:rsidRPr="0052290D">
        <w:rPr>
          <w:rFonts w:ascii="Calibri" w:hAnsi="Calibri"/>
          <w:sz w:val="22"/>
          <w:szCs w:val="22"/>
        </w:rPr>
        <w:t>4.     </w:t>
      </w:r>
      <w:r w:rsidRPr="0052290D">
        <w:rPr>
          <w:sz w:val="22"/>
          <w:szCs w:val="22"/>
        </w:rPr>
        <w:t xml:space="preserve"> </w:t>
      </w:r>
      <w:r w:rsidRPr="0052290D">
        <w:rPr>
          <w:rFonts w:ascii="Calibri" w:hAnsi="Calibri"/>
          <w:sz w:val="22"/>
          <w:szCs w:val="22"/>
        </w:rPr>
        <w:t>Similarity/Confusability of labels</w:t>
      </w:r>
    </w:p>
    <w:p w:rsidR="0052290D" w:rsidRPr="0052290D" w:rsidRDefault="0052290D" w:rsidP="0052290D">
      <w:pPr>
        <w:pStyle w:val="NormalWeb"/>
        <w:spacing w:before="0" w:beforeAutospacing="0" w:after="0" w:afterAutospacing="0"/>
        <w:ind w:left="720"/>
        <w:rPr>
          <w:sz w:val="22"/>
          <w:szCs w:val="22"/>
        </w:rPr>
      </w:pPr>
      <w:r w:rsidRPr="0052290D">
        <w:rPr>
          <w:rFonts w:ascii="Calibri" w:hAnsi="Calibri"/>
          <w:sz w:val="22"/>
          <w:szCs w:val="22"/>
        </w:rPr>
        <w:t>a.     </w:t>
      </w:r>
      <w:r w:rsidRPr="0052290D">
        <w:rPr>
          <w:sz w:val="22"/>
          <w:szCs w:val="22"/>
        </w:rPr>
        <w:t xml:space="preserve"> </w:t>
      </w:r>
      <w:r w:rsidRPr="0052290D">
        <w:rPr>
          <w:rFonts w:ascii="Calibri" w:hAnsi="Calibri"/>
          <w:sz w:val="22"/>
          <w:szCs w:val="22"/>
        </w:rPr>
        <w:t>Homographic issues within script</w:t>
      </w:r>
    </w:p>
    <w:p w:rsidR="0052290D" w:rsidRPr="0052290D" w:rsidRDefault="0052290D" w:rsidP="0052290D">
      <w:pPr>
        <w:pStyle w:val="NormalWeb"/>
        <w:spacing w:before="0" w:beforeAutospacing="0" w:after="0" w:afterAutospacing="0"/>
        <w:ind w:left="1440"/>
        <w:rPr>
          <w:sz w:val="22"/>
          <w:szCs w:val="22"/>
        </w:rPr>
      </w:pPr>
      <w:r w:rsidRPr="0052290D">
        <w:rPr>
          <w:rFonts w:ascii="Calibri" w:hAnsi="Calibri"/>
          <w:sz w:val="22"/>
          <w:szCs w:val="22"/>
        </w:rPr>
        <w:t>i.     </w:t>
      </w:r>
      <w:r w:rsidRPr="0052290D">
        <w:rPr>
          <w:sz w:val="22"/>
          <w:szCs w:val="22"/>
        </w:rPr>
        <w:t xml:space="preserve"> </w:t>
      </w:r>
      <w:r w:rsidRPr="0052290D">
        <w:rPr>
          <w:rFonts w:ascii="Calibri" w:hAnsi="Calibri"/>
          <w:sz w:val="22"/>
          <w:szCs w:val="22"/>
        </w:rPr>
        <w:t>General homographic issues within a script</w:t>
      </w:r>
    </w:p>
    <w:p w:rsidR="0052290D" w:rsidRPr="0052290D" w:rsidRDefault="0052290D" w:rsidP="0052290D">
      <w:pPr>
        <w:pStyle w:val="NormalWeb"/>
        <w:spacing w:before="0" w:beforeAutospacing="0" w:after="0" w:afterAutospacing="0"/>
        <w:ind w:left="1440"/>
        <w:rPr>
          <w:sz w:val="22"/>
          <w:szCs w:val="22"/>
        </w:rPr>
      </w:pPr>
      <w:r w:rsidRPr="0052290D">
        <w:rPr>
          <w:rFonts w:ascii="Calibri" w:hAnsi="Calibri"/>
          <w:sz w:val="22"/>
          <w:szCs w:val="22"/>
        </w:rPr>
        <w:t>ii.    </w:t>
      </w:r>
      <w:r w:rsidRPr="0052290D">
        <w:rPr>
          <w:sz w:val="22"/>
          <w:szCs w:val="22"/>
        </w:rPr>
        <w:t xml:space="preserve"> </w:t>
      </w:r>
      <w:r w:rsidRPr="0052290D">
        <w:rPr>
          <w:rFonts w:ascii="Calibri" w:hAnsi="Calibri"/>
          <w:sz w:val="22"/>
          <w:szCs w:val="22"/>
        </w:rPr>
        <w:t>Scope of confusability: upper</w:t>
      </w:r>
      <w:r w:rsidRPr="0052290D">
        <w:rPr>
          <w:sz w:val="22"/>
          <w:szCs w:val="22"/>
        </w:rPr>
        <w:t xml:space="preserve"> </w:t>
      </w:r>
      <w:r w:rsidRPr="0052290D">
        <w:rPr>
          <w:rFonts w:ascii="Calibri" w:hAnsi="Calibri"/>
          <w:sz w:val="22"/>
          <w:szCs w:val="22"/>
        </w:rPr>
        <w:t>to lower case mapping</w:t>
      </w:r>
      <w:r w:rsidRPr="0052290D">
        <w:rPr>
          <w:sz w:val="22"/>
          <w:szCs w:val="22"/>
        </w:rPr>
        <w:t xml:space="preserve"> </w:t>
      </w:r>
    </w:p>
    <w:p w:rsidR="0052290D" w:rsidRPr="0052290D" w:rsidRDefault="0052290D" w:rsidP="0052290D">
      <w:pPr>
        <w:pStyle w:val="NormalWeb"/>
        <w:spacing w:before="0" w:beforeAutospacing="0" w:after="0" w:afterAutospacing="0"/>
        <w:ind w:left="720"/>
        <w:rPr>
          <w:sz w:val="22"/>
          <w:szCs w:val="22"/>
        </w:rPr>
      </w:pPr>
      <w:r w:rsidRPr="0052290D">
        <w:rPr>
          <w:rFonts w:ascii="Calibri" w:hAnsi="Calibri"/>
          <w:sz w:val="22"/>
          <w:szCs w:val="22"/>
        </w:rPr>
        <w:t>b.     </w:t>
      </w:r>
      <w:r w:rsidRPr="0052290D">
        <w:rPr>
          <w:sz w:val="22"/>
          <w:szCs w:val="22"/>
        </w:rPr>
        <w:t xml:space="preserve"> </w:t>
      </w:r>
      <w:r w:rsidRPr="0052290D">
        <w:rPr>
          <w:rFonts w:ascii="Calibri" w:hAnsi="Calibri"/>
          <w:sz w:val="22"/>
          <w:szCs w:val="22"/>
        </w:rPr>
        <w:t>Cross-script</w:t>
      </w:r>
      <w:r w:rsidRPr="0052290D">
        <w:rPr>
          <w:sz w:val="22"/>
          <w:szCs w:val="22"/>
        </w:rPr>
        <w:t xml:space="preserve"> </w:t>
      </w:r>
      <w:r w:rsidRPr="0052290D">
        <w:rPr>
          <w:rFonts w:ascii="Calibri" w:hAnsi="Calibri"/>
          <w:sz w:val="22"/>
          <w:szCs w:val="22"/>
        </w:rPr>
        <w:t>homoglyphs</w:t>
      </w:r>
      <w:r w:rsidRPr="0052290D">
        <w:rPr>
          <w:sz w:val="22"/>
          <w:szCs w:val="22"/>
        </w:rPr>
        <w:t xml:space="preserve"> </w:t>
      </w:r>
      <w:r w:rsidRPr="0052290D">
        <w:rPr>
          <w:rFonts w:ascii="Calibri" w:hAnsi="Calibri"/>
          <w:sz w:val="22"/>
          <w:szCs w:val="22"/>
        </w:rPr>
        <w:t>management to prevent</w:t>
      </w:r>
      <w:r w:rsidRPr="0052290D">
        <w:rPr>
          <w:sz w:val="22"/>
          <w:szCs w:val="22"/>
        </w:rPr>
        <w:t xml:space="preserve"> </w:t>
      </w:r>
      <w:r w:rsidRPr="0052290D">
        <w:rPr>
          <w:rFonts w:ascii="Calibri" w:hAnsi="Calibri"/>
          <w:sz w:val="22"/>
          <w:szCs w:val="22"/>
        </w:rPr>
        <w:t>phishing possibilities– cox.com, where “cox” can be in Latin or Greek or Cyrillic</w:t>
      </w:r>
    </w:p>
    <w:p w:rsidR="0052290D" w:rsidRPr="0052290D" w:rsidRDefault="0052290D" w:rsidP="0052290D">
      <w:pPr>
        <w:pStyle w:val="NormalWeb"/>
        <w:spacing w:before="0" w:beforeAutospacing="0" w:after="0" w:afterAutospacing="0"/>
        <w:ind w:left="1440"/>
        <w:rPr>
          <w:sz w:val="22"/>
          <w:szCs w:val="22"/>
        </w:rPr>
      </w:pPr>
      <w:r w:rsidRPr="0052290D">
        <w:rPr>
          <w:rFonts w:ascii="Calibri" w:hAnsi="Calibri"/>
          <w:sz w:val="22"/>
          <w:szCs w:val="22"/>
        </w:rPr>
        <w:t>i.     </w:t>
      </w:r>
      <w:r w:rsidRPr="0052290D">
        <w:rPr>
          <w:sz w:val="22"/>
          <w:szCs w:val="22"/>
        </w:rPr>
        <w:t xml:space="preserve"> </w:t>
      </w:r>
      <w:r w:rsidRPr="0052290D">
        <w:rPr>
          <w:rFonts w:ascii="Calibri" w:hAnsi="Calibri"/>
          <w:sz w:val="22"/>
          <w:szCs w:val="22"/>
        </w:rPr>
        <w:t>Script mixing within a second level label</w:t>
      </w:r>
    </w:p>
    <w:p w:rsidR="0052290D" w:rsidRPr="0052290D" w:rsidRDefault="0052290D" w:rsidP="0052290D">
      <w:pPr>
        <w:pStyle w:val="NormalWeb"/>
        <w:spacing w:before="0" w:beforeAutospacing="0" w:after="0" w:afterAutospacing="0"/>
        <w:ind w:left="1440"/>
        <w:rPr>
          <w:sz w:val="22"/>
          <w:szCs w:val="22"/>
        </w:rPr>
      </w:pPr>
      <w:r w:rsidRPr="0052290D">
        <w:rPr>
          <w:rFonts w:ascii="Calibri" w:hAnsi="Calibri"/>
          <w:sz w:val="22"/>
          <w:szCs w:val="22"/>
        </w:rPr>
        <w:t>ii.    </w:t>
      </w:r>
      <w:r w:rsidRPr="0052290D">
        <w:rPr>
          <w:sz w:val="22"/>
          <w:szCs w:val="22"/>
        </w:rPr>
        <w:t xml:space="preserve"> </w:t>
      </w:r>
      <w:r w:rsidRPr="0052290D">
        <w:rPr>
          <w:rFonts w:ascii="Calibri" w:hAnsi="Calibri"/>
          <w:sz w:val="22"/>
          <w:szCs w:val="22"/>
        </w:rPr>
        <w:t>Script mixing across levels</w:t>
      </w:r>
      <w:r w:rsidRPr="0052290D">
        <w:rPr>
          <w:sz w:val="22"/>
          <w:szCs w:val="22"/>
        </w:rPr>
        <w:t xml:space="preserve"> </w:t>
      </w:r>
    </w:p>
    <w:p w:rsidR="0052290D" w:rsidRPr="0052290D" w:rsidRDefault="0052290D" w:rsidP="0052290D">
      <w:pPr>
        <w:pStyle w:val="NormalWeb"/>
        <w:spacing w:before="0" w:beforeAutospacing="0" w:after="0" w:afterAutospacing="0"/>
        <w:ind w:left="1440"/>
        <w:rPr>
          <w:sz w:val="22"/>
          <w:szCs w:val="22"/>
        </w:rPr>
      </w:pPr>
      <w:r w:rsidRPr="0052290D">
        <w:rPr>
          <w:rFonts w:ascii="Calibri" w:hAnsi="Calibri"/>
          <w:sz w:val="22"/>
          <w:szCs w:val="22"/>
        </w:rPr>
        <w:t>iii.   </w:t>
      </w:r>
      <w:r w:rsidRPr="0052290D">
        <w:rPr>
          <w:sz w:val="22"/>
          <w:szCs w:val="22"/>
        </w:rPr>
        <w:t xml:space="preserve"> </w:t>
      </w:r>
      <w:r w:rsidRPr="0052290D">
        <w:rPr>
          <w:rFonts w:ascii="Calibri" w:hAnsi="Calibri"/>
          <w:sz w:val="22"/>
          <w:szCs w:val="22"/>
        </w:rPr>
        <w:t>Scope of confusability: upper</w:t>
      </w:r>
      <w:r w:rsidRPr="0052290D">
        <w:rPr>
          <w:sz w:val="22"/>
          <w:szCs w:val="22"/>
        </w:rPr>
        <w:t xml:space="preserve"> </w:t>
      </w:r>
      <w:r w:rsidRPr="0052290D">
        <w:rPr>
          <w:rFonts w:ascii="Calibri" w:hAnsi="Calibri"/>
          <w:sz w:val="22"/>
          <w:szCs w:val="22"/>
        </w:rPr>
        <w:t>to lower case mapping</w:t>
      </w:r>
    </w:p>
    <w:p w:rsidR="0052290D" w:rsidRPr="0052290D" w:rsidRDefault="0052290D" w:rsidP="0052290D">
      <w:pPr>
        <w:pStyle w:val="NormalWeb"/>
        <w:spacing w:before="0" w:beforeAutospacing="0" w:after="0" w:afterAutospacing="0"/>
        <w:ind w:left="1440"/>
        <w:rPr>
          <w:sz w:val="22"/>
          <w:szCs w:val="22"/>
        </w:rPr>
      </w:pPr>
      <w:r w:rsidRPr="0052290D">
        <w:rPr>
          <w:rFonts w:ascii="Calibri" w:hAnsi="Calibri"/>
          <w:sz w:val="22"/>
          <w:szCs w:val="22"/>
        </w:rPr>
        <w:t>iv.    </w:t>
      </w:r>
      <w:r w:rsidRPr="0052290D">
        <w:rPr>
          <w:sz w:val="22"/>
          <w:szCs w:val="22"/>
        </w:rPr>
        <w:t xml:space="preserve"> </w:t>
      </w:r>
      <w:r w:rsidRPr="0052290D">
        <w:rPr>
          <w:rFonts w:ascii="Calibri" w:hAnsi="Calibri"/>
          <w:sz w:val="22"/>
          <w:szCs w:val="22"/>
        </w:rPr>
        <w:t>Is ASCII a special case for mixing?</w:t>
      </w:r>
    </w:p>
    <w:p w:rsidR="0052290D" w:rsidRPr="0052290D" w:rsidRDefault="0052290D" w:rsidP="0052290D">
      <w:pPr>
        <w:pStyle w:val="NormalWeb"/>
        <w:spacing w:before="0" w:beforeAutospacing="0" w:after="0" w:afterAutospacing="0"/>
        <w:rPr>
          <w:sz w:val="22"/>
          <w:szCs w:val="22"/>
        </w:rPr>
      </w:pPr>
      <w:r w:rsidRPr="0052290D">
        <w:rPr>
          <w:rFonts w:ascii="Calibri" w:hAnsi="Calibri"/>
          <w:sz w:val="22"/>
          <w:szCs w:val="22"/>
        </w:rPr>
        <w:t>5.     </w:t>
      </w:r>
      <w:r w:rsidRPr="0052290D">
        <w:rPr>
          <w:sz w:val="22"/>
          <w:szCs w:val="22"/>
        </w:rPr>
        <w:t xml:space="preserve"> </w:t>
      </w:r>
      <w:r w:rsidRPr="0052290D">
        <w:rPr>
          <w:rFonts w:ascii="Calibri" w:hAnsi="Calibri"/>
          <w:sz w:val="22"/>
          <w:szCs w:val="22"/>
        </w:rPr>
        <w:t>Registration data</w:t>
      </w:r>
      <w:r w:rsidRPr="0052290D">
        <w:rPr>
          <w:sz w:val="22"/>
          <w:szCs w:val="22"/>
        </w:rPr>
        <w:t xml:space="preserve"> </w:t>
      </w:r>
    </w:p>
    <w:p w:rsidR="0052290D" w:rsidRPr="0052290D" w:rsidRDefault="0052290D" w:rsidP="0052290D">
      <w:pPr>
        <w:pStyle w:val="NormalWeb"/>
        <w:spacing w:before="0" w:beforeAutospacing="0" w:after="0" w:afterAutospacing="0"/>
        <w:ind w:left="720"/>
        <w:rPr>
          <w:sz w:val="22"/>
          <w:szCs w:val="22"/>
        </w:rPr>
      </w:pPr>
      <w:r w:rsidRPr="0052290D">
        <w:rPr>
          <w:rFonts w:ascii="Calibri" w:hAnsi="Calibri"/>
          <w:sz w:val="22"/>
          <w:szCs w:val="22"/>
        </w:rPr>
        <w:t>a.     </w:t>
      </w:r>
      <w:r w:rsidRPr="0052290D">
        <w:rPr>
          <w:sz w:val="22"/>
          <w:szCs w:val="22"/>
        </w:rPr>
        <w:t xml:space="preserve"> </w:t>
      </w:r>
      <w:r w:rsidRPr="0052290D">
        <w:rPr>
          <w:rFonts w:ascii="Calibri" w:hAnsi="Calibri"/>
          <w:sz w:val="22"/>
          <w:szCs w:val="22"/>
        </w:rPr>
        <w:t>Registration data for IDNs</w:t>
      </w:r>
    </w:p>
    <w:p w:rsidR="0052290D" w:rsidRPr="0052290D" w:rsidRDefault="0052290D" w:rsidP="0052290D">
      <w:pPr>
        <w:pStyle w:val="NormalWeb"/>
        <w:spacing w:before="0" w:beforeAutospacing="0" w:after="0" w:afterAutospacing="0"/>
        <w:ind w:left="720"/>
        <w:rPr>
          <w:rFonts w:ascii="Calibri" w:hAnsi="Calibri"/>
          <w:sz w:val="22"/>
          <w:szCs w:val="22"/>
        </w:rPr>
      </w:pPr>
      <w:r w:rsidRPr="0052290D">
        <w:rPr>
          <w:rFonts w:ascii="Calibri" w:hAnsi="Calibri"/>
          <w:sz w:val="22"/>
          <w:szCs w:val="22"/>
        </w:rPr>
        <w:t>b.     </w:t>
      </w:r>
      <w:r w:rsidRPr="0052290D">
        <w:rPr>
          <w:sz w:val="22"/>
          <w:szCs w:val="22"/>
        </w:rPr>
        <w:t xml:space="preserve"> </w:t>
      </w:r>
      <w:r w:rsidRPr="0052290D">
        <w:rPr>
          <w:rFonts w:ascii="Calibri" w:hAnsi="Calibri"/>
          <w:sz w:val="22"/>
          <w:szCs w:val="22"/>
        </w:rPr>
        <w:t>Registration data</w:t>
      </w:r>
      <w:r w:rsidRPr="0052290D">
        <w:rPr>
          <w:sz w:val="22"/>
          <w:szCs w:val="22"/>
        </w:rPr>
        <w:t xml:space="preserve"> </w:t>
      </w:r>
      <w:r w:rsidRPr="0052290D">
        <w:rPr>
          <w:rFonts w:ascii="Calibri" w:hAnsi="Calibri"/>
          <w:sz w:val="22"/>
          <w:szCs w:val="22"/>
        </w:rPr>
        <w:t>of variants – information regarding variant sets and variant label disposition(s)</w:t>
      </w:r>
    </w:p>
    <w:p w:rsidR="0052290D" w:rsidRDefault="0052290D" w:rsidP="00CE15DD"/>
    <w:sectPr w:rsidR="00522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B0" w:rsidRDefault="002B0AB0" w:rsidP="00876CE6">
      <w:pPr>
        <w:spacing w:after="0" w:line="240" w:lineRule="auto"/>
      </w:pPr>
      <w:r>
        <w:separator/>
      </w:r>
    </w:p>
  </w:endnote>
  <w:endnote w:type="continuationSeparator" w:id="0">
    <w:p w:rsidR="002B0AB0" w:rsidRDefault="002B0AB0" w:rsidP="008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B0" w:rsidRDefault="002B0AB0" w:rsidP="00876CE6">
      <w:pPr>
        <w:spacing w:after="0" w:line="240" w:lineRule="auto"/>
      </w:pPr>
      <w:r>
        <w:separator/>
      </w:r>
    </w:p>
  </w:footnote>
  <w:footnote w:type="continuationSeparator" w:id="0">
    <w:p w:rsidR="002B0AB0" w:rsidRDefault="002B0AB0" w:rsidP="00876CE6">
      <w:pPr>
        <w:spacing w:after="0" w:line="240" w:lineRule="auto"/>
      </w:pPr>
      <w:r>
        <w:continuationSeparator/>
      </w:r>
    </w:p>
  </w:footnote>
  <w:footnote w:id="1">
    <w:p w:rsidR="00E44242" w:rsidRDefault="00E44242">
      <w:pPr>
        <w:pStyle w:val="FootnoteText"/>
      </w:pPr>
      <w:r>
        <w:rPr>
          <w:rStyle w:val="FootnoteReference"/>
        </w:rPr>
        <w:footnoteRef/>
      </w:r>
      <w:r>
        <w:t xml:space="preserve"> </w:t>
      </w:r>
      <w:hyperlink r:id="rId1" w:history="1">
        <w:r w:rsidRPr="00027151">
          <w:rPr>
            <w:rStyle w:val="Hyperlink"/>
          </w:rPr>
          <w:t>https://www.iab.org/documents/correspondence-reports-documents/2015-2/iab-statement-on-identifiers-and-unicode-7-0-0/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6E8"/>
    <w:multiLevelType w:val="hybridMultilevel"/>
    <w:tmpl w:val="30662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319A2"/>
    <w:multiLevelType w:val="hybridMultilevel"/>
    <w:tmpl w:val="9B08E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7147F"/>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D17E22"/>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385E74"/>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FA"/>
    <w:rsid w:val="00073921"/>
    <w:rsid w:val="00075303"/>
    <w:rsid w:val="000A0618"/>
    <w:rsid w:val="000D427F"/>
    <w:rsid w:val="00154E71"/>
    <w:rsid w:val="001936C7"/>
    <w:rsid w:val="001A6A50"/>
    <w:rsid w:val="00212600"/>
    <w:rsid w:val="0022283C"/>
    <w:rsid w:val="002712E5"/>
    <w:rsid w:val="002B0AB0"/>
    <w:rsid w:val="002B61C9"/>
    <w:rsid w:val="00333121"/>
    <w:rsid w:val="003421E2"/>
    <w:rsid w:val="00373A16"/>
    <w:rsid w:val="003A5A5E"/>
    <w:rsid w:val="003D0519"/>
    <w:rsid w:val="00454CA4"/>
    <w:rsid w:val="00486FA2"/>
    <w:rsid w:val="0049346E"/>
    <w:rsid w:val="00493A89"/>
    <w:rsid w:val="004B4A8A"/>
    <w:rsid w:val="004D734C"/>
    <w:rsid w:val="00511E91"/>
    <w:rsid w:val="00515637"/>
    <w:rsid w:val="0052290D"/>
    <w:rsid w:val="00532F11"/>
    <w:rsid w:val="005D4028"/>
    <w:rsid w:val="005E1272"/>
    <w:rsid w:val="005F488B"/>
    <w:rsid w:val="006027AC"/>
    <w:rsid w:val="006030AF"/>
    <w:rsid w:val="0061064A"/>
    <w:rsid w:val="0066220B"/>
    <w:rsid w:val="00674402"/>
    <w:rsid w:val="006A00A3"/>
    <w:rsid w:val="007100C7"/>
    <w:rsid w:val="00712F1A"/>
    <w:rsid w:val="00741271"/>
    <w:rsid w:val="00786384"/>
    <w:rsid w:val="007C1A9C"/>
    <w:rsid w:val="007E3472"/>
    <w:rsid w:val="007E6AF4"/>
    <w:rsid w:val="007F4307"/>
    <w:rsid w:val="0080673C"/>
    <w:rsid w:val="00846081"/>
    <w:rsid w:val="0085079E"/>
    <w:rsid w:val="00863ADD"/>
    <w:rsid w:val="00876CE6"/>
    <w:rsid w:val="00915B26"/>
    <w:rsid w:val="00923BE8"/>
    <w:rsid w:val="00964AAB"/>
    <w:rsid w:val="00971DFA"/>
    <w:rsid w:val="00A61780"/>
    <w:rsid w:val="00A6436C"/>
    <w:rsid w:val="00AA1F90"/>
    <w:rsid w:val="00AD157C"/>
    <w:rsid w:val="00AD4FEC"/>
    <w:rsid w:val="00B310B0"/>
    <w:rsid w:val="00B6339C"/>
    <w:rsid w:val="00BC4E4A"/>
    <w:rsid w:val="00BF038D"/>
    <w:rsid w:val="00C0527D"/>
    <w:rsid w:val="00C05501"/>
    <w:rsid w:val="00CE15DD"/>
    <w:rsid w:val="00D24655"/>
    <w:rsid w:val="00D335E2"/>
    <w:rsid w:val="00D53964"/>
    <w:rsid w:val="00DC5B96"/>
    <w:rsid w:val="00DF74FC"/>
    <w:rsid w:val="00E1488F"/>
    <w:rsid w:val="00E44242"/>
    <w:rsid w:val="00E51A12"/>
    <w:rsid w:val="00E61F09"/>
    <w:rsid w:val="00E7535E"/>
    <w:rsid w:val="00E80306"/>
    <w:rsid w:val="00E90C27"/>
    <w:rsid w:val="00F012E3"/>
    <w:rsid w:val="00F159EE"/>
    <w:rsid w:val="00F317D4"/>
    <w:rsid w:val="00F40C5A"/>
    <w:rsid w:val="00F82306"/>
    <w:rsid w:val="00FC1185"/>
    <w:rsid w:val="00FD1916"/>
    <w:rsid w:val="00FF3C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FD7F4-57D3-43EE-9CC1-4139F704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80"/>
    <w:pPr>
      <w:ind w:left="720"/>
      <w:contextualSpacing/>
    </w:pPr>
  </w:style>
  <w:style w:type="paragraph" w:styleId="FootnoteText">
    <w:name w:val="footnote text"/>
    <w:basedOn w:val="Normal"/>
    <w:link w:val="FootnoteTextChar"/>
    <w:uiPriority w:val="99"/>
    <w:semiHidden/>
    <w:unhideWhenUsed/>
    <w:rsid w:val="0087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E6"/>
    <w:rPr>
      <w:sz w:val="20"/>
      <w:szCs w:val="20"/>
    </w:rPr>
  </w:style>
  <w:style w:type="character" w:styleId="FootnoteReference">
    <w:name w:val="footnote reference"/>
    <w:basedOn w:val="DefaultParagraphFont"/>
    <w:uiPriority w:val="99"/>
    <w:semiHidden/>
    <w:unhideWhenUsed/>
    <w:rsid w:val="00876CE6"/>
    <w:rPr>
      <w:vertAlign w:val="superscript"/>
    </w:rPr>
  </w:style>
  <w:style w:type="character" w:styleId="Hyperlink">
    <w:name w:val="Hyperlink"/>
    <w:basedOn w:val="DefaultParagraphFont"/>
    <w:uiPriority w:val="99"/>
    <w:unhideWhenUsed/>
    <w:rsid w:val="00876CE6"/>
    <w:rPr>
      <w:color w:val="0563C1" w:themeColor="hyperlink"/>
      <w:u w:val="single"/>
    </w:rPr>
  </w:style>
  <w:style w:type="character" w:styleId="FollowedHyperlink">
    <w:name w:val="FollowedHyperlink"/>
    <w:basedOn w:val="DefaultParagraphFont"/>
    <w:uiPriority w:val="99"/>
    <w:semiHidden/>
    <w:unhideWhenUsed/>
    <w:rsid w:val="00876CE6"/>
    <w:rPr>
      <w:color w:val="954F72" w:themeColor="followedHyperlink"/>
      <w:u w:val="single"/>
    </w:rPr>
  </w:style>
  <w:style w:type="table" w:styleId="TableGrid">
    <w:name w:val="Table Grid"/>
    <w:basedOn w:val="TableNormal"/>
    <w:uiPriority w:val="39"/>
    <w:rsid w:val="00B6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0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ab.org/documents/correspondence-reports-documents/2015-2/iab-statement-on-identifiers-and-unicode-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95F8D-8DB0-45B9-B034-4E89DF2F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34</cp:revision>
  <dcterms:created xsi:type="dcterms:W3CDTF">2015-10-28T07:24:00Z</dcterms:created>
  <dcterms:modified xsi:type="dcterms:W3CDTF">2015-12-08T13:59:00Z</dcterms:modified>
</cp:coreProperties>
</file>