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80" w:rsidRPr="00F75FF6" w:rsidRDefault="00A61780" w:rsidP="00A61780">
      <w:pPr>
        <w:rPr>
          <w:b/>
          <w:bCs/>
          <w:color w:val="000000" w:themeColor="text1"/>
        </w:rPr>
      </w:pPr>
      <w:r w:rsidRPr="00F75FF6">
        <w:rPr>
          <w:b/>
          <w:bCs/>
          <w:color w:val="000000" w:themeColor="text1"/>
        </w:rPr>
        <w:t>IDN Implementation Guidelines (IDNG) Working Group (WG)</w:t>
      </w:r>
    </w:p>
    <w:p w:rsidR="00A61780" w:rsidRPr="00F75FF6" w:rsidRDefault="00A61780" w:rsidP="007464EC">
      <w:pPr>
        <w:rPr>
          <w:b/>
          <w:bCs/>
          <w:color w:val="000000" w:themeColor="text1"/>
        </w:rPr>
      </w:pPr>
      <w:r w:rsidRPr="00F75FF6">
        <w:rPr>
          <w:b/>
          <w:bCs/>
          <w:color w:val="000000" w:themeColor="text1"/>
        </w:rPr>
        <w:t xml:space="preserve">Notes from Meeting on </w:t>
      </w:r>
      <w:r w:rsidR="007464EC">
        <w:rPr>
          <w:b/>
          <w:bCs/>
          <w:color w:val="000000" w:themeColor="text1"/>
        </w:rPr>
        <w:t>02 June</w:t>
      </w:r>
      <w:r w:rsidR="00F04826">
        <w:rPr>
          <w:b/>
          <w:bCs/>
          <w:color w:val="000000" w:themeColor="text1"/>
        </w:rPr>
        <w:t>,</w:t>
      </w:r>
      <w:r w:rsidRPr="00F75FF6">
        <w:rPr>
          <w:b/>
          <w:bCs/>
          <w:color w:val="000000" w:themeColor="text1"/>
        </w:rPr>
        <w:t xml:space="preserve"> 201</w:t>
      </w:r>
      <w:r w:rsidR="00326C70" w:rsidRPr="00F75FF6">
        <w:rPr>
          <w:b/>
          <w:bCs/>
          <w:color w:val="000000" w:themeColor="text1"/>
        </w:rPr>
        <w:t>6</w:t>
      </w:r>
      <w:r w:rsidR="00731C46" w:rsidRPr="00F75FF6">
        <w:rPr>
          <w:b/>
          <w:bCs/>
          <w:color w:val="000000" w:themeColor="text1"/>
        </w:rPr>
        <w:t xml:space="preserve"> </w:t>
      </w:r>
    </w:p>
    <w:p w:rsidR="00B6339C" w:rsidRPr="00F75FF6" w:rsidRDefault="007100C7" w:rsidP="00A61780">
      <w:pPr>
        <w:rPr>
          <w:color w:val="000000" w:themeColor="text1"/>
          <w:u w:val="single"/>
        </w:rPr>
      </w:pPr>
      <w:r w:rsidRPr="00F75FF6">
        <w:rPr>
          <w:color w:val="000000" w:themeColor="text1"/>
          <w:u w:val="single"/>
        </w:rPr>
        <w:t>Meeting Attendees</w:t>
      </w:r>
      <w:r w:rsidR="009757CD" w:rsidRPr="00F75FF6">
        <w:rPr>
          <w:color w:val="000000" w:themeColor="text1"/>
          <w:u w:val="single"/>
        </w:rPr>
        <w:t xml:space="preserve"> </w:t>
      </w:r>
      <w:r w:rsidR="009757CD" w:rsidRPr="00F75FF6">
        <w:rPr>
          <w:color w:val="000000" w:themeColor="text1"/>
        </w:rPr>
        <w:t>(in alphabetical order)</w:t>
      </w:r>
    </w:p>
    <w:p w:rsidR="00A61780" w:rsidRPr="00F75FF6" w:rsidRDefault="007E6AF4" w:rsidP="009757CD">
      <w:pPr>
        <w:rPr>
          <w:color w:val="000000" w:themeColor="text1"/>
        </w:rPr>
      </w:pPr>
      <w:r w:rsidRPr="00F75FF6">
        <w:rPr>
          <w:color w:val="000000" w:themeColor="text1"/>
        </w:rPr>
        <w:tab/>
      </w:r>
      <w:r w:rsidR="00AA1F90" w:rsidRPr="00F75FF6">
        <w:rPr>
          <w:color w:val="000000" w:themeColor="text1"/>
        </w:rPr>
        <w:t>WG</w:t>
      </w:r>
      <w:r w:rsidR="00B6339C" w:rsidRPr="00F75FF6">
        <w:rPr>
          <w:color w:val="000000" w:themeColor="text1"/>
        </w:rPr>
        <w:t xml:space="preserve"> members</w:t>
      </w:r>
      <w:r w:rsidR="007100C7" w:rsidRPr="00F75FF6">
        <w:rPr>
          <w:color w:val="000000" w:themeColor="text1"/>
        </w:rPr>
        <w:t>:</w:t>
      </w:r>
    </w:p>
    <w:p w:rsidR="0033160D" w:rsidRPr="00F75FF6" w:rsidRDefault="00E114AB" w:rsidP="0033160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Dennis Tanaka</w:t>
      </w:r>
    </w:p>
    <w:p w:rsidR="00D056A3" w:rsidRDefault="007464EC" w:rsidP="00D335E2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Edmon Chung</w:t>
      </w:r>
    </w:p>
    <w:p w:rsidR="007464EC" w:rsidRDefault="007464EC" w:rsidP="00D335E2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Satish Babu</w:t>
      </w:r>
    </w:p>
    <w:p w:rsidR="00B61D6B" w:rsidRDefault="00B61D6B" w:rsidP="00AA1F90">
      <w:pPr>
        <w:pStyle w:val="ListParagraph"/>
        <w:ind w:left="0"/>
        <w:rPr>
          <w:color w:val="000000" w:themeColor="text1"/>
        </w:rPr>
      </w:pPr>
    </w:p>
    <w:p w:rsidR="00AA1F90" w:rsidRPr="00F75FF6" w:rsidRDefault="007E6AF4" w:rsidP="00AA1F90">
      <w:pPr>
        <w:pStyle w:val="ListParagraph"/>
        <w:ind w:left="0"/>
        <w:rPr>
          <w:color w:val="000000" w:themeColor="text1"/>
        </w:rPr>
      </w:pPr>
      <w:r w:rsidRPr="00F75FF6">
        <w:rPr>
          <w:color w:val="000000" w:themeColor="text1"/>
        </w:rPr>
        <w:tab/>
        <w:t>Staff</w:t>
      </w:r>
      <w:r w:rsidR="007100C7" w:rsidRPr="00F75FF6">
        <w:rPr>
          <w:color w:val="000000" w:themeColor="text1"/>
        </w:rPr>
        <w:t>:</w:t>
      </w:r>
    </w:p>
    <w:p w:rsidR="00073921" w:rsidRPr="00F75FF6" w:rsidRDefault="00AA1F90" w:rsidP="0033160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75FF6">
        <w:rPr>
          <w:color w:val="000000" w:themeColor="text1"/>
        </w:rPr>
        <w:t xml:space="preserve">Sarmad Hussain </w:t>
      </w:r>
    </w:p>
    <w:p w:rsidR="00A61780" w:rsidRDefault="007100C7" w:rsidP="00A61780">
      <w:pPr>
        <w:rPr>
          <w:color w:val="000000" w:themeColor="text1"/>
          <w:u w:val="single"/>
        </w:rPr>
      </w:pPr>
      <w:r w:rsidRPr="00F75FF6">
        <w:rPr>
          <w:color w:val="000000" w:themeColor="text1"/>
          <w:u w:val="single"/>
        </w:rPr>
        <w:t>Meeting Notes</w:t>
      </w:r>
    </w:p>
    <w:p w:rsidR="009D4314" w:rsidRPr="009D4314" w:rsidRDefault="009D4314" w:rsidP="007464EC">
      <w:pPr>
        <w:rPr>
          <w:color w:val="000000" w:themeColor="text1"/>
        </w:rPr>
      </w:pPr>
      <w:r>
        <w:rPr>
          <w:color w:val="000000" w:themeColor="text1"/>
        </w:rPr>
        <w:t xml:space="preserve">The WG members </w:t>
      </w:r>
      <w:r w:rsidR="007464EC">
        <w:rPr>
          <w:color w:val="000000" w:themeColor="text1"/>
        </w:rPr>
        <w:t>continued the discussion on the document and the recommendations to be proposed for public comment.</w:t>
      </w:r>
    </w:p>
    <w:p w:rsidR="0047143E" w:rsidRPr="0025498E" w:rsidRDefault="0047143E" w:rsidP="0047143E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Review of recommendations in Section 2.1: Transition</w:t>
      </w:r>
      <w:r w:rsidRPr="00F75FF6">
        <w:rPr>
          <w:b/>
          <w:bCs/>
          <w:color w:val="000000" w:themeColor="text1"/>
        </w:rPr>
        <w:t>.</w:t>
      </w:r>
      <w:r w:rsidRPr="00F75FF6">
        <w:rPr>
          <w:color w:val="000000" w:themeColor="text1"/>
        </w:rPr>
        <w:t xml:space="preserve">    </w:t>
      </w:r>
      <w:r>
        <w:rPr>
          <w:color w:val="000000" w:themeColor="text1"/>
        </w:rPr>
        <w:t>The recommendation suggested by CD was tabled until he can join and explain it further.</w:t>
      </w:r>
    </w:p>
    <w:p w:rsidR="0025498E" w:rsidRPr="007A3B34" w:rsidRDefault="0025498E" w:rsidP="0025498E">
      <w:pPr>
        <w:pStyle w:val="ListParagraph"/>
        <w:rPr>
          <w:b/>
          <w:bCs/>
          <w:color w:val="000000" w:themeColor="text1"/>
        </w:rPr>
      </w:pPr>
    </w:p>
    <w:p w:rsidR="006661AE" w:rsidRPr="0025498E" w:rsidRDefault="007464EC" w:rsidP="004D5A6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Section 2.2: Terminology</w:t>
      </w:r>
      <w:r w:rsidR="00775D67">
        <w:rPr>
          <w:b/>
          <w:bCs/>
          <w:color w:val="000000" w:themeColor="text1"/>
        </w:rPr>
        <w:t xml:space="preserve">.  </w:t>
      </w:r>
      <w:r w:rsidR="00775D67">
        <w:rPr>
          <w:color w:val="000000" w:themeColor="text1"/>
        </w:rPr>
        <w:t xml:space="preserve">As the WG is considering two </w:t>
      </w:r>
      <w:r w:rsidR="004D5A6B">
        <w:rPr>
          <w:color w:val="000000" w:themeColor="text1"/>
        </w:rPr>
        <w:t xml:space="preserve">main </w:t>
      </w:r>
      <w:r w:rsidR="00775D67">
        <w:rPr>
          <w:color w:val="000000" w:themeColor="text1"/>
        </w:rPr>
        <w:t xml:space="preserve">options, one to only address relevant glossary items used in the document and other to make </w:t>
      </w:r>
      <w:r w:rsidR="004D5A6B">
        <w:rPr>
          <w:color w:val="000000" w:themeColor="text1"/>
        </w:rPr>
        <w:t>a</w:t>
      </w:r>
      <w:r w:rsidR="00775D67">
        <w:rPr>
          <w:color w:val="000000" w:themeColor="text1"/>
        </w:rPr>
        <w:t xml:space="preserve"> list of broader relevant terminology and recommending it for its consistent use by the community, it was decided to document </w:t>
      </w:r>
      <w:r w:rsidR="004D5A6B">
        <w:rPr>
          <w:color w:val="000000" w:themeColor="text1"/>
        </w:rPr>
        <w:t>these</w:t>
      </w:r>
      <w:r w:rsidR="00775D67">
        <w:rPr>
          <w:color w:val="000000" w:themeColor="text1"/>
        </w:rPr>
        <w:t xml:space="preserve"> options for the community feedback.  It was also suggested that beyond </w:t>
      </w:r>
      <w:r w:rsidR="00757743">
        <w:rPr>
          <w:color w:val="000000" w:themeColor="text1"/>
        </w:rPr>
        <w:t>deciding on this</w:t>
      </w:r>
      <w:r w:rsidR="00775D67">
        <w:rPr>
          <w:color w:val="000000" w:themeColor="text1"/>
        </w:rPr>
        <w:t xml:space="preserve"> process, the actual list of terminology should be finalized towards the end of the work, to ensure that all relevant terms are identified</w:t>
      </w:r>
      <w:r w:rsidR="00757743">
        <w:rPr>
          <w:color w:val="000000" w:themeColor="text1"/>
        </w:rPr>
        <w:t xml:space="preserve"> and included</w:t>
      </w:r>
      <w:r w:rsidR="00775D67">
        <w:rPr>
          <w:color w:val="000000" w:themeColor="text1"/>
        </w:rPr>
        <w:t>.</w:t>
      </w:r>
    </w:p>
    <w:p w:rsidR="0025498E" w:rsidRDefault="0025498E" w:rsidP="0025498E">
      <w:pPr>
        <w:pStyle w:val="ListParagraph"/>
        <w:rPr>
          <w:b/>
          <w:bCs/>
          <w:color w:val="000000" w:themeColor="text1"/>
        </w:rPr>
      </w:pPr>
    </w:p>
    <w:p w:rsidR="007A3B34" w:rsidRPr="0025498E" w:rsidRDefault="0047143E" w:rsidP="00757743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Section 2.3: Format of IDN Tables</w:t>
      </w:r>
      <w:r w:rsidR="007A3B34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The WG suggested keeping the current recommendation 3 </w:t>
      </w:r>
      <w:r w:rsidR="004D5A6B">
        <w:rPr>
          <w:color w:val="000000" w:themeColor="text1"/>
        </w:rPr>
        <w:t xml:space="preserve">but tailoring it to refer it to the new LGR format.  The WG members discussed whether the new LGR format should be recommended as </w:t>
      </w:r>
      <w:r w:rsidR="00B00884">
        <w:rPr>
          <w:color w:val="000000" w:themeColor="text1"/>
        </w:rPr>
        <w:t>just an</w:t>
      </w:r>
      <w:r w:rsidR="004D5A6B">
        <w:rPr>
          <w:color w:val="000000" w:themeColor="text1"/>
        </w:rPr>
        <w:t xml:space="preserve"> alternate</w:t>
      </w:r>
      <w:r w:rsidR="00B00884">
        <w:rPr>
          <w:color w:val="000000" w:themeColor="text1"/>
        </w:rPr>
        <w:t xml:space="preserve"> to existing ones</w:t>
      </w:r>
      <w:r w:rsidR="004D5A6B">
        <w:rPr>
          <w:color w:val="000000" w:themeColor="text1"/>
        </w:rPr>
        <w:t xml:space="preserve"> or </w:t>
      </w:r>
      <w:r w:rsidR="00B00884">
        <w:rPr>
          <w:color w:val="000000" w:themeColor="text1"/>
        </w:rPr>
        <w:t>it should be required as the only format going forward</w:t>
      </w:r>
      <w:r w:rsidR="004D5A6B">
        <w:rPr>
          <w:color w:val="000000" w:themeColor="text1"/>
        </w:rPr>
        <w:t>.  It was suggested that the recommendation should be grandfather previous IDN tables but new IDN tables must be i</w:t>
      </w:r>
      <w:r w:rsidR="00B00884">
        <w:rPr>
          <w:color w:val="000000" w:themeColor="text1"/>
        </w:rPr>
        <w:t xml:space="preserve">n the LGR format.  The WG members agreed to discuss further between the two alternative possibilities </w:t>
      </w:r>
      <w:r w:rsidR="00757743">
        <w:rPr>
          <w:color w:val="000000" w:themeColor="text1"/>
        </w:rPr>
        <w:t xml:space="preserve">after </w:t>
      </w:r>
      <w:r w:rsidR="00B00884">
        <w:rPr>
          <w:color w:val="000000" w:themeColor="text1"/>
        </w:rPr>
        <w:t xml:space="preserve">DT </w:t>
      </w:r>
      <w:r w:rsidR="00757743">
        <w:rPr>
          <w:color w:val="000000" w:themeColor="text1"/>
        </w:rPr>
        <w:t>has suggested text for the recommendation.</w:t>
      </w:r>
    </w:p>
    <w:p w:rsidR="0025498E" w:rsidRPr="00B00884" w:rsidRDefault="0025498E" w:rsidP="0025498E">
      <w:pPr>
        <w:pStyle w:val="ListParagraph"/>
        <w:rPr>
          <w:b/>
          <w:bCs/>
          <w:color w:val="000000" w:themeColor="text1"/>
        </w:rPr>
      </w:pPr>
    </w:p>
    <w:p w:rsidR="00350A9C" w:rsidRPr="00350A9C" w:rsidRDefault="007068CB" w:rsidP="00DC7261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Section 2.4: Consistency of IDN Tables.  </w:t>
      </w:r>
      <w:r>
        <w:rPr>
          <w:color w:val="000000" w:themeColor="text1"/>
        </w:rPr>
        <w:t xml:space="preserve">It was noted that </w:t>
      </w:r>
      <w:r w:rsidR="00DC7261">
        <w:rPr>
          <w:color w:val="000000" w:themeColor="text1"/>
        </w:rPr>
        <w:t>in addition to</w:t>
      </w:r>
      <w:r>
        <w:rPr>
          <w:color w:val="000000" w:themeColor="text1"/>
        </w:rPr>
        <w:t xml:space="preserve"> the consistency in format (in Section 2.3) this section focuses on consistency of substance.  Current recommendation 4 will be updated by the WG to include reference to the LGR format.  </w:t>
      </w:r>
    </w:p>
    <w:p w:rsidR="00350A9C" w:rsidRDefault="00B02826" w:rsidP="00DC7261">
      <w:pPr>
        <w:pStyle w:val="ListParagraph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0E47F2">
        <w:rPr>
          <w:color w:val="000000" w:themeColor="text1"/>
        </w:rPr>
        <w:t>WG determined to</w:t>
      </w:r>
      <w:r w:rsidR="00350A9C">
        <w:rPr>
          <w:color w:val="000000" w:themeColor="text1"/>
        </w:rPr>
        <w:t xml:space="preserve"> keep the </w:t>
      </w:r>
      <w:r w:rsidR="000E47F2">
        <w:rPr>
          <w:color w:val="000000" w:themeColor="text1"/>
        </w:rPr>
        <w:t xml:space="preserve">current </w:t>
      </w:r>
      <w:r w:rsidR="00350A9C">
        <w:rPr>
          <w:color w:val="000000" w:themeColor="text1"/>
        </w:rPr>
        <w:t>recommendation</w:t>
      </w:r>
      <w:r w:rsidR="000E47F2">
        <w:rPr>
          <w:color w:val="000000" w:themeColor="text1"/>
        </w:rPr>
        <w:t xml:space="preserve"> 6</w:t>
      </w:r>
      <w:r w:rsidR="00350A9C">
        <w:rPr>
          <w:color w:val="000000" w:themeColor="text1"/>
        </w:rPr>
        <w:t>,</w:t>
      </w:r>
      <w:r w:rsidR="000E47F2">
        <w:rPr>
          <w:color w:val="000000" w:themeColor="text1"/>
        </w:rPr>
        <w:t xml:space="preserve"> though after some </w:t>
      </w:r>
      <w:r w:rsidR="00DC7261">
        <w:rPr>
          <w:color w:val="000000" w:themeColor="text1"/>
        </w:rPr>
        <w:t>alterations as the</w:t>
      </w:r>
      <w:r w:rsidR="000E47F2">
        <w:rPr>
          <w:color w:val="000000" w:themeColor="text1"/>
        </w:rPr>
        <w:t xml:space="preserve"> new LGR format</w:t>
      </w:r>
      <w:r w:rsidR="00DC7261">
        <w:rPr>
          <w:color w:val="000000" w:themeColor="text1"/>
        </w:rPr>
        <w:t xml:space="preserve"> may contain some to the information currently mentioned explicitly to be separately documented, e.g., </w:t>
      </w:r>
      <w:r w:rsidR="00350A9C">
        <w:rPr>
          <w:color w:val="000000" w:themeColor="text1"/>
        </w:rPr>
        <w:t xml:space="preserve">the </w:t>
      </w:r>
      <w:r w:rsidR="000E47F2">
        <w:rPr>
          <w:color w:val="000000" w:themeColor="text1"/>
        </w:rPr>
        <w:t xml:space="preserve">references </w:t>
      </w:r>
      <w:r w:rsidR="00350A9C">
        <w:rPr>
          <w:color w:val="000000" w:themeColor="text1"/>
        </w:rPr>
        <w:t xml:space="preserve">may be included in the LGR itself.  </w:t>
      </w:r>
    </w:p>
    <w:p w:rsidR="00B00884" w:rsidRDefault="00B02826" w:rsidP="00350A9C">
      <w:pPr>
        <w:pStyle w:val="ListParagraph"/>
        <w:rPr>
          <w:color w:val="000000" w:themeColor="text1"/>
        </w:rPr>
      </w:pPr>
      <w:r>
        <w:rPr>
          <w:color w:val="000000" w:themeColor="text1"/>
        </w:rPr>
        <w:tab/>
      </w:r>
      <w:r w:rsidR="007068CB">
        <w:rPr>
          <w:color w:val="000000" w:themeColor="text1"/>
        </w:rPr>
        <w:t xml:space="preserve">For current recommendation 9, reference to root zone LGR </w:t>
      </w:r>
      <w:r w:rsidR="000E47F2">
        <w:rPr>
          <w:color w:val="000000" w:themeColor="text1"/>
        </w:rPr>
        <w:t xml:space="preserve">work </w:t>
      </w:r>
      <w:r w:rsidR="007068CB">
        <w:rPr>
          <w:color w:val="000000" w:themeColor="text1"/>
        </w:rPr>
        <w:t xml:space="preserve">and generation panels should be added.  </w:t>
      </w:r>
    </w:p>
    <w:p w:rsidR="000E47F2" w:rsidRDefault="00B02826" w:rsidP="00DC7261">
      <w:pPr>
        <w:pStyle w:val="ListParagrap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 w:rsidR="000E47F2">
        <w:rPr>
          <w:color w:val="000000" w:themeColor="text1"/>
        </w:rPr>
        <w:t xml:space="preserve">The topic of reference LGRs for the second level being developed by ICANN was brought </w:t>
      </w:r>
      <w:r w:rsidR="00DC7261">
        <w:rPr>
          <w:color w:val="000000" w:themeColor="text1"/>
        </w:rPr>
        <w:t xml:space="preserve">up </w:t>
      </w:r>
      <w:r w:rsidR="000E47F2">
        <w:rPr>
          <w:color w:val="000000" w:themeColor="text1"/>
        </w:rPr>
        <w:t xml:space="preserve">for discussion.  The WG agreed to review the topic once the LGRs are published for public comment and then draft an appropriate recommendation.  However, it was noted that a separate recommendation should be considered for this purpose.  This recommendation should also include some text on what </w:t>
      </w:r>
      <w:r w:rsidR="0071526E">
        <w:rPr>
          <w:color w:val="000000" w:themeColor="text1"/>
        </w:rPr>
        <w:t>items</w:t>
      </w:r>
      <w:r w:rsidR="000E47F2">
        <w:rPr>
          <w:color w:val="000000" w:themeColor="text1"/>
        </w:rPr>
        <w:t xml:space="preserve"> should a registry </w:t>
      </w:r>
      <w:r w:rsidR="0071526E">
        <w:rPr>
          <w:color w:val="000000" w:themeColor="text1"/>
        </w:rPr>
        <w:t>consider</w:t>
      </w:r>
      <w:r w:rsidR="000E47F2">
        <w:rPr>
          <w:color w:val="000000" w:themeColor="text1"/>
        </w:rPr>
        <w:t xml:space="preserve"> </w:t>
      </w:r>
      <w:r w:rsidR="00DC7261">
        <w:rPr>
          <w:color w:val="000000" w:themeColor="text1"/>
        </w:rPr>
        <w:t>if it intends to</w:t>
      </w:r>
      <w:r w:rsidR="000E47F2">
        <w:rPr>
          <w:color w:val="000000" w:themeColor="text1"/>
        </w:rPr>
        <w:t xml:space="preserve"> deviate from these reference</w:t>
      </w:r>
      <w:r w:rsidR="002648C2">
        <w:rPr>
          <w:color w:val="000000" w:themeColor="text1"/>
        </w:rPr>
        <w:t xml:space="preserve"> LGR</w:t>
      </w:r>
      <w:r w:rsidR="000E47F2">
        <w:rPr>
          <w:color w:val="000000" w:themeColor="text1"/>
        </w:rPr>
        <w:t xml:space="preserve">s.  </w:t>
      </w:r>
    </w:p>
    <w:p w:rsidR="00E4365A" w:rsidRDefault="00B02826" w:rsidP="0071526E">
      <w:pPr>
        <w:pStyle w:val="ListParagraph"/>
        <w:rPr>
          <w:color w:val="000000" w:themeColor="text1"/>
        </w:rPr>
      </w:pPr>
      <w:r>
        <w:rPr>
          <w:color w:val="000000" w:themeColor="text1"/>
        </w:rPr>
        <w:tab/>
      </w:r>
      <w:r w:rsidR="00E4365A">
        <w:rPr>
          <w:color w:val="000000" w:themeColor="text1"/>
        </w:rPr>
        <w:t>Current recommendations 6 and 9 will be reviewed and reworded after the reference LGRs are published and available for review by the WG.</w:t>
      </w:r>
    </w:p>
    <w:p w:rsidR="0025498E" w:rsidRDefault="0025498E" w:rsidP="0071526E">
      <w:pPr>
        <w:pStyle w:val="ListParagraph"/>
        <w:rPr>
          <w:color w:val="000000" w:themeColor="text1"/>
        </w:rPr>
      </w:pPr>
    </w:p>
    <w:p w:rsidR="00E4365A" w:rsidRPr="00F71422" w:rsidRDefault="00E4365A" w:rsidP="000362B2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Section 2.5: IDN Variants.  </w:t>
      </w:r>
      <w:r w:rsidR="00B02826">
        <w:rPr>
          <w:color w:val="000000" w:themeColor="text1"/>
        </w:rPr>
        <w:t xml:space="preserve">The WG noted that the section lists multiple dimensions related to the IDN variants.  </w:t>
      </w:r>
      <w:r w:rsidR="002648C2">
        <w:rPr>
          <w:color w:val="000000" w:themeColor="text1"/>
        </w:rPr>
        <w:t xml:space="preserve">It was decided to first determine the relevant dimensions and </w:t>
      </w:r>
      <w:r w:rsidR="00B02826">
        <w:rPr>
          <w:color w:val="000000" w:themeColor="text1"/>
        </w:rPr>
        <w:t>then</w:t>
      </w:r>
      <w:r w:rsidR="002648C2">
        <w:rPr>
          <w:color w:val="000000" w:themeColor="text1"/>
        </w:rPr>
        <w:t>,</w:t>
      </w:r>
      <w:r w:rsidR="00B02826">
        <w:rPr>
          <w:color w:val="000000" w:themeColor="text1"/>
        </w:rPr>
        <w:t xml:space="preserve"> based on the short-list, </w:t>
      </w:r>
      <w:r w:rsidR="002648C2">
        <w:rPr>
          <w:color w:val="000000" w:themeColor="text1"/>
        </w:rPr>
        <w:t>suggest corresponding</w:t>
      </w:r>
      <w:r w:rsidR="00B02826">
        <w:rPr>
          <w:color w:val="000000" w:themeColor="text1"/>
        </w:rPr>
        <w:t xml:space="preserve"> recommendations.</w:t>
      </w:r>
      <w:r w:rsidR="00F71422">
        <w:rPr>
          <w:color w:val="000000" w:themeColor="text1"/>
        </w:rPr>
        <w:t xml:space="preserve">  The WG agreed to develop a list of </w:t>
      </w:r>
      <w:r w:rsidR="000362B2">
        <w:rPr>
          <w:color w:val="000000" w:themeColor="text1"/>
        </w:rPr>
        <w:t>relevant dimensions</w:t>
      </w:r>
      <w:r w:rsidR="00F71422">
        <w:rPr>
          <w:color w:val="000000" w:themeColor="text1"/>
        </w:rPr>
        <w:t xml:space="preserve"> and layout options to address these items for further discussion.</w:t>
      </w:r>
    </w:p>
    <w:p w:rsidR="00F71422" w:rsidRPr="00F71422" w:rsidRDefault="00F71422" w:rsidP="00F71422">
      <w:pPr>
        <w:pStyle w:val="ListParagraph"/>
        <w:rPr>
          <w:b/>
          <w:bCs/>
          <w:color w:val="000000" w:themeColor="text1"/>
        </w:rPr>
      </w:pPr>
    </w:p>
    <w:p w:rsidR="00F71422" w:rsidRPr="00350A9C" w:rsidRDefault="00F71422" w:rsidP="00F00A44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Face to face meeting at Helsinki.  </w:t>
      </w:r>
      <w:r w:rsidR="00FB5032">
        <w:rPr>
          <w:color w:val="000000" w:themeColor="text1"/>
        </w:rPr>
        <w:t xml:space="preserve">Staff apprised that no face to face meeting is currently scheduled </w:t>
      </w:r>
      <w:r w:rsidR="0021486A">
        <w:rPr>
          <w:color w:val="000000" w:themeColor="text1"/>
        </w:rPr>
        <w:t xml:space="preserve">at Helsinki </w:t>
      </w:r>
      <w:r w:rsidR="00FB5032">
        <w:rPr>
          <w:color w:val="000000" w:themeColor="text1"/>
        </w:rPr>
        <w:t xml:space="preserve">due to the meeting’s focus on policy.  </w:t>
      </w:r>
      <w:r w:rsidR="00F00A44">
        <w:rPr>
          <w:color w:val="000000" w:themeColor="text1"/>
        </w:rPr>
        <w:t>Based on WG’s request, s</w:t>
      </w:r>
      <w:r w:rsidR="00FB5032">
        <w:rPr>
          <w:color w:val="000000" w:themeColor="text1"/>
        </w:rPr>
        <w:t xml:space="preserve">taff will look at the possibility of organizing a meeting (2-3 pm (or alternate) Helsinki time on 30 June).  </w:t>
      </w:r>
    </w:p>
    <w:p w:rsidR="00C644D6" w:rsidRDefault="00C644D6" w:rsidP="00C644D6">
      <w:pPr>
        <w:pStyle w:val="ListParagraph"/>
        <w:ind w:left="0"/>
        <w:rPr>
          <w:b/>
          <w:bCs/>
          <w:color w:val="000000" w:themeColor="text1"/>
        </w:rPr>
      </w:pPr>
    </w:p>
    <w:p w:rsidR="00C644D6" w:rsidRPr="004E1C2C" w:rsidRDefault="00C644D6" w:rsidP="00C644D6">
      <w:pPr>
        <w:rPr>
          <w:b/>
          <w:bCs/>
          <w:color w:val="000000" w:themeColor="text1"/>
        </w:rPr>
      </w:pPr>
      <w:r w:rsidRPr="004E1C2C">
        <w:rPr>
          <w:u w:val="single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7710"/>
        <w:gridCol w:w="836"/>
      </w:tblGrid>
      <w:tr w:rsidR="00C644D6" w:rsidRPr="0083537E" w:rsidTr="006529C2">
        <w:tc>
          <w:tcPr>
            <w:tcW w:w="804" w:type="dxa"/>
          </w:tcPr>
          <w:p w:rsidR="00C644D6" w:rsidRPr="0083537E" w:rsidRDefault="00C644D6" w:rsidP="006529C2">
            <w:pPr>
              <w:rPr>
                <w:b/>
                <w:bCs/>
              </w:rPr>
            </w:pPr>
            <w:r w:rsidRPr="0083537E">
              <w:rPr>
                <w:b/>
                <w:bCs/>
              </w:rPr>
              <w:t>S. No.</w:t>
            </w:r>
          </w:p>
        </w:tc>
        <w:tc>
          <w:tcPr>
            <w:tcW w:w="7710" w:type="dxa"/>
          </w:tcPr>
          <w:p w:rsidR="00C644D6" w:rsidRPr="0083537E" w:rsidRDefault="00C644D6" w:rsidP="006529C2">
            <w:pPr>
              <w:rPr>
                <w:b/>
                <w:bCs/>
              </w:rPr>
            </w:pPr>
            <w:r w:rsidRPr="0083537E">
              <w:rPr>
                <w:b/>
                <w:bCs/>
              </w:rPr>
              <w:t xml:space="preserve">Action Items </w:t>
            </w:r>
          </w:p>
        </w:tc>
        <w:tc>
          <w:tcPr>
            <w:tcW w:w="836" w:type="dxa"/>
          </w:tcPr>
          <w:p w:rsidR="00C644D6" w:rsidRPr="0083537E" w:rsidRDefault="00C644D6" w:rsidP="006529C2">
            <w:pPr>
              <w:rPr>
                <w:b/>
                <w:bCs/>
              </w:rPr>
            </w:pPr>
            <w:r w:rsidRPr="0083537E">
              <w:rPr>
                <w:b/>
                <w:bCs/>
              </w:rPr>
              <w:t>Owner</w:t>
            </w:r>
          </w:p>
        </w:tc>
      </w:tr>
      <w:tr w:rsidR="00C644D6" w:rsidTr="006529C2">
        <w:tc>
          <w:tcPr>
            <w:tcW w:w="804" w:type="dxa"/>
          </w:tcPr>
          <w:p w:rsidR="00C644D6" w:rsidRDefault="00C644D6" w:rsidP="006529C2">
            <w:r>
              <w:t>1</w:t>
            </w:r>
          </w:p>
        </w:tc>
        <w:tc>
          <w:tcPr>
            <w:tcW w:w="7710" w:type="dxa"/>
          </w:tcPr>
          <w:p w:rsidR="00C644D6" w:rsidRPr="0080673C" w:rsidRDefault="00C644D6" w:rsidP="00C644D6">
            <w:pPr>
              <w:rPr>
                <w:i/>
                <w:iCs/>
              </w:rPr>
            </w:pPr>
            <w:r>
              <w:rPr>
                <w:i/>
                <w:iCs/>
              </w:rPr>
              <w:t>Staff to update the draft Guidelines document based on the discussion and circulate</w:t>
            </w:r>
          </w:p>
        </w:tc>
        <w:tc>
          <w:tcPr>
            <w:tcW w:w="836" w:type="dxa"/>
          </w:tcPr>
          <w:p w:rsidR="00C644D6" w:rsidRDefault="00C644D6" w:rsidP="006529C2">
            <w:r>
              <w:t>SH</w:t>
            </w:r>
          </w:p>
        </w:tc>
      </w:tr>
      <w:tr w:rsidR="003D1C6C" w:rsidTr="006529C2">
        <w:tc>
          <w:tcPr>
            <w:tcW w:w="804" w:type="dxa"/>
          </w:tcPr>
          <w:p w:rsidR="003D1C6C" w:rsidRDefault="003D1C6C" w:rsidP="006529C2">
            <w:r>
              <w:t>2</w:t>
            </w:r>
          </w:p>
        </w:tc>
        <w:tc>
          <w:tcPr>
            <w:tcW w:w="7710" w:type="dxa"/>
          </w:tcPr>
          <w:p w:rsidR="003D1C6C" w:rsidRDefault="003D1C6C" w:rsidP="007068C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Suggest updated text for current recommendation 3 in section </w:t>
            </w:r>
            <w:r w:rsidR="007068CB">
              <w:rPr>
                <w:i/>
                <w:iCs/>
              </w:rPr>
              <w:t>2</w:t>
            </w:r>
            <w:r>
              <w:rPr>
                <w:i/>
                <w:iCs/>
              </w:rPr>
              <w:t>.</w:t>
            </w:r>
            <w:r w:rsidR="007068CB">
              <w:rPr>
                <w:i/>
                <w:iCs/>
              </w:rPr>
              <w:t>3 to include reference to the LGR f</w:t>
            </w:r>
            <w:r>
              <w:rPr>
                <w:i/>
                <w:iCs/>
              </w:rPr>
              <w:t>ormat</w:t>
            </w:r>
          </w:p>
        </w:tc>
        <w:tc>
          <w:tcPr>
            <w:tcW w:w="836" w:type="dxa"/>
          </w:tcPr>
          <w:p w:rsidR="003D1C6C" w:rsidRDefault="003D1C6C" w:rsidP="006529C2">
            <w:r>
              <w:t>DT</w:t>
            </w:r>
          </w:p>
        </w:tc>
      </w:tr>
      <w:tr w:rsidR="007068CB" w:rsidTr="006529C2">
        <w:tc>
          <w:tcPr>
            <w:tcW w:w="804" w:type="dxa"/>
          </w:tcPr>
          <w:p w:rsidR="007068CB" w:rsidRDefault="007068CB" w:rsidP="006529C2">
            <w:r>
              <w:t>3</w:t>
            </w:r>
          </w:p>
        </w:tc>
        <w:tc>
          <w:tcPr>
            <w:tcW w:w="7710" w:type="dxa"/>
          </w:tcPr>
          <w:p w:rsidR="007068CB" w:rsidRDefault="007068CB" w:rsidP="00C644D6">
            <w:pPr>
              <w:rPr>
                <w:i/>
                <w:iCs/>
              </w:rPr>
            </w:pPr>
            <w:r>
              <w:rPr>
                <w:i/>
                <w:iCs/>
              </w:rPr>
              <w:t>Suggest updated text for current recommendation 4 in Section 2.4 to include reference to the LGR format</w:t>
            </w:r>
          </w:p>
        </w:tc>
        <w:tc>
          <w:tcPr>
            <w:tcW w:w="836" w:type="dxa"/>
          </w:tcPr>
          <w:p w:rsidR="007068CB" w:rsidRDefault="007068CB" w:rsidP="006529C2">
            <w:r>
              <w:t>DT</w:t>
            </w:r>
          </w:p>
        </w:tc>
      </w:tr>
      <w:tr w:rsidR="00F71422" w:rsidTr="006529C2">
        <w:tc>
          <w:tcPr>
            <w:tcW w:w="804" w:type="dxa"/>
          </w:tcPr>
          <w:p w:rsidR="00F71422" w:rsidRDefault="00F71422" w:rsidP="006529C2">
            <w:r>
              <w:t>4</w:t>
            </w:r>
          </w:p>
        </w:tc>
        <w:tc>
          <w:tcPr>
            <w:tcW w:w="7710" w:type="dxa"/>
          </w:tcPr>
          <w:p w:rsidR="00F71422" w:rsidRDefault="00F71422" w:rsidP="000362B2">
            <w:pPr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  <w:r w:rsidRPr="00F71422">
              <w:rPr>
                <w:i/>
                <w:iCs/>
              </w:rPr>
              <w:t xml:space="preserve">evelop a list of </w:t>
            </w:r>
            <w:r w:rsidR="000362B2">
              <w:rPr>
                <w:i/>
                <w:iCs/>
              </w:rPr>
              <w:t>relevant dimensions</w:t>
            </w:r>
            <w:r w:rsidRPr="00F71422">
              <w:rPr>
                <w:i/>
                <w:iCs/>
              </w:rPr>
              <w:t xml:space="preserve"> and lay</w:t>
            </w:r>
            <w:r w:rsidR="006249AB">
              <w:rPr>
                <w:i/>
                <w:iCs/>
              </w:rPr>
              <w:t xml:space="preserve"> </w:t>
            </w:r>
            <w:bookmarkStart w:id="0" w:name="_GoBack"/>
            <w:bookmarkEnd w:id="0"/>
            <w:r w:rsidRPr="00F71422">
              <w:rPr>
                <w:i/>
                <w:iCs/>
              </w:rPr>
              <w:t xml:space="preserve">out options to address these </w:t>
            </w:r>
            <w:r>
              <w:rPr>
                <w:i/>
                <w:iCs/>
              </w:rPr>
              <w:t>for Section 2.5</w:t>
            </w:r>
          </w:p>
        </w:tc>
        <w:tc>
          <w:tcPr>
            <w:tcW w:w="836" w:type="dxa"/>
          </w:tcPr>
          <w:p w:rsidR="00F71422" w:rsidRDefault="00F71422" w:rsidP="006529C2">
            <w:r>
              <w:t>EC</w:t>
            </w:r>
          </w:p>
        </w:tc>
      </w:tr>
      <w:tr w:rsidR="00F71422" w:rsidTr="006529C2">
        <w:tc>
          <w:tcPr>
            <w:tcW w:w="804" w:type="dxa"/>
          </w:tcPr>
          <w:p w:rsidR="00F71422" w:rsidRDefault="00F71422" w:rsidP="006529C2">
            <w:r>
              <w:t>5</w:t>
            </w:r>
          </w:p>
        </w:tc>
        <w:tc>
          <w:tcPr>
            <w:tcW w:w="7710" w:type="dxa"/>
          </w:tcPr>
          <w:p w:rsidR="00F71422" w:rsidRDefault="00F71422" w:rsidP="00C644D6">
            <w:pPr>
              <w:rPr>
                <w:i/>
                <w:iCs/>
              </w:rPr>
            </w:pPr>
            <w:r>
              <w:rPr>
                <w:i/>
                <w:iCs/>
              </w:rPr>
              <w:t>Staff to investigate the feasibility of a meeting in Helsinki</w:t>
            </w:r>
          </w:p>
        </w:tc>
        <w:tc>
          <w:tcPr>
            <w:tcW w:w="836" w:type="dxa"/>
          </w:tcPr>
          <w:p w:rsidR="00F71422" w:rsidRDefault="00F71422" w:rsidP="006529C2">
            <w:r>
              <w:t>SH</w:t>
            </w:r>
          </w:p>
        </w:tc>
      </w:tr>
    </w:tbl>
    <w:p w:rsidR="00C644D6" w:rsidRDefault="00C644D6" w:rsidP="00C644D6">
      <w:pPr>
        <w:pStyle w:val="ListParagraph"/>
      </w:pPr>
    </w:p>
    <w:p w:rsidR="00C644D6" w:rsidRPr="00F75FF6" w:rsidRDefault="00C644D6" w:rsidP="00C644D6">
      <w:pPr>
        <w:pStyle w:val="ListParagraph"/>
        <w:ind w:left="0"/>
        <w:rPr>
          <w:b/>
          <w:bCs/>
          <w:color w:val="000000" w:themeColor="text1"/>
        </w:rPr>
      </w:pPr>
    </w:p>
    <w:sectPr w:rsidR="00C644D6" w:rsidRPr="00F75F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0D" w:rsidRDefault="002A5F0D" w:rsidP="00876CE6">
      <w:pPr>
        <w:spacing w:after="0" w:line="240" w:lineRule="auto"/>
      </w:pPr>
      <w:r>
        <w:separator/>
      </w:r>
    </w:p>
  </w:endnote>
  <w:endnote w:type="continuationSeparator" w:id="0">
    <w:p w:rsidR="002A5F0D" w:rsidRDefault="002A5F0D" w:rsidP="0087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260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EED" w:rsidRDefault="00F97E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9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EED" w:rsidRDefault="00F97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0D" w:rsidRDefault="002A5F0D" w:rsidP="00876CE6">
      <w:pPr>
        <w:spacing w:after="0" w:line="240" w:lineRule="auto"/>
      </w:pPr>
      <w:r>
        <w:separator/>
      </w:r>
    </w:p>
  </w:footnote>
  <w:footnote w:type="continuationSeparator" w:id="0">
    <w:p w:rsidR="002A5F0D" w:rsidRDefault="002A5F0D" w:rsidP="0087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6E8"/>
    <w:multiLevelType w:val="hybridMultilevel"/>
    <w:tmpl w:val="30662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75FA"/>
    <w:multiLevelType w:val="hybridMultilevel"/>
    <w:tmpl w:val="FE72F9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C319A2"/>
    <w:multiLevelType w:val="hybridMultilevel"/>
    <w:tmpl w:val="9BDE3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A4225"/>
    <w:multiLevelType w:val="hybridMultilevel"/>
    <w:tmpl w:val="FE72F9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05130B"/>
    <w:multiLevelType w:val="hybridMultilevel"/>
    <w:tmpl w:val="84FC4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E7147F"/>
    <w:multiLevelType w:val="hybridMultilevel"/>
    <w:tmpl w:val="51EC2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E47650"/>
    <w:multiLevelType w:val="hybridMultilevel"/>
    <w:tmpl w:val="6BCE29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D17E22"/>
    <w:multiLevelType w:val="hybridMultilevel"/>
    <w:tmpl w:val="54EAE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385E74"/>
    <w:multiLevelType w:val="hybridMultilevel"/>
    <w:tmpl w:val="51EC2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F9678A"/>
    <w:multiLevelType w:val="hybridMultilevel"/>
    <w:tmpl w:val="337E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FA"/>
    <w:rsid w:val="00032989"/>
    <w:rsid w:val="000362B2"/>
    <w:rsid w:val="000462EA"/>
    <w:rsid w:val="00065C6E"/>
    <w:rsid w:val="00073921"/>
    <w:rsid w:val="00075303"/>
    <w:rsid w:val="0008294B"/>
    <w:rsid w:val="00096556"/>
    <w:rsid w:val="000A0618"/>
    <w:rsid w:val="000B0252"/>
    <w:rsid w:val="000C12C1"/>
    <w:rsid w:val="000C61EE"/>
    <w:rsid w:val="000D427F"/>
    <w:rsid w:val="000E3879"/>
    <w:rsid w:val="000E47F2"/>
    <w:rsid w:val="000F5B02"/>
    <w:rsid w:val="000F732B"/>
    <w:rsid w:val="00142922"/>
    <w:rsid w:val="00143C59"/>
    <w:rsid w:val="00154E71"/>
    <w:rsid w:val="001936C7"/>
    <w:rsid w:val="00197FCA"/>
    <w:rsid w:val="001A6A50"/>
    <w:rsid w:val="001D110A"/>
    <w:rsid w:val="001E56F8"/>
    <w:rsid w:val="001F15CB"/>
    <w:rsid w:val="0020153D"/>
    <w:rsid w:val="00212600"/>
    <w:rsid w:val="0021486A"/>
    <w:rsid w:val="0022283C"/>
    <w:rsid w:val="002245AE"/>
    <w:rsid w:val="0025498E"/>
    <w:rsid w:val="002648C2"/>
    <w:rsid w:val="002712E5"/>
    <w:rsid w:val="002815ED"/>
    <w:rsid w:val="002A3D56"/>
    <w:rsid w:val="002A5F0D"/>
    <w:rsid w:val="002B0AB0"/>
    <w:rsid w:val="002B55EC"/>
    <w:rsid w:val="002B61C9"/>
    <w:rsid w:val="002D35E9"/>
    <w:rsid w:val="002F0DF7"/>
    <w:rsid w:val="002F3131"/>
    <w:rsid w:val="002F7CAC"/>
    <w:rsid w:val="00307446"/>
    <w:rsid w:val="00317820"/>
    <w:rsid w:val="00326C70"/>
    <w:rsid w:val="0033160D"/>
    <w:rsid w:val="00333121"/>
    <w:rsid w:val="003421E2"/>
    <w:rsid w:val="00350A9C"/>
    <w:rsid w:val="00373A16"/>
    <w:rsid w:val="003864D8"/>
    <w:rsid w:val="00397D1C"/>
    <w:rsid w:val="003A354F"/>
    <w:rsid w:val="003A5A5E"/>
    <w:rsid w:val="003B2F9B"/>
    <w:rsid w:val="003B7594"/>
    <w:rsid w:val="003C47C6"/>
    <w:rsid w:val="003D0519"/>
    <w:rsid w:val="003D1C6C"/>
    <w:rsid w:val="003D1E49"/>
    <w:rsid w:val="00410A3C"/>
    <w:rsid w:val="0044418C"/>
    <w:rsid w:val="00446290"/>
    <w:rsid w:val="00452BC3"/>
    <w:rsid w:val="00452DC7"/>
    <w:rsid w:val="00454CA4"/>
    <w:rsid w:val="00457464"/>
    <w:rsid w:val="00461FDD"/>
    <w:rsid w:val="0047143E"/>
    <w:rsid w:val="00481CC8"/>
    <w:rsid w:val="00486FA2"/>
    <w:rsid w:val="00492DF1"/>
    <w:rsid w:val="0049346E"/>
    <w:rsid w:val="00493A89"/>
    <w:rsid w:val="004A578F"/>
    <w:rsid w:val="004B4A8A"/>
    <w:rsid w:val="004C3A84"/>
    <w:rsid w:val="004C3ADC"/>
    <w:rsid w:val="004D5A6B"/>
    <w:rsid w:val="004D71CD"/>
    <w:rsid w:val="004D734C"/>
    <w:rsid w:val="004E1C2C"/>
    <w:rsid w:val="004E6F2C"/>
    <w:rsid w:val="00511E91"/>
    <w:rsid w:val="0051491F"/>
    <w:rsid w:val="00515637"/>
    <w:rsid w:val="0052290D"/>
    <w:rsid w:val="00532F11"/>
    <w:rsid w:val="005B35C3"/>
    <w:rsid w:val="005B6815"/>
    <w:rsid w:val="005C3115"/>
    <w:rsid w:val="005D4028"/>
    <w:rsid w:val="005E1272"/>
    <w:rsid w:val="005F488B"/>
    <w:rsid w:val="006027AC"/>
    <w:rsid w:val="006030AF"/>
    <w:rsid w:val="0061064A"/>
    <w:rsid w:val="006249AB"/>
    <w:rsid w:val="0063564E"/>
    <w:rsid w:val="0066220B"/>
    <w:rsid w:val="006661AE"/>
    <w:rsid w:val="00674402"/>
    <w:rsid w:val="00696C91"/>
    <w:rsid w:val="006A00A3"/>
    <w:rsid w:val="006A2E71"/>
    <w:rsid w:val="006C0D8D"/>
    <w:rsid w:val="006D29E8"/>
    <w:rsid w:val="006D56E5"/>
    <w:rsid w:val="007068CB"/>
    <w:rsid w:val="007100C7"/>
    <w:rsid w:val="00712F1A"/>
    <w:rsid w:val="0071526E"/>
    <w:rsid w:val="00731C46"/>
    <w:rsid w:val="00736A05"/>
    <w:rsid w:val="00741271"/>
    <w:rsid w:val="007464EC"/>
    <w:rsid w:val="00757743"/>
    <w:rsid w:val="00764EC7"/>
    <w:rsid w:val="00775D67"/>
    <w:rsid w:val="00786384"/>
    <w:rsid w:val="007A3B34"/>
    <w:rsid w:val="007C1A9C"/>
    <w:rsid w:val="007C3BB9"/>
    <w:rsid w:val="007C74C8"/>
    <w:rsid w:val="007E3472"/>
    <w:rsid w:val="007E6AF4"/>
    <w:rsid w:val="007F4307"/>
    <w:rsid w:val="0080118F"/>
    <w:rsid w:val="0080673C"/>
    <w:rsid w:val="0083537E"/>
    <w:rsid w:val="00846081"/>
    <w:rsid w:val="0085079E"/>
    <w:rsid w:val="00863ADD"/>
    <w:rsid w:val="00874D72"/>
    <w:rsid w:val="00876CE6"/>
    <w:rsid w:val="00880346"/>
    <w:rsid w:val="0089081A"/>
    <w:rsid w:val="008A7140"/>
    <w:rsid w:val="008C711B"/>
    <w:rsid w:val="008D3BFD"/>
    <w:rsid w:val="00915B26"/>
    <w:rsid w:val="00923BE8"/>
    <w:rsid w:val="00934E8D"/>
    <w:rsid w:val="0095743A"/>
    <w:rsid w:val="00964AAB"/>
    <w:rsid w:val="00971DFA"/>
    <w:rsid w:val="009757CD"/>
    <w:rsid w:val="009902ED"/>
    <w:rsid w:val="009A7919"/>
    <w:rsid w:val="009C41AA"/>
    <w:rsid w:val="009D4314"/>
    <w:rsid w:val="009D556D"/>
    <w:rsid w:val="009F68F0"/>
    <w:rsid w:val="00A00CCA"/>
    <w:rsid w:val="00A11ACF"/>
    <w:rsid w:val="00A61780"/>
    <w:rsid w:val="00A6436C"/>
    <w:rsid w:val="00A6678E"/>
    <w:rsid w:val="00AA1F90"/>
    <w:rsid w:val="00AD157C"/>
    <w:rsid w:val="00AD4FEC"/>
    <w:rsid w:val="00AF68D4"/>
    <w:rsid w:val="00B00884"/>
    <w:rsid w:val="00B02826"/>
    <w:rsid w:val="00B14B5B"/>
    <w:rsid w:val="00B310B0"/>
    <w:rsid w:val="00B33490"/>
    <w:rsid w:val="00B335FD"/>
    <w:rsid w:val="00B508DA"/>
    <w:rsid w:val="00B61D6B"/>
    <w:rsid w:val="00B6339C"/>
    <w:rsid w:val="00B86BD4"/>
    <w:rsid w:val="00BC1169"/>
    <w:rsid w:val="00BC4E4A"/>
    <w:rsid w:val="00BF038D"/>
    <w:rsid w:val="00BF7EBE"/>
    <w:rsid w:val="00C0527D"/>
    <w:rsid w:val="00C05501"/>
    <w:rsid w:val="00C067F5"/>
    <w:rsid w:val="00C213E9"/>
    <w:rsid w:val="00C438BD"/>
    <w:rsid w:val="00C644D6"/>
    <w:rsid w:val="00C853FD"/>
    <w:rsid w:val="00C85E99"/>
    <w:rsid w:val="00C93BFD"/>
    <w:rsid w:val="00C97798"/>
    <w:rsid w:val="00CB3155"/>
    <w:rsid w:val="00CB4222"/>
    <w:rsid w:val="00CC5A4E"/>
    <w:rsid w:val="00CE15DD"/>
    <w:rsid w:val="00CF52B0"/>
    <w:rsid w:val="00CF74B5"/>
    <w:rsid w:val="00D0191F"/>
    <w:rsid w:val="00D056A3"/>
    <w:rsid w:val="00D15A8C"/>
    <w:rsid w:val="00D24655"/>
    <w:rsid w:val="00D24A2C"/>
    <w:rsid w:val="00D335E2"/>
    <w:rsid w:val="00D33720"/>
    <w:rsid w:val="00D405A8"/>
    <w:rsid w:val="00D53964"/>
    <w:rsid w:val="00D70363"/>
    <w:rsid w:val="00D94224"/>
    <w:rsid w:val="00DB0CD5"/>
    <w:rsid w:val="00DC3BEB"/>
    <w:rsid w:val="00DC5B96"/>
    <w:rsid w:val="00DC7261"/>
    <w:rsid w:val="00DD2DA3"/>
    <w:rsid w:val="00DD4BC4"/>
    <w:rsid w:val="00DF1470"/>
    <w:rsid w:val="00DF3CBA"/>
    <w:rsid w:val="00DF74FC"/>
    <w:rsid w:val="00E04C4E"/>
    <w:rsid w:val="00E114AB"/>
    <w:rsid w:val="00E1488F"/>
    <w:rsid w:val="00E34B91"/>
    <w:rsid w:val="00E4365A"/>
    <w:rsid w:val="00E44242"/>
    <w:rsid w:val="00E51A12"/>
    <w:rsid w:val="00E61F09"/>
    <w:rsid w:val="00E7535E"/>
    <w:rsid w:val="00E80306"/>
    <w:rsid w:val="00E90C27"/>
    <w:rsid w:val="00EB4C09"/>
    <w:rsid w:val="00EB5AC2"/>
    <w:rsid w:val="00EC279C"/>
    <w:rsid w:val="00ED2B41"/>
    <w:rsid w:val="00EE05D0"/>
    <w:rsid w:val="00F00A44"/>
    <w:rsid w:val="00F012E3"/>
    <w:rsid w:val="00F04826"/>
    <w:rsid w:val="00F159EE"/>
    <w:rsid w:val="00F265D7"/>
    <w:rsid w:val="00F317D4"/>
    <w:rsid w:val="00F40C5A"/>
    <w:rsid w:val="00F53497"/>
    <w:rsid w:val="00F71422"/>
    <w:rsid w:val="00F75FF6"/>
    <w:rsid w:val="00F82306"/>
    <w:rsid w:val="00F97EED"/>
    <w:rsid w:val="00FB5032"/>
    <w:rsid w:val="00FB6D2B"/>
    <w:rsid w:val="00FC1185"/>
    <w:rsid w:val="00FD1916"/>
    <w:rsid w:val="00FE0C6F"/>
    <w:rsid w:val="00FE4ABA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E349C-B34C-464C-8788-1A38E3D3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6C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C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C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6C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CE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6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2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EED"/>
  </w:style>
  <w:style w:type="paragraph" w:styleId="Footer">
    <w:name w:val="footer"/>
    <w:basedOn w:val="Normal"/>
    <w:link w:val="FooterChar"/>
    <w:uiPriority w:val="99"/>
    <w:unhideWhenUsed/>
    <w:rsid w:val="00F9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F9FC-E836-4099-B386-C47FE20D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Hussain</dc:creator>
  <cp:lastModifiedBy>Sarmad Hussain</cp:lastModifiedBy>
  <cp:revision>35</cp:revision>
  <dcterms:created xsi:type="dcterms:W3CDTF">2016-04-22T09:10:00Z</dcterms:created>
  <dcterms:modified xsi:type="dcterms:W3CDTF">2016-06-03T19:03:00Z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