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80" w:rsidRPr="00F75FF6" w:rsidRDefault="00A61780" w:rsidP="00A61780">
      <w:pPr>
        <w:rPr>
          <w:b/>
          <w:bCs/>
          <w:color w:val="000000" w:themeColor="text1"/>
        </w:rPr>
      </w:pPr>
      <w:r w:rsidRPr="00F75FF6">
        <w:rPr>
          <w:b/>
          <w:bCs/>
          <w:color w:val="000000" w:themeColor="text1"/>
        </w:rPr>
        <w:t>IDN Implementation Guidelines (IDNG) Working Group (WG)</w:t>
      </w:r>
    </w:p>
    <w:p w:rsidR="00A61780" w:rsidRPr="00F75FF6" w:rsidRDefault="00A61780" w:rsidP="007026D2">
      <w:pPr>
        <w:rPr>
          <w:b/>
          <w:bCs/>
          <w:color w:val="000000" w:themeColor="text1"/>
        </w:rPr>
      </w:pPr>
      <w:r w:rsidRPr="00F75FF6">
        <w:rPr>
          <w:b/>
          <w:bCs/>
          <w:color w:val="000000" w:themeColor="text1"/>
        </w:rPr>
        <w:t xml:space="preserve">Notes from Meeting on </w:t>
      </w:r>
      <w:r w:rsidR="007026D2">
        <w:rPr>
          <w:b/>
          <w:bCs/>
          <w:color w:val="000000" w:themeColor="text1"/>
        </w:rPr>
        <w:t>24 November</w:t>
      </w:r>
      <w:r w:rsidR="00F04826">
        <w:rPr>
          <w:b/>
          <w:bCs/>
          <w:color w:val="000000" w:themeColor="text1"/>
        </w:rPr>
        <w:t>,</w:t>
      </w:r>
      <w:r w:rsidRPr="00F75FF6">
        <w:rPr>
          <w:b/>
          <w:bCs/>
          <w:color w:val="000000" w:themeColor="text1"/>
        </w:rPr>
        <w:t xml:space="preserve"> 201</w:t>
      </w:r>
      <w:r w:rsidR="00326C70" w:rsidRPr="00F75FF6">
        <w:rPr>
          <w:b/>
          <w:bCs/>
          <w:color w:val="000000" w:themeColor="text1"/>
        </w:rPr>
        <w:t>6</w:t>
      </w:r>
      <w:r w:rsidR="00731C46" w:rsidRPr="00F75FF6">
        <w:rPr>
          <w:b/>
          <w:bCs/>
          <w:color w:val="000000" w:themeColor="text1"/>
        </w:rPr>
        <w:t xml:space="preserve"> </w:t>
      </w:r>
    </w:p>
    <w:p w:rsidR="00B6339C" w:rsidRPr="00F75FF6" w:rsidRDefault="007100C7" w:rsidP="00A61780">
      <w:pPr>
        <w:rPr>
          <w:color w:val="000000" w:themeColor="text1"/>
          <w:u w:val="single"/>
        </w:rPr>
      </w:pPr>
      <w:r w:rsidRPr="00F75FF6">
        <w:rPr>
          <w:color w:val="000000" w:themeColor="text1"/>
          <w:u w:val="single"/>
        </w:rPr>
        <w:t>Meeting Attendees</w:t>
      </w:r>
      <w:r w:rsidR="009757CD" w:rsidRPr="00F75FF6">
        <w:rPr>
          <w:color w:val="000000" w:themeColor="text1"/>
          <w:u w:val="single"/>
        </w:rPr>
        <w:t xml:space="preserve"> </w:t>
      </w:r>
      <w:r w:rsidR="009757CD" w:rsidRPr="00F75FF6">
        <w:rPr>
          <w:color w:val="000000" w:themeColor="text1"/>
        </w:rPr>
        <w:t>(in alphabetical order)</w:t>
      </w:r>
    </w:p>
    <w:p w:rsidR="00A61780" w:rsidRPr="00F75FF6" w:rsidRDefault="007E6AF4" w:rsidP="00E209AC">
      <w:pPr>
        <w:spacing w:after="0"/>
        <w:rPr>
          <w:color w:val="000000" w:themeColor="text1"/>
        </w:rPr>
      </w:pPr>
      <w:r w:rsidRPr="00F75FF6">
        <w:rPr>
          <w:color w:val="000000" w:themeColor="text1"/>
        </w:rPr>
        <w:tab/>
      </w:r>
      <w:r w:rsidR="00AA1F90" w:rsidRPr="00F75FF6">
        <w:rPr>
          <w:color w:val="000000" w:themeColor="text1"/>
        </w:rPr>
        <w:t>WG</w:t>
      </w:r>
      <w:r w:rsidR="00B6339C" w:rsidRPr="00F75FF6">
        <w:rPr>
          <w:color w:val="000000" w:themeColor="text1"/>
        </w:rPr>
        <w:t xml:space="preserve"> members</w:t>
      </w:r>
      <w:r w:rsidR="007100C7" w:rsidRPr="00F75FF6">
        <w:rPr>
          <w:color w:val="000000" w:themeColor="text1"/>
        </w:rPr>
        <w:t>:</w:t>
      </w:r>
    </w:p>
    <w:p w:rsidR="007026D2" w:rsidRDefault="007026D2" w:rsidP="009C5C1A">
      <w:pPr>
        <w:pStyle w:val="ListParagraph"/>
        <w:numPr>
          <w:ilvl w:val="0"/>
          <w:numId w:val="2"/>
        </w:numPr>
        <w:rPr>
          <w:color w:val="000000" w:themeColor="text1"/>
        </w:rPr>
      </w:pPr>
      <w:r>
        <w:rPr>
          <w:color w:val="000000" w:themeColor="text1"/>
        </w:rPr>
        <w:t>Edmon Chung</w:t>
      </w:r>
    </w:p>
    <w:p w:rsidR="009C5C1A" w:rsidRDefault="009C5C1A" w:rsidP="00FC2C3B">
      <w:pPr>
        <w:pStyle w:val="ListParagraph"/>
        <w:numPr>
          <w:ilvl w:val="0"/>
          <w:numId w:val="2"/>
        </w:numPr>
        <w:rPr>
          <w:color w:val="000000" w:themeColor="text1"/>
        </w:rPr>
      </w:pPr>
      <w:r>
        <w:rPr>
          <w:color w:val="000000" w:themeColor="text1"/>
        </w:rPr>
        <w:t>Jian Zhang</w:t>
      </w:r>
    </w:p>
    <w:p w:rsidR="00E53687" w:rsidRDefault="009C5C1A" w:rsidP="00E53687">
      <w:pPr>
        <w:pStyle w:val="ListParagraph"/>
        <w:numPr>
          <w:ilvl w:val="0"/>
          <w:numId w:val="2"/>
        </w:numPr>
        <w:rPr>
          <w:color w:val="000000" w:themeColor="text1"/>
        </w:rPr>
      </w:pPr>
      <w:r>
        <w:rPr>
          <w:color w:val="000000" w:themeColor="text1"/>
        </w:rPr>
        <w:t>Mats Dufberg</w:t>
      </w:r>
    </w:p>
    <w:p w:rsidR="00AA1F90" w:rsidRPr="00F75FF6" w:rsidRDefault="007E6AF4" w:rsidP="00AA1F90">
      <w:pPr>
        <w:pStyle w:val="ListParagraph"/>
        <w:ind w:left="0"/>
        <w:rPr>
          <w:color w:val="000000" w:themeColor="text1"/>
        </w:rPr>
      </w:pPr>
      <w:r w:rsidRPr="00F75FF6">
        <w:rPr>
          <w:color w:val="000000" w:themeColor="text1"/>
        </w:rPr>
        <w:tab/>
        <w:t>Staff</w:t>
      </w:r>
      <w:r w:rsidR="007100C7" w:rsidRPr="00F75FF6">
        <w:rPr>
          <w:color w:val="000000" w:themeColor="text1"/>
        </w:rPr>
        <w:t>:</w:t>
      </w:r>
    </w:p>
    <w:p w:rsidR="00073921" w:rsidRPr="00F75FF6" w:rsidRDefault="00AA1F90" w:rsidP="0033160D">
      <w:pPr>
        <w:pStyle w:val="ListParagraph"/>
        <w:numPr>
          <w:ilvl w:val="0"/>
          <w:numId w:val="2"/>
        </w:numPr>
        <w:rPr>
          <w:color w:val="000000" w:themeColor="text1"/>
        </w:rPr>
      </w:pPr>
      <w:r w:rsidRPr="00F75FF6">
        <w:rPr>
          <w:color w:val="000000" w:themeColor="text1"/>
        </w:rPr>
        <w:t xml:space="preserve">Sarmad Hussain </w:t>
      </w:r>
    </w:p>
    <w:p w:rsidR="00A61780" w:rsidRDefault="007100C7" w:rsidP="00A61780">
      <w:pPr>
        <w:rPr>
          <w:color w:val="000000" w:themeColor="text1"/>
          <w:u w:val="single"/>
        </w:rPr>
      </w:pPr>
      <w:r w:rsidRPr="00F75FF6">
        <w:rPr>
          <w:color w:val="000000" w:themeColor="text1"/>
          <w:u w:val="single"/>
        </w:rPr>
        <w:t>Meeting Notes</w:t>
      </w:r>
    </w:p>
    <w:p w:rsidR="009D4314" w:rsidRPr="009D4314" w:rsidRDefault="009D4314" w:rsidP="007026D2">
      <w:pPr>
        <w:rPr>
          <w:color w:val="000000" w:themeColor="text1"/>
        </w:rPr>
      </w:pPr>
      <w:r>
        <w:rPr>
          <w:color w:val="000000" w:themeColor="text1"/>
        </w:rPr>
        <w:t xml:space="preserve">The WG members </w:t>
      </w:r>
      <w:r w:rsidR="007464EC">
        <w:rPr>
          <w:color w:val="000000" w:themeColor="text1"/>
        </w:rPr>
        <w:t>continued the discussion on the document and the recommendations to be proposed for public comment.</w:t>
      </w:r>
      <w:r w:rsidR="00806706" w:rsidRPr="00806706">
        <w:rPr>
          <w:color w:val="000000" w:themeColor="text1"/>
        </w:rPr>
        <w:t xml:space="preserve"> </w:t>
      </w:r>
      <w:r w:rsidR="00E53687">
        <w:rPr>
          <w:color w:val="000000" w:themeColor="text1"/>
        </w:rPr>
        <w:t xml:space="preserve"> </w:t>
      </w:r>
      <w:r w:rsidR="009C5C1A" w:rsidRPr="009C5C1A">
        <w:rPr>
          <w:color w:val="000000" w:themeColor="text1"/>
        </w:rPr>
        <w:t xml:space="preserve">Updated document </w:t>
      </w:r>
      <w:r w:rsidR="009C5C1A" w:rsidRPr="009C5C1A">
        <w:rPr>
          <w:i/>
          <w:iCs/>
          <w:color w:val="000000" w:themeColor="text1"/>
        </w:rPr>
        <w:t>IDN Guidelines 4.0 20161</w:t>
      </w:r>
      <w:r w:rsidR="007026D2">
        <w:rPr>
          <w:i/>
          <w:iCs/>
          <w:color w:val="000000" w:themeColor="text1"/>
        </w:rPr>
        <w:t>124</w:t>
      </w:r>
      <w:r w:rsidR="009C5C1A">
        <w:rPr>
          <w:i/>
          <w:iCs/>
          <w:color w:val="000000" w:themeColor="text1"/>
        </w:rPr>
        <w:t xml:space="preserve"> </w:t>
      </w:r>
      <w:r w:rsidR="009C5C1A" w:rsidRPr="009C5C1A">
        <w:rPr>
          <w:color w:val="000000" w:themeColor="text1"/>
        </w:rPr>
        <w:t>was discussed.</w:t>
      </w:r>
    </w:p>
    <w:p w:rsidR="00034369" w:rsidRDefault="007026D2" w:rsidP="007026D2">
      <w:pPr>
        <w:pStyle w:val="ListParagraph"/>
        <w:numPr>
          <w:ilvl w:val="0"/>
          <w:numId w:val="1"/>
        </w:numPr>
        <w:rPr>
          <w:b/>
          <w:bCs/>
          <w:color w:val="000000" w:themeColor="text1"/>
        </w:rPr>
      </w:pPr>
      <w:r>
        <w:rPr>
          <w:b/>
          <w:bCs/>
          <w:color w:val="000000" w:themeColor="text1"/>
        </w:rPr>
        <w:t>Review of Comments from ICANN 57</w:t>
      </w:r>
      <w:r w:rsidR="00825EB0">
        <w:rPr>
          <w:b/>
          <w:bCs/>
          <w:color w:val="000000" w:themeColor="text1"/>
        </w:rPr>
        <w:t>:</w:t>
      </w:r>
    </w:p>
    <w:p w:rsidR="00825EB0" w:rsidRPr="00825EB0" w:rsidRDefault="007026D2" w:rsidP="00825EB0">
      <w:pPr>
        <w:pStyle w:val="ListParagraph"/>
        <w:numPr>
          <w:ilvl w:val="1"/>
          <w:numId w:val="1"/>
        </w:numPr>
        <w:ind w:left="1080"/>
        <w:rPr>
          <w:color w:val="000000" w:themeColor="text1"/>
        </w:rPr>
      </w:pPr>
      <w:r w:rsidRPr="00825EB0">
        <w:rPr>
          <w:color w:val="000000" w:themeColor="text1"/>
        </w:rPr>
        <w:t>The reference to “code point sequences” may complicate the text.  Thus, the first place “code points” are mentioned, a footnote may be added rather than specifying “sequences” at each instance.</w:t>
      </w:r>
      <w:r w:rsidR="00034369" w:rsidRPr="00825EB0">
        <w:rPr>
          <w:color w:val="000000" w:themeColor="text1"/>
        </w:rPr>
        <w:t xml:space="preserve">  </w:t>
      </w:r>
    </w:p>
    <w:p w:rsidR="00825EB0" w:rsidRPr="00825EB0" w:rsidRDefault="00034369" w:rsidP="00825EB0">
      <w:pPr>
        <w:pStyle w:val="ListParagraph"/>
        <w:numPr>
          <w:ilvl w:val="1"/>
          <w:numId w:val="1"/>
        </w:numPr>
        <w:ind w:left="1080"/>
        <w:rPr>
          <w:color w:val="000000" w:themeColor="text1"/>
        </w:rPr>
      </w:pPr>
      <w:r w:rsidRPr="00825EB0">
        <w:rPr>
          <w:color w:val="000000" w:themeColor="text1"/>
        </w:rPr>
        <w:t xml:space="preserve">The members agreed that it is useful to reuse definitions of terms from RFC 7940 consistently, to the extent needed and possible, and add additional label states which are beyond the scope of the LGR in RFC 7940.  </w:t>
      </w:r>
    </w:p>
    <w:p w:rsidR="000F2DF0" w:rsidRPr="00825EB0" w:rsidRDefault="00034369" w:rsidP="00825EB0">
      <w:pPr>
        <w:pStyle w:val="ListParagraph"/>
        <w:numPr>
          <w:ilvl w:val="1"/>
          <w:numId w:val="1"/>
        </w:numPr>
        <w:ind w:left="1080"/>
        <w:rPr>
          <w:color w:val="000000" w:themeColor="text1"/>
        </w:rPr>
      </w:pPr>
      <w:r w:rsidRPr="00825EB0">
        <w:rPr>
          <w:color w:val="000000" w:themeColor="text1"/>
        </w:rPr>
        <w:t xml:space="preserve">Regarding the explanation of LGR in the guidelines, the WG suggested that the Guidelines should be generic, and LGR is a more of an implementation mechanism.  So it was suggested some explanation may be included as a glossary item.  </w:t>
      </w:r>
      <w:r w:rsidR="00825EB0" w:rsidRPr="00825EB0">
        <w:rPr>
          <w:color w:val="000000" w:themeColor="text1"/>
        </w:rPr>
        <w:t>The reference to LGR can also be reviewed when final editing of the document is being done.</w:t>
      </w:r>
    </w:p>
    <w:p w:rsidR="00825EB0" w:rsidRDefault="006E1C49" w:rsidP="00825EB0">
      <w:pPr>
        <w:pStyle w:val="ListParagraph"/>
        <w:numPr>
          <w:ilvl w:val="1"/>
          <w:numId w:val="1"/>
        </w:numPr>
        <w:ind w:left="1080"/>
        <w:rPr>
          <w:color w:val="000000" w:themeColor="text1"/>
        </w:rPr>
      </w:pPr>
      <w:r>
        <w:rPr>
          <w:color w:val="000000" w:themeColor="text1"/>
        </w:rPr>
        <w:t>Regarding relating Guidelines to Root Zone discussion, the WG discussed that the latter is not in the scope of the current WG, and that Root Zone is governed by its own processes.  However, if there is possibility to add a reference during review of the document it can be done.</w:t>
      </w:r>
    </w:p>
    <w:p w:rsidR="006E1C49" w:rsidRPr="00A5732B" w:rsidRDefault="006E1C49" w:rsidP="00A5732B">
      <w:pPr>
        <w:pStyle w:val="ListParagraph"/>
        <w:numPr>
          <w:ilvl w:val="1"/>
          <w:numId w:val="1"/>
        </w:numPr>
        <w:ind w:left="1080"/>
        <w:rPr>
          <w:color w:val="000000" w:themeColor="text1"/>
        </w:rPr>
      </w:pPr>
      <w:r>
        <w:rPr>
          <w:color w:val="000000" w:themeColor="text1"/>
        </w:rPr>
        <w:t xml:space="preserve">Harmonizing the LGRs within the same zone should be addressed.  This is needed for multiple LGRs which are contributing labels to the same zone, e.g. different subsets of a script for different languages, or LGRs for different scripts (Latin vs. Cyrillic).  </w:t>
      </w:r>
      <w:r w:rsidR="00A5732B">
        <w:rPr>
          <w:color w:val="000000" w:themeColor="text1"/>
        </w:rPr>
        <w:t xml:space="preserve">One option to address is to have a logically single LGR (with multiple LGR files) and thus any code point or set of code points added requires harmonization to address security and stability aspects.  Other mechanism would be to keep LGRs logically separate but then require a follow up harmonization phase after changes in existing LGR or addition of a new LGR to ensure that security and stability is maintained.  The second method allows for comparing and reusing second level LGRs across TLDs, which the first method will not allow for.  WG members pointed out that this has been in the guidelines already and this needs to be further refined in the context of LGRs - where there are multiple LGRs for a zone, there needs to be harmonization where they share code point or share homoglyphs.  This should be a separate recommendation, to be added.  </w:t>
      </w:r>
      <w:r w:rsidR="001C36C8">
        <w:rPr>
          <w:color w:val="000000" w:themeColor="text1"/>
        </w:rPr>
        <w:t xml:space="preserve">The recommendation should point out when harmonization </w:t>
      </w:r>
      <w:r w:rsidR="001C36C8">
        <w:rPr>
          <w:color w:val="000000" w:themeColor="text1"/>
        </w:rPr>
        <w:lastRenderedPageBreak/>
        <w:t>is needed, and also what the harmonization should entail.  Reference from Root Zone LGR experience can be brought it as well.  This should be added to 2.7.</w:t>
      </w:r>
    </w:p>
    <w:p w:rsidR="000F2DF0" w:rsidRPr="00D74068" w:rsidRDefault="000F2DF0" w:rsidP="000F2DF0">
      <w:pPr>
        <w:pStyle w:val="ListParagraph"/>
        <w:rPr>
          <w:b/>
          <w:bCs/>
          <w:color w:val="000000" w:themeColor="text1"/>
        </w:rPr>
      </w:pPr>
    </w:p>
    <w:p w:rsidR="00084F0E" w:rsidRPr="00987022" w:rsidRDefault="007A594A" w:rsidP="007A594A">
      <w:pPr>
        <w:pStyle w:val="ListParagraph"/>
        <w:numPr>
          <w:ilvl w:val="0"/>
          <w:numId w:val="1"/>
        </w:numPr>
        <w:rPr>
          <w:b/>
          <w:bCs/>
          <w:color w:val="000000" w:themeColor="text1"/>
        </w:rPr>
      </w:pPr>
      <w:r>
        <w:rPr>
          <w:b/>
          <w:bCs/>
          <w:color w:val="000000" w:themeColor="text1"/>
        </w:rPr>
        <w:t>Next meeting cycle</w:t>
      </w:r>
      <w:r w:rsidR="00084F0E">
        <w:rPr>
          <w:b/>
          <w:bCs/>
          <w:color w:val="000000" w:themeColor="text1"/>
        </w:rPr>
        <w:t xml:space="preserve">.  </w:t>
      </w:r>
      <w:r>
        <w:rPr>
          <w:color w:val="000000" w:themeColor="text1"/>
        </w:rPr>
        <w:t xml:space="preserve">The group discussed and agreed to keep the weekly cycle for meetings to gather more pace.  Share the information on the list and review if other members find it challenging.  </w:t>
      </w:r>
    </w:p>
    <w:p w:rsidR="0072451D" w:rsidRPr="000A4D1B" w:rsidRDefault="0072451D" w:rsidP="000A4D1B">
      <w:pPr>
        <w:rPr>
          <w:color w:val="000000" w:themeColor="text1"/>
          <w:u w:val="single"/>
        </w:rPr>
      </w:pPr>
      <w:r w:rsidRPr="000A4D1B">
        <w:rPr>
          <w:color w:val="000000" w:themeColor="text1"/>
          <w:u w:val="single"/>
        </w:rPr>
        <w:t>Action Items</w:t>
      </w:r>
    </w:p>
    <w:tbl>
      <w:tblPr>
        <w:tblStyle w:val="TableGrid"/>
        <w:tblW w:w="0" w:type="auto"/>
        <w:tblLook w:val="04A0" w:firstRow="1" w:lastRow="0" w:firstColumn="1" w:lastColumn="0" w:noHBand="0" w:noVBand="1"/>
      </w:tblPr>
      <w:tblGrid>
        <w:gridCol w:w="804"/>
        <w:gridCol w:w="7710"/>
        <w:gridCol w:w="836"/>
      </w:tblGrid>
      <w:tr w:rsidR="0072451D" w:rsidRPr="0083537E" w:rsidTr="001C698F">
        <w:tc>
          <w:tcPr>
            <w:tcW w:w="804" w:type="dxa"/>
          </w:tcPr>
          <w:p w:rsidR="0072451D" w:rsidRPr="0083537E" w:rsidRDefault="0072451D" w:rsidP="001C698F">
            <w:pPr>
              <w:rPr>
                <w:b/>
                <w:bCs/>
              </w:rPr>
            </w:pPr>
            <w:r w:rsidRPr="0083537E">
              <w:rPr>
                <w:b/>
                <w:bCs/>
              </w:rPr>
              <w:t>S. No.</w:t>
            </w:r>
          </w:p>
        </w:tc>
        <w:tc>
          <w:tcPr>
            <w:tcW w:w="7710" w:type="dxa"/>
          </w:tcPr>
          <w:p w:rsidR="0072451D" w:rsidRPr="0083537E" w:rsidRDefault="0072451D" w:rsidP="001C698F">
            <w:pPr>
              <w:rPr>
                <w:b/>
                <w:bCs/>
              </w:rPr>
            </w:pPr>
            <w:r w:rsidRPr="0083537E">
              <w:rPr>
                <w:b/>
                <w:bCs/>
              </w:rPr>
              <w:t xml:space="preserve">Action Items </w:t>
            </w:r>
          </w:p>
        </w:tc>
        <w:tc>
          <w:tcPr>
            <w:tcW w:w="836" w:type="dxa"/>
          </w:tcPr>
          <w:p w:rsidR="0072451D" w:rsidRPr="0083537E" w:rsidRDefault="0072451D" w:rsidP="001C698F">
            <w:pPr>
              <w:rPr>
                <w:b/>
                <w:bCs/>
              </w:rPr>
            </w:pPr>
            <w:r w:rsidRPr="0083537E">
              <w:rPr>
                <w:b/>
                <w:bCs/>
              </w:rPr>
              <w:t>Owner</w:t>
            </w:r>
          </w:p>
        </w:tc>
      </w:tr>
      <w:tr w:rsidR="007A594A" w:rsidRPr="0083537E" w:rsidTr="001C698F">
        <w:tc>
          <w:tcPr>
            <w:tcW w:w="804" w:type="dxa"/>
          </w:tcPr>
          <w:p w:rsidR="007A594A" w:rsidRPr="007A594A" w:rsidRDefault="007A594A" w:rsidP="001C698F">
            <w:r>
              <w:t>1</w:t>
            </w:r>
          </w:p>
        </w:tc>
        <w:tc>
          <w:tcPr>
            <w:tcW w:w="7710" w:type="dxa"/>
          </w:tcPr>
          <w:p w:rsidR="007A594A" w:rsidRPr="007A594A" w:rsidRDefault="007A594A" w:rsidP="001C698F">
            <w:pPr>
              <w:rPr>
                <w:i/>
                <w:iCs/>
              </w:rPr>
            </w:pPr>
            <w:r w:rsidRPr="007A594A">
              <w:rPr>
                <w:i/>
                <w:iCs/>
              </w:rPr>
              <w:t xml:space="preserve">Add footnote to refer to “code point sequences” and not add that in the text for readability </w:t>
            </w:r>
          </w:p>
        </w:tc>
        <w:tc>
          <w:tcPr>
            <w:tcW w:w="836" w:type="dxa"/>
          </w:tcPr>
          <w:p w:rsidR="007A594A" w:rsidRPr="007A594A" w:rsidRDefault="007A594A" w:rsidP="001C698F">
            <w:r w:rsidRPr="007A594A">
              <w:t>SH</w:t>
            </w:r>
          </w:p>
        </w:tc>
      </w:tr>
      <w:tr w:rsidR="004C6C8C" w:rsidRPr="0083537E" w:rsidTr="001C698F">
        <w:tc>
          <w:tcPr>
            <w:tcW w:w="804" w:type="dxa"/>
          </w:tcPr>
          <w:p w:rsidR="004C6C8C" w:rsidRPr="004C6C8C" w:rsidRDefault="007A594A" w:rsidP="001C698F">
            <w:r>
              <w:t>2</w:t>
            </w:r>
          </w:p>
        </w:tc>
        <w:tc>
          <w:tcPr>
            <w:tcW w:w="7710" w:type="dxa"/>
          </w:tcPr>
          <w:p w:rsidR="004C6C8C" w:rsidRPr="004C6C8C" w:rsidRDefault="007A594A" w:rsidP="001C698F">
            <w:pPr>
              <w:rPr>
                <w:i/>
                <w:iCs/>
              </w:rPr>
            </w:pPr>
            <w:r>
              <w:rPr>
                <w:i/>
                <w:iCs/>
              </w:rPr>
              <w:t xml:space="preserve">Draft recommendation for harmonization of LGRs </w:t>
            </w:r>
            <w:r w:rsidR="00AE389B">
              <w:rPr>
                <w:i/>
                <w:iCs/>
              </w:rPr>
              <w:t>to be put in Section 2.7.</w:t>
            </w:r>
            <w:bookmarkStart w:id="0" w:name="_GoBack"/>
            <w:bookmarkEnd w:id="0"/>
          </w:p>
        </w:tc>
        <w:tc>
          <w:tcPr>
            <w:tcW w:w="836" w:type="dxa"/>
          </w:tcPr>
          <w:p w:rsidR="004C6C8C" w:rsidRPr="004C6C8C" w:rsidRDefault="007A594A" w:rsidP="001C698F">
            <w:r>
              <w:t>SH</w:t>
            </w:r>
          </w:p>
        </w:tc>
      </w:tr>
      <w:tr w:rsidR="007A594A" w:rsidRPr="0083537E" w:rsidTr="001C698F">
        <w:tc>
          <w:tcPr>
            <w:tcW w:w="804" w:type="dxa"/>
          </w:tcPr>
          <w:p w:rsidR="007A594A" w:rsidRDefault="007A594A" w:rsidP="001C698F">
            <w:r>
              <w:t>3</w:t>
            </w:r>
          </w:p>
        </w:tc>
        <w:tc>
          <w:tcPr>
            <w:tcW w:w="7710" w:type="dxa"/>
          </w:tcPr>
          <w:p w:rsidR="007A594A" w:rsidRDefault="007A594A" w:rsidP="001C698F">
            <w:pPr>
              <w:rPr>
                <w:i/>
                <w:iCs/>
              </w:rPr>
            </w:pPr>
            <w:r>
              <w:rPr>
                <w:i/>
                <w:iCs/>
              </w:rPr>
              <w:t>Confirm with WG members if it is ok to move to a weekly schedule</w:t>
            </w:r>
          </w:p>
        </w:tc>
        <w:tc>
          <w:tcPr>
            <w:tcW w:w="836" w:type="dxa"/>
          </w:tcPr>
          <w:p w:rsidR="007A594A" w:rsidRDefault="007A594A" w:rsidP="001C698F">
            <w:r>
              <w:t>SH</w:t>
            </w:r>
          </w:p>
        </w:tc>
      </w:tr>
    </w:tbl>
    <w:p w:rsidR="0072451D" w:rsidRDefault="0072451D" w:rsidP="00E209AC">
      <w:pPr>
        <w:pStyle w:val="ListParagraph"/>
      </w:pPr>
    </w:p>
    <w:sectPr w:rsidR="007245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C03" w:rsidRDefault="00D91C03" w:rsidP="00876CE6">
      <w:pPr>
        <w:spacing w:after="0" w:line="240" w:lineRule="auto"/>
      </w:pPr>
      <w:r>
        <w:separator/>
      </w:r>
    </w:p>
  </w:endnote>
  <w:endnote w:type="continuationSeparator" w:id="0">
    <w:p w:rsidR="00D91C03" w:rsidRDefault="00D91C03" w:rsidP="0087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260190"/>
      <w:docPartObj>
        <w:docPartGallery w:val="Page Numbers (Bottom of Page)"/>
        <w:docPartUnique/>
      </w:docPartObj>
    </w:sdtPr>
    <w:sdtEndPr>
      <w:rPr>
        <w:noProof/>
      </w:rPr>
    </w:sdtEndPr>
    <w:sdtContent>
      <w:p w:rsidR="00F9225C" w:rsidRDefault="00F9225C">
        <w:pPr>
          <w:pStyle w:val="Footer"/>
          <w:jc w:val="center"/>
        </w:pPr>
        <w:r>
          <w:fldChar w:fldCharType="begin"/>
        </w:r>
        <w:r>
          <w:instrText xml:space="preserve"> PAGE   \* MERGEFORMAT </w:instrText>
        </w:r>
        <w:r>
          <w:fldChar w:fldCharType="separate"/>
        </w:r>
        <w:r w:rsidR="00AE389B">
          <w:rPr>
            <w:noProof/>
          </w:rPr>
          <w:t>2</w:t>
        </w:r>
        <w:r>
          <w:rPr>
            <w:noProof/>
          </w:rPr>
          <w:fldChar w:fldCharType="end"/>
        </w:r>
      </w:p>
    </w:sdtContent>
  </w:sdt>
  <w:p w:rsidR="00F9225C" w:rsidRDefault="00F92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C03" w:rsidRDefault="00D91C03" w:rsidP="00876CE6">
      <w:pPr>
        <w:spacing w:after="0" w:line="240" w:lineRule="auto"/>
      </w:pPr>
      <w:r>
        <w:separator/>
      </w:r>
    </w:p>
  </w:footnote>
  <w:footnote w:type="continuationSeparator" w:id="0">
    <w:p w:rsidR="00D91C03" w:rsidRDefault="00D91C03" w:rsidP="00876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76E8"/>
    <w:multiLevelType w:val="hybridMultilevel"/>
    <w:tmpl w:val="30662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175FA"/>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C319A2"/>
    <w:multiLevelType w:val="hybridMultilevel"/>
    <w:tmpl w:val="690EDE1A"/>
    <w:lvl w:ilvl="0" w:tplc="21B22362">
      <w:start w:val="1"/>
      <w:numFmt w:val="decimal"/>
      <w:lvlText w:val="%1."/>
      <w:lvlJc w:val="left"/>
      <w:pPr>
        <w:ind w:left="720" w:hanging="360"/>
      </w:pPr>
      <w:rPr>
        <w:rFonts w:hint="default"/>
        <w:b/>
        <w:bCs/>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A4225"/>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A83CBC"/>
    <w:multiLevelType w:val="hybridMultilevel"/>
    <w:tmpl w:val="95FA4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05130B"/>
    <w:multiLevelType w:val="hybridMultilevel"/>
    <w:tmpl w:val="84FC4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E7147F"/>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E47650"/>
    <w:multiLevelType w:val="hybridMultilevel"/>
    <w:tmpl w:val="6BCE2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D17E22"/>
    <w:multiLevelType w:val="hybridMultilevel"/>
    <w:tmpl w:val="54EAE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385E74"/>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F9678A"/>
    <w:multiLevelType w:val="hybridMultilevel"/>
    <w:tmpl w:val="337E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0"/>
  </w:num>
  <w:num w:numId="6">
    <w:abstractNumId w:val="10"/>
  </w:num>
  <w:num w:numId="7">
    <w:abstractNumId w:val="3"/>
  </w:num>
  <w:num w:numId="8">
    <w:abstractNumId w:val="1"/>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FA"/>
    <w:rsid w:val="00032989"/>
    <w:rsid w:val="00034369"/>
    <w:rsid w:val="000362B2"/>
    <w:rsid w:val="0004538E"/>
    <w:rsid w:val="000462EA"/>
    <w:rsid w:val="00057300"/>
    <w:rsid w:val="00065C6E"/>
    <w:rsid w:val="0006668D"/>
    <w:rsid w:val="00066D26"/>
    <w:rsid w:val="00073921"/>
    <w:rsid w:val="00075303"/>
    <w:rsid w:val="0008294B"/>
    <w:rsid w:val="00084F0E"/>
    <w:rsid w:val="00096556"/>
    <w:rsid w:val="000A0618"/>
    <w:rsid w:val="000A4D1B"/>
    <w:rsid w:val="000A669F"/>
    <w:rsid w:val="000B0252"/>
    <w:rsid w:val="000B3659"/>
    <w:rsid w:val="000C12C1"/>
    <w:rsid w:val="000C61EE"/>
    <w:rsid w:val="000D427F"/>
    <w:rsid w:val="000D51AD"/>
    <w:rsid w:val="000E3879"/>
    <w:rsid w:val="000E47F2"/>
    <w:rsid w:val="000F2DF0"/>
    <w:rsid w:val="000F5B02"/>
    <w:rsid w:val="000F732B"/>
    <w:rsid w:val="00102FA3"/>
    <w:rsid w:val="00115AED"/>
    <w:rsid w:val="00142922"/>
    <w:rsid w:val="00143C59"/>
    <w:rsid w:val="00154E71"/>
    <w:rsid w:val="001936C7"/>
    <w:rsid w:val="00197FCA"/>
    <w:rsid w:val="001A6A50"/>
    <w:rsid w:val="001C36C8"/>
    <w:rsid w:val="001D110A"/>
    <w:rsid w:val="001E56F8"/>
    <w:rsid w:val="001F15CB"/>
    <w:rsid w:val="001F5EB2"/>
    <w:rsid w:val="0020153D"/>
    <w:rsid w:val="00212600"/>
    <w:rsid w:val="0021486A"/>
    <w:rsid w:val="0022283C"/>
    <w:rsid w:val="002245AE"/>
    <w:rsid w:val="0024576E"/>
    <w:rsid w:val="00250359"/>
    <w:rsid w:val="0025498E"/>
    <w:rsid w:val="002648C2"/>
    <w:rsid w:val="002712E5"/>
    <w:rsid w:val="002773ED"/>
    <w:rsid w:val="002815ED"/>
    <w:rsid w:val="002A3D56"/>
    <w:rsid w:val="002A7A6F"/>
    <w:rsid w:val="002B0AB0"/>
    <w:rsid w:val="002B55EC"/>
    <w:rsid w:val="002B61C9"/>
    <w:rsid w:val="002C1488"/>
    <w:rsid w:val="002D33E3"/>
    <w:rsid w:val="002D35E9"/>
    <w:rsid w:val="002E5A3D"/>
    <w:rsid w:val="002F09C3"/>
    <w:rsid w:val="002F0DF7"/>
    <w:rsid w:val="002F3131"/>
    <w:rsid w:val="002F7CAC"/>
    <w:rsid w:val="00307446"/>
    <w:rsid w:val="00310935"/>
    <w:rsid w:val="00313B48"/>
    <w:rsid w:val="00317820"/>
    <w:rsid w:val="00326C70"/>
    <w:rsid w:val="0033160D"/>
    <w:rsid w:val="00333121"/>
    <w:rsid w:val="003421E2"/>
    <w:rsid w:val="00350A9C"/>
    <w:rsid w:val="0035238F"/>
    <w:rsid w:val="00352635"/>
    <w:rsid w:val="00373A16"/>
    <w:rsid w:val="00383AE4"/>
    <w:rsid w:val="003864D8"/>
    <w:rsid w:val="003870BE"/>
    <w:rsid w:val="00397D1C"/>
    <w:rsid w:val="003A354F"/>
    <w:rsid w:val="003A5A5E"/>
    <w:rsid w:val="003B2F9B"/>
    <w:rsid w:val="003B3FD3"/>
    <w:rsid w:val="003B7594"/>
    <w:rsid w:val="003C47C6"/>
    <w:rsid w:val="003D0519"/>
    <w:rsid w:val="003D1C6C"/>
    <w:rsid w:val="003D1E49"/>
    <w:rsid w:val="003E4628"/>
    <w:rsid w:val="003F0DC6"/>
    <w:rsid w:val="004044C6"/>
    <w:rsid w:val="00410A3C"/>
    <w:rsid w:val="00442EF1"/>
    <w:rsid w:val="0044418C"/>
    <w:rsid w:val="00446290"/>
    <w:rsid w:val="00452BC3"/>
    <w:rsid w:val="00452DC7"/>
    <w:rsid w:val="00454CA4"/>
    <w:rsid w:val="00457464"/>
    <w:rsid w:val="00461FDD"/>
    <w:rsid w:val="0047036F"/>
    <w:rsid w:val="0047143E"/>
    <w:rsid w:val="00481CC8"/>
    <w:rsid w:val="00486FA2"/>
    <w:rsid w:val="00492DF1"/>
    <w:rsid w:val="0049346E"/>
    <w:rsid w:val="00493A89"/>
    <w:rsid w:val="004A578F"/>
    <w:rsid w:val="004B19B3"/>
    <w:rsid w:val="004B4A8A"/>
    <w:rsid w:val="004C3A84"/>
    <w:rsid w:val="004C3ADC"/>
    <w:rsid w:val="004C566B"/>
    <w:rsid w:val="004C5F72"/>
    <w:rsid w:val="004C6C8C"/>
    <w:rsid w:val="004D242C"/>
    <w:rsid w:val="004D5A6B"/>
    <w:rsid w:val="004D71CD"/>
    <w:rsid w:val="004D734C"/>
    <w:rsid w:val="004E1C2C"/>
    <w:rsid w:val="004E6F2C"/>
    <w:rsid w:val="00511E91"/>
    <w:rsid w:val="0051491F"/>
    <w:rsid w:val="00515637"/>
    <w:rsid w:val="0052290D"/>
    <w:rsid w:val="00531DC0"/>
    <w:rsid w:val="00532F11"/>
    <w:rsid w:val="00535003"/>
    <w:rsid w:val="005369EC"/>
    <w:rsid w:val="005544E5"/>
    <w:rsid w:val="005662B9"/>
    <w:rsid w:val="00596BF1"/>
    <w:rsid w:val="005B35C3"/>
    <w:rsid w:val="005B6815"/>
    <w:rsid w:val="005C3115"/>
    <w:rsid w:val="005C3972"/>
    <w:rsid w:val="005D4028"/>
    <w:rsid w:val="005D4CD7"/>
    <w:rsid w:val="005E1272"/>
    <w:rsid w:val="005F488B"/>
    <w:rsid w:val="00602121"/>
    <w:rsid w:val="006027AC"/>
    <w:rsid w:val="006030AF"/>
    <w:rsid w:val="0061064A"/>
    <w:rsid w:val="0063564E"/>
    <w:rsid w:val="00636F7A"/>
    <w:rsid w:val="0066220B"/>
    <w:rsid w:val="006661AE"/>
    <w:rsid w:val="0067351E"/>
    <w:rsid w:val="00674402"/>
    <w:rsid w:val="0068668D"/>
    <w:rsid w:val="00687C8F"/>
    <w:rsid w:val="00696C91"/>
    <w:rsid w:val="006A00A3"/>
    <w:rsid w:val="006A2E71"/>
    <w:rsid w:val="006B1EE4"/>
    <w:rsid w:val="006B68DD"/>
    <w:rsid w:val="006B7655"/>
    <w:rsid w:val="006C0D8D"/>
    <w:rsid w:val="006D29E8"/>
    <w:rsid w:val="006D56E5"/>
    <w:rsid w:val="006E1C49"/>
    <w:rsid w:val="006E37D0"/>
    <w:rsid w:val="006F17D2"/>
    <w:rsid w:val="007026D2"/>
    <w:rsid w:val="007068CB"/>
    <w:rsid w:val="007100C7"/>
    <w:rsid w:val="00712F1A"/>
    <w:rsid w:val="0071526E"/>
    <w:rsid w:val="0072451D"/>
    <w:rsid w:val="00731C46"/>
    <w:rsid w:val="00736A05"/>
    <w:rsid w:val="00741271"/>
    <w:rsid w:val="007464EC"/>
    <w:rsid w:val="00757743"/>
    <w:rsid w:val="00764EC7"/>
    <w:rsid w:val="00775D67"/>
    <w:rsid w:val="00776A45"/>
    <w:rsid w:val="007816A6"/>
    <w:rsid w:val="00786384"/>
    <w:rsid w:val="007945CA"/>
    <w:rsid w:val="007A3B34"/>
    <w:rsid w:val="007A4EA1"/>
    <w:rsid w:val="007A594A"/>
    <w:rsid w:val="007C1A9C"/>
    <w:rsid w:val="007C3BB9"/>
    <w:rsid w:val="007C74C8"/>
    <w:rsid w:val="007E3472"/>
    <w:rsid w:val="007E6AF4"/>
    <w:rsid w:val="007F4307"/>
    <w:rsid w:val="007F69F9"/>
    <w:rsid w:val="00800132"/>
    <w:rsid w:val="0080118F"/>
    <w:rsid w:val="00806706"/>
    <w:rsid w:val="0080673C"/>
    <w:rsid w:val="00825EB0"/>
    <w:rsid w:val="00827EC1"/>
    <w:rsid w:val="0083537E"/>
    <w:rsid w:val="008458F8"/>
    <w:rsid w:val="00846081"/>
    <w:rsid w:val="008474EB"/>
    <w:rsid w:val="0085079E"/>
    <w:rsid w:val="00863ADD"/>
    <w:rsid w:val="00874D72"/>
    <w:rsid w:val="00876CE6"/>
    <w:rsid w:val="00880346"/>
    <w:rsid w:val="0089081A"/>
    <w:rsid w:val="008A7140"/>
    <w:rsid w:val="008C1C19"/>
    <w:rsid w:val="008C711B"/>
    <w:rsid w:val="008D3BFD"/>
    <w:rsid w:val="008D53DB"/>
    <w:rsid w:val="00904609"/>
    <w:rsid w:val="00912BE5"/>
    <w:rsid w:val="00915B26"/>
    <w:rsid w:val="00921B50"/>
    <w:rsid w:val="00921E47"/>
    <w:rsid w:val="00923BE8"/>
    <w:rsid w:val="00930A97"/>
    <w:rsid w:val="00934E8D"/>
    <w:rsid w:val="0095743A"/>
    <w:rsid w:val="0096217F"/>
    <w:rsid w:val="00964AAB"/>
    <w:rsid w:val="00971DFA"/>
    <w:rsid w:val="009757CD"/>
    <w:rsid w:val="00981A07"/>
    <w:rsid w:val="00987022"/>
    <w:rsid w:val="009902ED"/>
    <w:rsid w:val="009A7919"/>
    <w:rsid w:val="009C41AA"/>
    <w:rsid w:val="009C5C1A"/>
    <w:rsid w:val="009D4314"/>
    <w:rsid w:val="009D556D"/>
    <w:rsid w:val="009F68F0"/>
    <w:rsid w:val="00A00CCA"/>
    <w:rsid w:val="00A0546C"/>
    <w:rsid w:val="00A11ACF"/>
    <w:rsid w:val="00A17EDE"/>
    <w:rsid w:val="00A316DE"/>
    <w:rsid w:val="00A5732B"/>
    <w:rsid w:val="00A61780"/>
    <w:rsid w:val="00A6436C"/>
    <w:rsid w:val="00A6678E"/>
    <w:rsid w:val="00A73ED4"/>
    <w:rsid w:val="00A7740D"/>
    <w:rsid w:val="00AA1F90"/>
    <w:rsid w:val="00AD0082"/>
    <w:rsid w:val="00AD157C"/>
    <w:rsid w:val="00AD4FEC"/>
    <w:rsid w:val="00AD7D6B"/>
    <w:rsid w:val="00AE389B"/>
    <w:rsid w:val="00AF68D4"/>
    <w:rsid w:val="00B00884"/>
    <w:rsid w:val="00B02826"/>
    <w:rsid w:val="00B10002"/>
    <w:rsid w:val="00B14B5B"/>
    <w:rsid w:val="00B310B0"/>
    <w:rsid w:val="00B33490"/>
    <w:rsid w:val="00B335FD"/>
    <w:rsid w:val="00B508DA"/>
    <w:rsid w:val="00B57C5A"/>
    <w:rsid w:val="00B61D6B"/>
    <w:rsid w:val="00B6339C"/>
    <w:rsid w:val="00B747A9"/>
    <w:rsid w:val="00B86BD4"/>
    <w:rsid w:val="00BA491F"/>
    <w:rsid w:val="00BC1169"/>
    <w:rsid w:val="00BC4D46"/>
    <w:rsid w:val="00BC4E4A"/>
    <w:rsid w:val="00BD7190"/>
    <w:rsid w:val="00BF038D"/>
    <w:rsid w:val="00BF7EBE"/>
    <w:rsid w:val="00C0527D"/>
    <w:rsid w:val="00C05501"/>
    <w:rsid w:val="00C067F5"/>
    <w:rsid w:val="00C12F52"/>
    <w:rsid w:val="00C213E9"/>
    <w:rsid w:val="00C438BD"/>
    <w:rsid w:val="00C644D6"/>
    <w:rsid w:val="00C66ACE"/>
    <w:rsid w:val="00C853FD"/>
    <w:rsid w:val="00C85E99"/>
    <w:rsid w:val="00C92DF4"/>
    <w:rsid w:val="00C93BFD"/>
    <w:rsid w:val="00C97798"/>
    <w:rsid w:val="00CB0F4A"/>
    <w:rsid w:val="00CB3155"/>
    <w:rsid w:val="00CB4222"/>
    <w:rsid w:val="00CC5A4E"/>
    <w:rsid w:val="00CE15DD"/>
    <w:rsid w:val="00CF4B0B"/>
    <w:rsid w:val="00CF52B0"/>
    <w:rsid w:val="00CF74B5"/>
    <w:rsid w:val="00D0191F"/>
    <w:rsid w:val="00D056A3"/>
    <w:rsid w:val="00D15A8C"/>
    <w:rsid w:val="00D17F68"/>
    <w:rsid w:val="00D24655"/>
    <w:rsid w:val="00D24A2C"/>
    <w:rsid w:val="00D3016D"/>
    <w:rsid w:val="00D335E2"/>
    <w:rsid w:val="00D33720"/>
    <w:rsid w:val="00D36EAA"/>
    <w:rsid w:val="00D405A8"/>
    <w:rsid w:val="00D53964"/>
    <w:rsid w:val="00D70363"/>
    <w:rsid w:val="00D74068"/>
    <w:rsid w:val="00D91C03"/>
    <w:rsid w:val="00D94224"/>
    <w:rsid w:val="00DB0CD5"/>
    <w:rsid w:val="00DB14F7"/>
    <w:rsid w:val="00DC3BEB"/>
    <w:rsid w:val="00DC5B96"/>
    <w:rsid w:val="00DC7261"/>
    <w:rsid w:val="00DD2DA3"/>
    <w:rsid w:val="00DD4BC4"/>
    <w:rsid w:val="00DF1470"/>
    <w:rsid w:val="00DF3CBA"/>
    <w:rsid w:val="00DF74FC"/>
    <w:rsid w:val="00E04C4E"/>
    <w:rsid w:val="00E114AB"/>
    <w:rsid w:val="00E1488F"/>
    <w:rsid w:val="00E209AC"/>
    <w:rsid w:val="00E34B91"/>
    <w:rsid w:val="00E4365A"/>
    <w:rsid w:val="00E44242"/>
    <w:rsid w:val="00E51A12"/>
    <w:rsid w:val="00E53687"/>
    <w:rsid w:val="00E61F09"/>
    <w:rsid w:val="00E7535E"/>
    <w:rsid w:val="00E80306"/>
    <w:rsid w:val="00E857A8"/>
    <w:rsid w:val="00E90C27"/>
    <w:rsid w:val="00EA1AD4"/>
    <w:rsid w:val="00EA3B0A"/>
    <w:rsid w:val="00EB4C09"/>
    <w:rsid w:val="00EB5AC2"/>
    <w:rsid w:val="00EC0AC6"/>
    <w:rsid w:val="00EC279C"/>
    <w:rsid w:val="00ED2B41"/>
    <w:rsid w:val="00EE05D0"/>
    <w:rsid w:val="00F009FE"/>
    <w:rsid w:val="00F00A44"/>
    <w:rsid w:val="00F012E3"/>
    <w:rsid w:val="00F04826"/>
    <w:rsid w:val="00F159EE"/>
    <w:rsid w:val="00F265D7"/>
    <w:rsid w:val="00F317D4"/>
    <w:rsid w:val="00F32A4D"/>
    <w:rsid w:val="00F37D68"/>
    <w:rsid w:val="00F40C5A"/>
    <w:rsid w:val="00F53497"/>
    <w:rsid w:val="00F65D4A"/>
    <w:rsid w:val="00F71422"/>
    <w:rsid w:val="00F75FF6"/>
    <w:rsid w:val="00F80685"/>
    <w:rsid w:val="00F82306"/>
    <w:rsid w:val="00F9225C"/>
    <w:rsid w:val="00F97EED"/>
    <w:rsid w:val="00FB5032"/>
    <w:rsid w:val="00FB69FB"/>
    <w:rsid w:val="00FB6D2B"/>
    <w:rsid w:val="00FC1185"/>
    <w:rsid w:val="00FC2C3B"/>
    <w:rsid w:val="00FD1916"/>
    <w:rsid w:val="00FE0C6F"/>
    <w:rsid w:val="00FE4ABA"/>
    <w:rsid w:val="00FF3C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E349C-B34C-464C-8788-1A38E3D3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80"/>
    <w:pPr>
      <w:ind w:left="720"/>
      <w:contextualSpacing/>
    </w:pPr>
  </w:style>
  <w:style w:type="paragraph" w:styleId="FootnoteText">
    <w:name w:val="footnote text"/>
    <w:basedOn w:val="Normal"/>
    <w:link w:val="FootnoteTextChar"/>
    <w:uiPriority w:val="99"/>
    <w:semiHidden/>
    <w:unhideWhenUsed/>
    <w:rsid w:val="00876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CE6"/>
    <w:rPr>
      <w:sz w:val="20"/>
      <w:szCs w:val="20"/>
    </w:rPr>
  </w:style>
  <w:style w:type="character" w:styleId="FootnoteReference">
    <w:name w:val="footnote reference"/>
    <w:basedOn w:val="DefaultParagraphFont"/>
    <w:uiPriority w:val="99"/>
    <w:semiHidden/>
    <w:unhideWhenUsed/>
    <w:rsid w:val="00876CE6"/>
    <w:rPr>
      <w:vertAlign w:val="superscript"/>
    </w:rPr>
  </w:style>
  <w:style w:type="character" w:styleId="Hyperlink">
    <w:name w:val="Hyperlink"/>
    <w:basedOn w:val="DefaultParagraphFont"/>
    <w:uiPriority w:val="99"/>
    <w:unhideWhenUsed/>
    <w:rsid w:val="00876CE6"/>
    <w:rPr>
      <w:color w:val="0563C1" w:themeColor="hyperlink"/>
      <w:u w:val="single"/>
    </w:rPr>
  </w:style>
  <w:style w:type="character" w:styleId="FollowedHyperlink">
    <w:name w:val="FollowedHyperlink"/>
    <w:basedOn w:val="DefaultParagraphFont"/>
    <w:uiPriority w:val="99"/>
    <w:semiHidden/>
    <w:unhideWhenUsed/>
    <w:rsid w:val="00876CE6"/>
    <w:rPr>
      <w:color w:val="954F72" w:themeColor="followedHyperlink"/>
      <w:u w:val="single"/>
    </w:rPr>
  </w:style>
  <w:style w:type="table" w:styleId="TableGrid">
    <w:name w:val="Table Grid"/>
    <w:basedOn w:val="TableNormal"/>
    <w:uiPriority w:val="39"/>
    <w:rsid w:val="00B6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0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2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C70"/>
    <w:rPr>
      <w:rFonts w:ascii="Segoe UI" w:hAnsi="Segoe UI" w:cs="Segoe UI"/>
      <w:sz w:val="18"/>
      <w:szCs w:val="18"/>
    </w:rPr>
  </w:style>
  <w:style w:type="paragraph" w:styleId="Header">
    <w:name w:val="header"/>
    <w:basedOn w:val="Normal"/>
    <w:link w:val="HeaderChar"/>
    <w:uiPriority w:val="99"/>
    <w:unhideWhenUsed/>
    <w:rsid w:val="00F97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EED"/>
  </w:style>
  <w:style w:type="paragraph" w:styleId="Footer">
    <w:name w:val="footer"/>
    <w:basedOn w:val="Normal"/>
    <w:link w:val="FooterChar"/>
    <w:uiPriority w:val="99"/>
    <w:unhideWhenUsed/>
    <w:rsid w:val="00F97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ED99A-6AFD-45B5-B987-A35E12B1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2017</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Hussain</dc:creator>
  <cp:lastModifiedBy>Sarmad Hussain</cp:lastModifiedBy>
  <cp:revision>83</cp:revision>
  <cp:lastPrinted>2016-11-28T23:03:00Z</cp:lastPrinted>
  <dcterms:created xsi:type="dcterms:W3CDTF">2016-04-22T09:10:00Z</dcterms:created>
  <dcterms:modified xsi:type="dcterms:W3CDTF">2016-11-28T23:04:00Z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