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7C1C4A">
      <w:pPr>
        <w:rPr>
          <w:b/>
          <w:bCs/>
          <w:color w:val="000000" w:themeColor="text1"/>
        </w:rPr>
      </w:pPr>
      <w:r w:rsidRPr="00F75FF6">
        <w:rPr>
          <w:b/>
          <w:bCs/>
          <w:color w:val="000000" w:themeColor="text1"/>
        </w:rPr>
        <w:t xml:space="preserve">Notes from Meeting on </w:t>
      </w:r>
      <w:r w:rsidR="007C1C4A">
        <w:rPr>
          <w:b/>
          <w:bCs/>
          <w:color w:val="000000" w:themeColor="text1"/>
        </w:rPr>
        <w:t>15</w:t>
      </w:r>
      <w:r w:rsidR="007026D2">
        <w:rPr>
          <w:b/>
          <w:bCs/>
          <w:color w:val="000000" w:themeColor="text1"/>
        </w:rPr>
        <w:t xml:space="preserve"> </w:t>
      </w:r>
      <w:r w:rsidR="00DA77FB">
        <w:rPr>
          <w:b/>
          <w:bCs/>
          <w:color w:val="000000" w:themeColor="text1"/>
        </w:rPr>
        <w:t>December</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193AA0">
        <w:rPr>
          <w:color w:val="000000" w:themeColor="text1"/>
        </w:rPr>
        <w:t xml:space="preserve"> </w:t>
      </w:r>
      <w:r w:rsidR="009757CD" w:rsidRPr="00F75FF6">
        <w:rPr>
          <w:color w:val="000000" w:themeColor="text1"/>
        </w:rPr>
        <w:t>(in alphabetical order)</w:t>
      </w:r>
    </w:p>
    <w:p w:rsidR="00A61780" w:rsidRPr="00F75FF6" w:rsidRDefault="007E6AF4" w:rsidP="00E209AC">
      <w:pPr>
        <w:spacing w:after="0"/>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DA77FB" w:rsidRPr="00F75FF6" w:rsidRDefault="00DA77FB" w:rsidP="00DA77FB">
      <w:pPr>
        <w:pStyle w:val="ListParagraph"/>
        <w:numPr>
          <w:ilvl w:val="0"/>
          <w:numId w:val="2"/>
        </w:numPr>
        <w:rPr>
          <w:color w:val="000000" w:themeColor="text1"/>
        </w:rPr>
      </w:pPr>
      <w:r>
        <w:rPr>
          <w:color w:val="000000" w:themeColor="text1"/>
        </w:rPr>
        <w:t>Dennis Tanaka</w:t>
      </w:r>
    </w:p>
    <w:p w:rsidR="007C1C4A" w:rsidRDefault="007C1C4A" w:rsidP="007C1C4A">
      <w:pPr>
        <w:pStyle w:val="ListParagraph"/>
        <w:numPr>
          <w:ilvl w:val="0"/>
          <w:numId w:val="2"/>
        </w:numPr>
        <w:rPr>
          <w:color w:val="000000" w:themeColor="text1"/>
        </w:rPr>
      </w:pPr>
      <w:r>
        <w:rPr>
          <w:color w:val="000000" w:themeColor="text1"/>
        </w:rPr>
        <w:t>Jian Zhang</w:t>
      </w:r>
    </w:p>
    <w:p w:rsidR="007C1C4A" w:rsidRDefault="007C1C4A" w:rsidP="007C1C4A">
      <w:pPr>
        <w:pStyle w:val="ListParagraph"/>
        <w:numPr>
          <w:ilvl w:val="0"/>
          <w:numId w:val="2"/>
        </w:numPr>
        <w:rPr>
          <w:color w:val="000000" w:themeColor="text1"/>
        </w:rPr>
      </w:pPr>
      <w:r>
        <w:rPr>
          <w:color w:val="000000" w:themeColor="text1"/>
        </w:rPr>
        <w:t>Kal Feher</w:t>
      </w:r>
    </w:p>
    <w:p w:rsidR="00E53687" w:rsidRDefault="009C5C1A" w:rsidP="00E53687">
      <w:pPr>
        <w:pStyle w:val="ListParagraph"/>
        <w:numPr>
          <w:ilvl w:val="0"/>
          <w:numId w:val="2"/>
        </w:numPr>
        <w:rPr>
          <w:color w:val="000000" w:themeColor="text1"/>
        </w:rPr>
      </w:pPr>
      <w:r>
        <w:rPr>
          <w:color w:val="000000" w:themeColor="text1"/>
        </w:rPr>
        <w:t>Mats Dufberg</w:t>
      </w: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7C1C4A">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r w:rsidR="00806706" w:rsidRPr="00806706">
        <w:rPr>
          <w:color w:val="000000" w:themeColor="text1"/>
        </w:rPr>
        <w:t xml:space="preserve"> </w:t>
      </w:r>
      <w:r w:rsidR="00E53687">
        <w:rPr>
          <w:color w:val="000000" w:themeColor="text1"/>
        </w:rPr>
        <w:t xml:space="preserve"> </w:t>
      </w:r>
      <w:r w:rsidR="009C5C1A" w:rsidRPr="009C5C1A">
        <w:rPr>
          <w:color w:val="000000" w:themeColor="text1"/>
        </w:rPr>
        <w:t xml:space="preserve">Updated document </w:t>
      </w:r>
      <w:r w:rsidR="009C5C1A" w:rsidRPr="009C5C1A">
        <w:rPr>
          <w:i/>
          <w:iCs/>
          <w:color w:val="000000" w:themeColor="text1"/>
        </w:rPr>
        <w:t>IDN Guidelines 4.0 20161</w:t>
      </w:r>
      <w:r w:rsidR="00B53A1F">
        <w:rPr>
          <w:i/>
          <w:iCs/>
          <w:color w:val="000000" w:themeColor="text1"/>
        </w:rPr>
        <w:t>2</w:t>
      </w:r>
      <w:r w:rsidR="007C1C4A">
        <w:rPr>
          <w:i/>
          <w:iCs/>
          <w:color w:val="000000" w:themeColor="text1"/>
        </w:rPr>
        <w:t>15</w:t>
      </w:r>
      <w:r w:rsidR="009C5C1A">
        <w:rPr>
          <w:i/>
          <w:iCs/>
          <w:color w:val="000000" w:themeColor="text1"/>
        </w:rPr>
        <w:t xml:space="preserve"> </w:t>
      </w:r>
      <w:r w:rsidR="009C5C1A" w:rsidRPr="009C5C1A">
        <w:rPr>
          <w:color w:val="000000" w:themeColor="text1"/>
        </w:rPr>
        <w:t>was discussed.</w:t>
      </w:r>
    </w:p>
    <w:p w:rsidR="00F102E7" w:rsidRPr="00F102E7" w:rsidRDefault="00565D7C" w:rsidP="00F102E7">
      <w:pPr>
        <w:pStyle w:val="ListParagraph"/>
        <w:numPr>
          <w:ilvl w:val="0"/>
          <w:numId w:val="1"/>
        </w:numPr>
        <w:rPr>
          <w:b/>
          <w:bCs/>
          <w:color w:val="000000" w:themeColor="text1"/>
        </w:rPr>
      </w:pPr>
      <w:r>
        <w:rPr>
          <w:b/>
          <w:bCs/>
          <w:color w:val="000000" w:themeColor="text1"/>
        </w:rPr>
        <w:t>Authoritative source</w:t>
      </w:r>
      <w:r w:rsidR="00193AA0">
        <w:rPr>
          <w:b/>
          <w:bCs/>
          <w:color w:val="000000" w:themeColor="text1"/>
        </w:rPr>
        <w:t>s</w:t>
      </w:r>
      <w:r>
        <w:rPr>
          <w:b/>
          <w:bCs/>
          <w:color w:val="000000" w:themeColor="text1"/>
        </w:rPr>
        <w:t xml:space="preserve"> for homoglyphs.  </w:t>
      </w:r>
      <w:r w:rsidR="007C1C4A">
        <w:rPr>
          <w:color w:val="000000" w:themeColor="text1"/>
        </w:rPr>
        <w:t>The WG group looked at the confusables.txt and intentional.txt files from the Unicode</w:t>
      </w:r>
      <w:r w:rsidR="00F102E7">
        <w:rPr>
          <w:color w:val="000000" w:themeColor="text1"/>
        </w:rPr>
        <w:t xml:space="preserve"> consortium</w:t>
      </w:r>
      <w:r w:rsidR="007C1C4A">
        <w:rPr>
          <w:color w:val="000000" w:themeColor="text1"/>
        </w:rPr>
        <w:t xml:space="preserve">’s TR39 </w:t>
      </w:r>
      <w:r w:rsidR="00F102E7">
        <w:rPr>
          <w:color w:val="000000" w:themeColor="text1"/>
        </w:rPr>
        <w:t>which had been</w:t>
      </w:r>
      <w:r w:rsidR="007C1C4A">
        <w:rPr>
          <w:color w:val="000000" w:themeColor="text1"/>
        </w:rPr>
        <w:t xml:space="preserve"> filtered to exclude code points disallowed by the IDNA 2008 protocol.  It was noted that confusables.txt includes similar code points </w:t>
      </w:r>
      <w:r w:rsidR="008A5D19">
        <w:rPr>
          <w:color w:val="000000" w:themeColor="text1"/>
        </w:rPr>
        <w:t xml:space="preserve">comprehensively across a diverse set of scripts </w:t>
      </w:r>
      <w:r w:rsidR="007C1C4A">
        <w:rPr>
          <w:color w:val="000000" w:themeColor="text1"/>
        </w:rPr>
        <w:t xml:space="preserve">but not limited to homoglyphs. The WG also noted that intentional.txt </w:t>
      </w:r>
      <w:r w:rsidR="00F102E7">
        <w:rPr>
          <w:color w:val="000000" w:themeColor="text1"/>
        </w:rPr>
        <w:t>is</w:t>
      </w:r>
      <w:r w:rsidR="007C1C4A">
        <w:rPr>
          <w:color w:val="000000" w:themeColor="text1"/>
        </w:rPr>
        <w:t xml:space="preserve"> limited to homoglyphs but </w:t>
      </w:r>
      <w:r w:rsidR="00F102E7">
        <w:rPr>
          <w:color w:val="000000" w:themeColor="text1"/>
        </w:rPr>
        <w:t>only contains code points from</w:t>
      </w:r>
      <w:r w:rsidR="007C1C4A">
        <w:rPr>
          <w:color w:val="000000" w:themeColor="text1"/>
        </w:rPr>
        <w:t xml:space="preserve"> Cyrillic, Greek and Latin </w:t>
      </w:r>
      <w:r w:rsidR="00F102E7">
        <w:rPr>
          <w:color w:val="000000" w:themeColor="text1"/>
        </w:rPr>
        <w:t xml:space="preserve">scripts </w:t>
      </w:r>
      <w:r w:rsidR="007C1C4A">
        <w:rPr>
          <w:color w:val="000000" w:themeColor="text1"/>
        </w:rPr>
        <w:t xml:space="preserve">and does not include other scripts, e.g. Arabic script.  </w:t>
      </w:r>
      <w:r w:rsidR="00AE5B0B">
        <w:rPr>
          <w:color w:val="000000" w:themeColor="text1"/>
        </w:rPr>
        <w:t xml:space="preserve">The WG discussed the possibility of recommending registries to look at confusables.txt and sifting through it to find the relevant subset themselves, however, it was concluded that such a recommendation would </w:t>
      </w:r>
      <w:r w:rsidR="008A4E79">
        <w:rPr>
          <w:color w:val="000000" w:themeColor="text1"/>
        </w:rPr>
        <w:t xml:space="preserve">not </w:t>
      </w:r>
      <w:r w:rsidR="00AE5B0B">
        <w:rPr>
          <w:color w:val="000000" w:themeColor="text1"/>
        </w:rPr>
        <w:t>be actionable</w:t>
      </w:r>
      <w:r w:rsidR="008A4E79">
        <w:rPr>
          <w:color w:val="000000" w:themeColor="text1"/>
        </w:rPr>
        <w:t xml:space="preserve"> for the registries, and even if they did consider it they would likely end up having different sets, which will not address the user-confusion but contribute further to it</w:t>
      </w:r>
      <w:r w:rsidR="00AE5B0B">
        <w:rPr>
          <w:color w:val="000000" w:themeColor="text1"/>
        </w:rPr>
        <w:t>.</w:t>
      </w:r>
      <w:r w:rsidR="008A4E79">
        <w:rPr>
          <w:color w:val="000000" w:themeColor="text1"/>
        </w:rPr>
        <w:t xml:space="preserve">  An alternative discussed was to say that intentional.txt should be used as a minimum and then additional conditions, as needed, </w:t>
      </w:r>
      <w:r w:rsidR="00F102E7">
        <w:rPr>
          <w:color w:val="000000" w:themeColor="text1"/>
        </w:rPr>
        <w:t xml:space="preserve">be added </w:t>
      </w:r>
      <w:r w:rsidR="008A4E79">
        <w:rPr>
          <w:color w:val="000000" w:themeColor="text1"/>
        </w:rPr>
        <w:t xml:space="preserve">to make up for the limitations of intentional.txt.  </w:t>
      </w:r>
    </w:p>
    <w:p w:rsidR="00F102E7" w:rsidRDefault="00F102E7" w:rsidP="00F102E7">
      <w:pPr>
        <w:pStyle w:val="ListParagraph"/>
        <w:rPr>
          <w:b/>
          <w:bCs/>
          <w:color w:val="000000" w:themeColor="text1"/>
        </w:rPr>
      </w:pPr>
    </w:p>
    <w:p w:rsidR="00565D7C" w:rsidRPr="00F102E7" w:rsidRDefault="00724F07" w:rsidP="001006ED">
      <w:pPr>
        <w:pStyle w:val="ListParagraph"/>
        <w:rPr>
          <w:b/>
          <w:bCs/>
          <w:color w:val="000000" w:themeColor="text1"/>
        </w:rPr>
      </w:pPr>
      <w:r w:rsidRPr="00F102E7">
        <w:rPr>
          <w:color w:val="000000" w:themeColor="text1"/>
        </w:rPr>
        <w:t xml:space="preserve">As another option, the WG also considered developing a relevant subset of confusables.txt as a reference.  In this context, the WG discussed who would undertake this work.  </w:t>
      </w:r>
      <w:r w:rsidRPr="00F07BF4">
        <w:rPr>
          <w:color w:val="000000" w:themeColor="text1"/>
        </w:rPr>
        <w:t xml:space="preserve">The members agreed that ICANN may not be the best organization and that this should be taken up either at IETF or Unicode consortium.  They noted that IETF had looked at similar problems in RFC 5646 and RFC 5992.  </w:t>
      </w:r>
      <w:r w:rsidR="00D92726" w:rsidRPr="00F07BF4">
        <w:rPr>
          <w:color w:val="000000" w:themeColor="text1"/>
        </w:rPr>
        <w:t xml:space="preserve">However, this may not be in the control of ICANN.  The members noted that recommendation 5 from version 3.0 is relevant to this discussion and should be added back to the current draft, and that </w:t>
      </w:r>
      <w:r w:rsidR="00F102E7">
        <w:rPr>
          <w:color w:val="000000" w:themeColor="text1"/>
        </w:rPr>
        <w:t>term “</w:t>
      </w:r>
      <w:r w:rsidR="00D92726" w:rsidRPr="00F07BF4">
        <w:rPr>
          <w:color w:val="000000" w:themeColor="text1"/>
        </w:rPr>
        <w:t>homoglyph</w:t>
      </w:r>
      <w:r w:rsidR="00F102E7">
        <w:rPr>
          <w:color w:val="000000" w:themeColor="text1"/>
        </w:rPr>
        <w:t>”</w:t>
      </w:r>
      <w:r w:rsidR="00D92726" w:rsidRPr="00F07BF4">
        <w:rPr>
          <w:color w:val="000000" w:themeColor="text1"/>
        </w:rPr>
        <w:t xml:space="preserve"> should be defined.  One option is to use “visually confusable” term instead of homoglyph</w:t>
      </w:r>
      <w:r w:rsidR="00F102E7">
        <w:rPr>
          <w:color w:val="000000" w:themeColor="text1"/>
        </w:rPr>
        <w:t xml:space="preserve"> because it is already used in previous version of the guidelines and the community is familiar with it</w:t>
      </w:r>
      <w:r w:rsidR="00D92726" w:rsidRPr="00F07BF4">
        <w:rPr>
          <w:color w:val="000000" w:themeColor="text1"/>
        </w:rPr>
        <w:t xml:space="preserve">, but that may make the set of cases much wider.  </w:t>
      </w:r>
      <w:r w:rsidR="00474E79">
        <w:rPr>
          <w:color w:val="000000" w:themeColor="text1"/>
        </w:rPr>
        <w:t xml:space="preserve">The members discussed what would be the best way forward.  Asking ICANN to undertake another study to define this set of homoglyphs was considered, but not recommended as </w:t>
      </w:r>
      <w:r w:rsidR="00F07BF4">
        <w:rPr>
          <w:color w:val="000000" w:themeColor="text1"/>
        </w:rPr>
        <w:t xml:space="preserve">it is not a very large problem today (due to limited cases of phishing in IDNs) and that </w:t>
      </w:r>
      <w:r w:rsidR="00474E79">
        <w:rPr>
          <w:color w:val="000000" w:themeColor="text1"/>
        </w:rPr>
        <w:t>there is already a lot relevant work going on at ICANN for the root zone, which is being done by script communities, is transparent and reasonably comprehensive across the script code point sets</w:t>
      </w:r>
      <w:r w:rsidR="001006ED">
        <w:rPr>
          <w:color w:val="000000" w:themeColor="text1"/>
        </w:rPr>
        <w:t xml:space="preserve">, </w:t>
      </w:r>
      <w:r w:rsidR="00474E79">
        <w:rPr>
          <w:color w:val="000000" w:themeColor="text1"/>
        </w:rPr>
        <w:lastRenderedPageBreak/>
        <w:t>has a</w:t>
      </w:r>
      <w:r w:rsidR="001006ED">
        <w:rPr>
          <w:color w:val="000000" w:themeColor="text1"/>
        </w:rPr>
        <w:t xml:space="preserve"> very rigorous review process, and therefore should be leveraged (even if in some cases it may be slightly less comprehensive than needed for the second level).</w:t>
      </w:r>
    </w:p>
    <w:p w:rsidR="00F07BF4" w:rsidRDefault="00F07BF4" w:rsidP="00F07BF4">
      <w:pPr>
        <w:pStyle w:val="ListParagraph"/>
        <w:rPr>
          <w:color w:val="000000" w:themeColor="text1"/>
        </w:rPr>
      </w:pPr>
    </w:p>
    <w:p w:rsidR="00F07BF4" w:rsidRDefault="00F07BF4" w:rsidP="00EC12BC">
      <w:pPr>
        <w:pStyle w:val="ListParagraph"/>
        <w:rPr>
          <w:color w:val="000000" w:themeColor="text1"/>
        </w:rPr>
      </w:pPr>
      <w:r>
        <w:rPr>
          <w:color w:val="000000" w:themeColor="text1"/>
        </w:rPr>
        <w:t xml:space="preserve">The group noted that the root zone work is still on-going.  So the guidelines should include how this evolving root zone work should be incorporated by the registries.  </w:t>
      </w:r>
      <w:r w:rsidR="00EC12BC">
        <w:rPr>
          <w:color w:val="000000" w:themeColor="text1"/>
        </w:rPr>
        <w:t>The WG group was informed that root zone LGR-1 is already out, containing Arabic script.  Also, Georgian, Lao, Khmer and Thai proposals have been finalized by the community and will be considered for the second version of LGR, being targeted for release around ICANN 58. And then LGR-3 containing many more script (e.g. Chinese, Japanese and Korean) may be available in early 2018.  Further, due to stability constraints on LGR for the root zone, it provides a firm reference</w:t>
      </w:r>
      <w:r w:rsidR="001006ED">
        <w:rPr>
          <w:color w:val="000000" w:themeColor="text1"/>
        </w:rPr>
        <w:t>, even as it grows in its coverage over time</w:t>
      </w:r>
      <w:r w:rsidR="00EC12BC">
        <w:rPr>
          <w:color w:val="000000" w:themeColor="text1"/>
        </w:rPr>
        <w:t xml:space="preserve">.  </w:t>
      </w:r>
    </w:p>
    <w:p w:rsidR="005C2B21" w:rsidRDefault="005C2B21" w:rsidP="00EC12BC">
      <w:pPr>
        <w:pStyle w:val="ListParagraph"/>
        <w:rPr>
          <w:color w:val="000000" w:themeColor="text1"/>
        </w:rPr>
      </w:pPr>
    </w:p>
    <w:p w:rsidR="005C2B21" w:rsidRPr="00193AA0" w:rsidRDefault="007F67B0" w:rsidP="00EC12BC">
      <w:pPr>
        <w:pStyle w:val="ListParagraph"/>
        <w:rPr>
          <w:b/>
          <w:bCs/>
          <w:color w:val="000000" w:themeColor="text1"/>
        </w:rPr>
      </w:pPr>
      <w:r>
        <w:rPr>
          <w:color w:val="000000" w:themeColor="text1"/>
        </w:rPr>
        <w:t>The WG agreed that data from intentional.txt and root zone LGR work must be used.  And further, the data from confusables.txt should be considered (but not a</w:t>
      </w:r>
      <w:r w:rsidR="001006ED">
        <w:rPr>
          <w:color w:val="000000" w:themeColor="text1"/>
        </w:rPr>
        <w:t>s a</w:t>
      </w:r>
      <w:r>
        <w:rPr>
          <w:color w:val="000000" w:themeColor="text1"/>
        </w:rPr>
        <w:t xml:space="preserve"> “must”).  </w:t>
      </w:r>
      <w:r w:rsidR="001006ED">
        <w:rPr>
          <w:color w:val="000000" w:themeColor="text1"/>
        </w:rPr>
        <w:t>The recommendation should be drafted in this context.</w:t>
      </w:r>
    </w:p>
    <w:p w:rsidR="00313B7B" w:rsidRPr="00313B7B" w:rsidRDefault="00313B7B" w:rsidP="00313B7B">
      <w:pPr>
        <w:pStyle w:val="ListParagraph"/>
        <w:rPr>
          <w:b/>
          <w:bCs/>
          <w:color w:val="000000" w:themeColor="text1"/>
        </w:rPr>
      </w:pPr>
    </w:p>
    <w:p w:rsidR="00313B7B" w:rsidRPr="00987022" w:rsidRDefault="007F67B0" w:rsidP="007F67B0">
      <w:pPr>
        <w:pStyle w:val="ListParagraph"/>
        <w:numPr>
          <w:ilvl w:val="0"/>
          <w:numId w:val="1"/>
        </w:numPr>
        <w:rPr>
          <w:b/>
          <w:bCs/>
          <w:color w:val="000000" w:themeColor="text1"/>
        </w:rPr>
      </w:pPr>
      <w:r>
        <w:rPr>
          <w:b/>
          <w:bCs/>
          <w:color w:val="000000" w:themeColor="text1"/>
        </w:rPr>
        <w:t>Next meeting</w:t>
      </w:r>
      <w:r w:rsidR="00313B7B">
        <w:rPr>
          <w:b/>
          <w:bCs/>
          <w:color w:val="000000" w:themeColor="text1"/>
        </w:rPr>
        <w:t xml:space="preserve">.  </w:t>
      </w:r>
      <w:r w:rsidR="00313B7B">
        <w:rPr>
          <w:color w:val="000000" w:themeColor="text1"/>
        </w:rPr>
        <w:t xml:space="preserve"> The WG agreed to meet on </w:t>
      </w:r>
      <w:r>
        <w:rPr>
          <w:color w:val="000000" w:themeColor="text1"/>
        </w:rPr>
        <w:t>22</w:t>
      </w:r>
      <w:r w:rsidR="00313B7B">
        <w:rPr>
          <w:color w:val="000000" w:themeColor="text1"/>
        </w:rPr>
        <w:t xml:space="preserve"> December.</w:t>
      </w:r>
      <w:r>
        <w:rPr>
          <w:color w:val="000000" w:themeColor="text1"/>
        </w:rPr>
        <w:t xml:space="preserve">  Action items from previous week, except AI1 and AI3 which has been addressed, will be carried to next week for discussion.</w:t>
      </w:r>
      <w:r w:rsidR="00313B7B">
        <w:rPr>
          <w:color w:val="000000" w:themeColor="text1"/>
        </w:rPr>
        <w:t xml:space="preserve">  </w:t>
      </w:r>
      <w:r w:rsidR="00313B7B">
        <w:rPr>
          <w:b/>
          <w:bCs/>
          <w:color w:val="000000" w:themeColor="text1"/>
        </w:rPr>
        <w:t xml:space="preserve">  </w:t>
      </w:r>
    </w:p>
    <w:p w:rsidR="0072451D" w:rsidRPr="000A4D1B" w:rsidRDefault="0072451D" w:rsidP="000A4D1B">
      <w:pPr>
        <w:rPr>
          <w:color w:val="000000" w:themeColor="text1"/>
          <w:u w:val="single"/>
        </w:rPr>
      </w:pPr>
      <w:r w:rsidRPr="000A4D1B">
        <w:rPr>
          <w:color w:val="000000" w:themeColor="text1"/>
          <w:u w:val="single"/>
        </w:rPr>
        <w:t>Action Items</w:t>
      </w:r>
    </w:p>
    <w:tbl>
      <w:tblPr>
        <w:tblStyle w:val="TableGrid"/>
        <w:tblW w:w="0" w:type="auto"/>
        <w:tblLook w:val="04A0" w:firstRow="1" w:lastRow="0" w:firstColumn="1" w:lastColumn="0" w:noHBand="0" w:noVBand="1"/>
      </w:tblPr>
      <w:tblGrid>
        <w:gridCol w:w="804"/>
        <w:gridCol w:w="7710"/>
        <w:gridCol w:w="836"/>
      </w:tblGrid>
      <w:tr w:rsidR="0072451D" w:rsidRPr="0083537E" w:rsidTr="001C698F">
        <w:tc>
          <w:tcPr>
            <w:tcW w:w="804" w:type="dxa"/>
          </w:tcPr>
          <w:p w:rsidR="0072451D" w:rsidRPr="0083537E" w:rsidRDefault="0072451D" w:rsidP="001C698F">
            <w:pPr>
              <w:rPr>
                <w:b/>
                <w:bCs/>
              </w:rPr>
            </w:pPr>
            <w:r w:rsidRPr="0083537E">
              <w:rPr>
                <w:b/>
                <w:bCs/>
              </w:rPr>
              <w:t>S. No.</w:t>
            </w:r>
          </w:p>
        </w:tc>
        <w:tc>
          <w:tcPr>
            <w:tcW w:w="7710" w:type="dxa"/>
          </w:tcPr>
          <w:p w:rsidR="0072451D" w:rsidRPr="0083537E" w:rsidRDefault="0072451D" w:rsidP="001C698F">
            <w:pPr>
              <w:rPr>
                <w:b/>
                <w:bCs/>
              </w:rPr>
            </w:pPr>
            <w:r w:rsidRPr="0083537E">
              <w:rPr>
                <w:b/>
                <w:bCs/>
              </w:rPr>
              <w:t xml:space="preserve">Action Items </w:t>
            </w:r>
          </w:p>
        </w:tc>
        <w:tc>
          <w:tcPr>
            <w:tcW w:w="836" w:type="dxa"/>
          </w:tcPr>
          <w:p w:rsidR="0072451D" w:rsidRPr="0083537E" w:rsidRDefault="0072451D" w:rsidP="001C698F">
            <w:pPr>
              <w:rPr>
                <w:b/>
                <w:bCs/>
              </w:rPr>
            </w:pPr>
            <w:r w:rsidRPr="0083537E">
              <w:rPr>
                <w:b/>
                <w:bCs/>
              </w:rPr>
              <w:t>Owner</w:t>
            </w:r>
          </w:p>
        </w:tc>
      </w:tr>
      <w:tr w:rsidR="007F67B0" w:rsidRPr="0083537E" w:rsidTr="001C698F">
        <w:tc>
          <w:tcPr>
            <w:tcW w:w="804" w:type="dxa"/>
          </w:tcPr>
          <w:p w:rsidR="007F67B0" w:rsidRPr="007A594A" w:rsidRDefault="007F67B0" w:rsidP="007F67B0">
            <w:r>
              <w:t>1</w:t>
            </w:r>
          </w:p>
        </w:tc>
        <w:tc>
          <w:tcPr>
            <w:tcW w:w="7710" w:type="dxa"/>
          </w:tcPr>
          <w:p w:rsidR="007F67B0" w:rsidRPr="004C6C8C" w:rsidRDefault="007F67B0" w:rsidP="001006ED">
            <w:pPr>
              <w:rPr>
                <w:i/>
                <w:iCs/>
              </w:rPr>
            </w:pPr>
            <w:r>
              <w:rPr>
                <w:i/>
                <w:iCs/>
              </w:rPr>
              <w:t xml:space="preserve">Update the recommendation on harmonization </w:t>
            </w:r>
            <w:r w:rsidR="001006ED">
              <w:rPr>
                <w:i/>
                <w:iCs/>
              </w:rPr>
              <w:t>for the registries adhering to data from intentional.txt and root zone LGR as a “must” and also encourage registries to look at confusables.txt (but latter not as a “must”)</w:t>
            </w:r>
          </w:p>
        </w:tc>
        <w:tc>
          <w:tcPr>
            <w:tcW w:w="836" w:type="dxa"/>
          </w:tcPr>
          <w:p w:rsidR="007F67B0" w:rsidRPr="004C6C8C" w:rsidRDefault="007F67B0" w:rsidP="007F67B0">
            <w:r>
              <w:t>MD</w:t>
            </w:r>
          </w:p>
        </w:tc>
      </w:tr>
      <w:tr w:rsidR="007F67B0" w:rsidRPr="0083537E" w:rsidTr="001C698F">
        <w:tc>
          <w:tcPr>
            <w:tcW w:w="804" w:type="dxa"/>
          </w:tcPr>
          <w:p w:rsidR="007F67B0" w:rsidRDefault="007F67B0" w:rsidP="007F67B0">
            <w:r>
              <w:t>2</w:t>
            </w:r>
          </w:p>
        </w:tc>
        <w:tc>
          <w:tcPr>
            <w:tcW w:w="7710" w:type="dxa"/>
          </w:tcPr>
          <w:p w:rsidR="007F67B0" w:rsidRDefault="007F67B0" w:rsidP="007F67B0">
            <w:pPr>
              <w:rPr>
                <w:i/>
                <w:iCs/>
              </w:rPr>
            </w:pPr>
            <w:r>
              <w:rPr>
                <w:i/>
                <w:iCs/>
              </w:rPr>
              <w:t>Re-write the recommendation on automatic activation based on the current input for further discussion</w:t>
            </w:r>
          </w:p>
        </w:tc>
        <w:tc>
          <w:tcPr>
            <w:tcW w:w="836" w:type="dxa"/>
          </w:tcPr>
          <w:p w:rsidR="007F67B0" w:rsidRDefault="007F67B0" w:rsidP="007F67B0">
            <w:r>
              <w:t>EC</w:t>
            </w:r>
          </w:p>
        </w:tc>
      </w:tr>
      <w:tr w:rsidR="00344A89" w:rsidRPr="0083537E" w:rsidTr="001C698F">
        <w:tc>
          <w:tcPr>
            <w:tcW w:w="804" w:type="dxa"/>
          </w:tcPr>
          <w:p w:rsidR="00344A89" w:rsidRDefault="00344A89" w:rsidP="007F67B0">
            <w:r>
              <w:t>3</w:t>
            </w:r>
          </w:p>
        </w:tc>
        <w:tc>
          <w:tcPr>
            <w:tcW w:w="7710" w:type="dxa"/>
          </w:tcPr>
          <w:p w:rsidR="00344A89" w:rsidRDefault="00344A89" w:rsidP="007F67B0">
            <w:pPr>
              <w:rPr>
                <w:i/>
                <w:iCs/>
              </w:rPr>
            </w:pPr>
            <w:r>
              <w:rPr>
                <w:i/>
                <w:iCs/>
              </w:rPr>
              <w:t>Add recommendation 5 from version 3.0 of the guidelines for further discussion and inclusion in the current version</w:t>
            </w:r>
          </w:p>
        </w:tc>
        <w:tc>
          <w:tcPr>
            <w:tcW w:w="836" w:type="dxa"/>
          </w:tcPr>
          <w:p w:rsidR="00344A89" w:rsidRDefault="00344A89" w:rsidP="007F67B0">
            <w:r>
              <w:t>SH</w:t>
            </w:r>
            <w:bookmarkStart w:id="0" w:name="_GoBack"/>
            <w:bookmarkEnd w:id="0"/>
          </w:p>
        </w:tc>
      </w:tr>
    </w:tbl>
    <w:p w:rsidR="0072451D" w:rsidRDefault="0072451D" w:rsidP="00E209AC">
      <w:pPr>
        <w:pStyle w:val="ListParagraph"/>
      </w:pPr>
    </w:p>
    <w:sectPr w:rsidR="007245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07" w:rsidRDefault="00E30607" w:rsidP="00876CE6">
      <w:pPr>
        <w:spacing w:after="0" w:line="240" w:lineRule="auto"/>
      </w:pPr>
      <w:r>
        <w:separator/>
      </w:r>
    </w:p>
  </w:endnote>
  <w:endnote w:type="continuationSeparator" w:id="0">
    <w:p w:rsidR="00E30607" w:rsidRDefault="00E30607"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344A89">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07" w:rsidRDefault="00E30607" w:rsidP="00876CE6">
      <w:pPr>
        <w:spacing w:after="0" w:line="240" w:lineRule="auto"/>
      </w:pPr>
      <w:r>
        <w:separator/>
      </w:r>
    </w:p>
  </w:footnote>
  <w:footnote w:type="continuationSeparator" w:id="0">
    <w:p w:rsidR="00E30607" w:rsidRDefault="00E30607"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690EDE1A"/>
    <w:lvl w:ilvl="0" w:tplc="21B22362">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A83CBC"/>
    <w:multiLevelType w:val="hybridMultilevel"/>
    <w:tmpl w:val="95FA4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0"/>
  </w:num>
  <w:num w:numId="6">
    <w:abstractNumId w:val="10"/>
  </w:num>
  <w:num w:numId="7">
    <w:abstractNumId w:val="3"/>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16ED8"/>
    <w:rsid w:val="00032989"/>
    <w:rsid w:val="00034369"/>
    <w:rsid w:val="000362B2"/>
    <w:rsid w:val="0004538E"/>
    <w:rsid w:val="000462EA"/>
    <w:rsid w:val="00057300"/>
    <w:rsid w:val="00065C6E"/>
    <w:rsid w:val="0006668D"/>
    <w:rsid w:val="00066D26"/>
    <w:rsid w:val="000670E2"/>
    <w:rsid w:val="00073921"/>
    <w:rsid w:val="00075303"/>
    <w:rsid w:val="0008294B"/>
    <w:rsid w:val="00084F0E"/>
    <w:rsid w:val="00096556"/>
    <w:rsid w:val="000A0618"/>
    <w:rsid w:val="000A4D1B"/>
    <w:rsid w:val="000A669F"/>
    <w:rsid w:val="000B0252"/>
    <w:rsid w:val="000B3659"/>
    <w:rsid w:val="000C12C1"/>
    <w:rsid w:val="000C61EE"/>
    <w:rsid w:val="000D427F"/>
    <w:rsid w:val="000D51AD"/>
    <w:rsid w:val="000E3879"/>
    <w:rsid w:val="000E47F2"/>
    <w:rsid w:val="000E5382"/>
    <w:rsid w:val="000F2DF0"/>
    <w:rsid w:val="000F5B02"/>
    <w:rsid w:val="000F732B"/>
    <w:rsid w:val="001006ED"/>
    <w:rsid w:val="00102FA3"/>
    <w:rsid w:val="00115AED"/>
    <w:rsid w:val="00142922"/>
    <w:rsid w:val="00143C59"/>
    <w:rsid w:val="00154E71"/>
    <w:rsid w:val="001868B9"/>
    <w:rsid w:val="001936C7"/>
    <w:rsid w:val="00193AA0"/>
    <w:rsid w:val="00197FCA"/>
    <w:rsid w:val="001A6A50"/>
    <w:rsid w:val="001C36C8"/>
    <w:rsid w:val="001D110A"/>
    <w:rsid w:val="001E56F8"/>
    <w:rsid w:val="001E60AB"/>
    <w:rsid w:val="001F15CB"/>
    <w:rsid w:val="001F5EB2"/>
    <w:rsid w:val="0020153D"/>
    <w:rsid w:val="00212600"/>
    <w:rsid w:val="0021486A"/>
    <w:rsid w:val="0022283C"/>
    <w:rsid w:val="002245AE"/>
    <w:rsid w:val="00243272"/>
    <w:rsid w:val="0024576E"/>
    <w:rsid w:val="00250359"/>
    <w:rsid w:val="0025498E"/>
    <w:rsid w:val="002648C2"/>
    <w:rsid w:val="002712E5"/>
    <w:rsid w:val="002773ED"/>
    <w:rsid w:val="002815ED"/>
    <w:rsid w:val="002A0BBE"/>
    <w:rsid w:val="002A3D56"/>
    <w:rsid w:val="002A7A6F"/>
    <w:rsid w:val="002B0AB0"/>
    <w:rsid w:val="002B55EC"/>
    <w:rsid w:val="002B61C9"/>
    <w:rsid w:val="002C1488"/>
    <w:rsid w:val="002D33E3"/>
    <w:rsid w:val="002D35E9"/>
    <w:rsid w:val="002E5A3D"/>
    <w:rsid w:val="002F09C3"/>
    <w:rsid w:val="002F0DF7"/>
    <w:rsid w:val="002F3131"/>
    <w:rsid w:val="002F7CAC"/>
    <w:rsid w:val="00307446"/>
    <w:rsid w:val="00310935"/>
    <w:rsid w:val="00313B48"/>
    <w:rsid w:val="00313B7B"/>
    <w:rsid w:val="00317820"/>
    <w:rsid w:val="0032286B"/>
    <w:rsid w:val="00326C70"/>
    <w:rsid w:val="0033160D"/>
    <w:rsid w:val="00333121"/>
    <w:rsid w:val="003421E2"/>
    <w:rsid w:val="00344A89"/>
    <w:rsid w:val="00350A9C"/>
    <w:rsid w:val="0035238F"/>
    <w:rsid w:val="00352635"/>
    <w:rsid w:val="00373A16"/>
    <w:rsid w:val="00383AE4"/>
    <w:rsid w:val="003864D8"/>
    <w:rsid w:val="003870BE"/>
    <w:rsid w:val="00397D1C"/>
    <w:rsid w:val="003A354F"/>
    <w:rsid w:val="003A437E"/>
    <w:rsid w:val="003A5A5E"/>
    <w:rsid w:val="003B2F9B"/>
    <w:rsid w:val="003B3FD3"/>
    <w:rsid w:val="003B7594"/>
    <w:rsid w:val="003C47C6"/>
    <w:rsid w:val="003D0519"/>
    <w:rsid w:val="003D1C6C"/>
    <w:rsid w:val="003D1E49"/>
    <w:rsid w:val="003D50DF"/>
    <w:rsid w:val="003E4628"/>
    <w:rsid w:val="003F0DC6"/>
    <w:rsid w:val="004044C6"/>
    <w:rsid w:val="00410A3C"/>
    <w:rsid w:val="00442EF1"/>
    <w:rsid w:val="0044418C"/>
    <w:rsid w:val="00445115"/>
    <w:rsid w:val="00446290"/>
    <w:rsid w:val="00452BC3"/>
    <w:rsid w:val="00452DC7"/>
    <w:rsid w:val="00454CA4"/>
    <w:rsid w:val="00457464"/>
    <w:rsid w:val="00461FDD"/>
    <w:rsid w:val="0047036F"/>
    <w:rsid w:val="0047143E"/>
    <w:rsid w:val="00474E79"/>
    <w:rsid w:val="00481CC8"/>
    <w:rsid w:val="00486FA2"/>
    <w:rsid w:val="00492DF1"/>
    <w:rsid w:val="0049346E"/>
    <w:rsid w:val="00493A89"/>
    <w:rsid w:val="004A578F"/>
    <w:rsid w:val="004B19B3"/>
    <w:rsid w:val="004B4A8A"/>
    <w:rsid w:val="004C3A84"/>
    <w:rsid w:val="004C3ADC"/>
    <w:rsid w:val="004C566B"/>
    <w:rsid w:val="004C5F72"/>
    <w:rsid w:val="004C6C8C"/>
    <w:rsid w:val="004D242C"/>
    <w:rsid w:val="004D5A6B"/>
    <w:rsid w:val="004D71CD"/>
    <w:rsid w:val="004D734C"/>
    <w:rsid w:val="004E1C2C"/>
    <w:rsid w:val="004E6F2C"/>
    <w:rsid w:val="00511E91"/>
    <w:rsid w:val="0051491F"/>
    <w:rsid w:val="00515637"/>
    <w:rsid w:val="0052290D"/>
    <w:rsid w:val="00531DC0"/>
    <w:rsid w:val="00532F11"/>
    <w:rsid w:val="00535003"/>
    <w:rsid w:val="005369EC"/>
    <w:rsid w:val="005544E5"/>
    <w:rsid w:val="00565D7C"/>
    <w:rsid w:val="005662B9"/>
    <w:rsid w:val="0056656B"/>
    <w:rsid w:val="00596BF1"/>
    <w:rsid w:val="005B35C3"/>
    <w:rsid w:val="005B6815"/>
    <w:rsid w:val="005C2B21"/>
    <w:rsid w:val="005C3115"/>
    <w:rsid w:val="005C3972"/>
    <w:rsid w:val="005D4028"/>
    <w:rsid w:val="005D4CD7"/>
    <w:rsid w:val="005E1272"/>
    <w:rsid w:val="005F488B"/>
    <w:rsid w:val="00602121"/>
    <w:rsid w:val="006027AC"/>
    <w:rsid w:val="006030AF"/>
    <w:rsid w:val="0061064A"/>
    <w:rsid w:val="0063564E"/>
    <w:rsid w:val="00636F7A"/>
    <w:rsid w:val="0066220B"/>
    <w:rsid w:val="006661AE"/>
    <w:rsid w:val="0067351E"/>
    <w:rsid w:val="00674402"/>
    <w:rsid w:val="0068668D"/>
    <w:rsid w:val="00687C8F"/>
    <w:rsid w:val="00696C91"/>
    <w:rsid w:val="006A00A3"/>
    <w:rsid w:val="006A2E71"/>
    <w:rsid w:val="006B1EE4"/>
    <w:rsid w:val="006B68DD"/>
    <w:rsid w:val="006B7655"/>
    <w:rsid w:val="006C0D8D"/>
    <w:rsid w:val="006D29E8"/>
    <w:rsid w:val="006D56E5"/>
    <w:rsid w:val="006E1C49"/>
    <w:rsid w:val="006E37D0"/>
    <w:rsid w:val="006F17D2"/>
    <w:rsid w:val="007026D2"/>
    <w:rsid w:val="007068CB"/>
    <w:rsid w:val="007100C7"/>
    <w:rsid w:val="00712F1A"/>
    <w:rsid w:val="0071526E"/>
    <w:rsid w:val="0072451D"/>
    <w:rsid w:val="00724F07"/>
    <w:rsid w:val="00731C46"/>
    <w:rsid w:val="00736A05"/>
    <w:rsid w:val="00741271"/>
    <w:rsid w:val="007464EC"/>
    <w:rsid w:val="00757743"/>
    <w:rsid w:val="00764EC7"/>
    <w:rsid w:val="00770EEA"/>
    <w:rsid w:val="00775D67"/>
    <w:rsid w:val="00776A45"/>
    <w:rsid w:val="007816A6"/>
    <w:rsid w:val="00786384"/>
    <w:rsid w:val="007945CA"/>
    <w:rsid w:val="007A3B34"/>
    <w:rsid w:val="007A4EA1"/>
    <w:rsid w:val="007A594A"/>
    <w:rsid w:val="007C1A9C"/>
    <w:rsid w:val="007C1C4A"/>
    <w:rsid w:val="007C3BB9"/>
    <w:rsid w:val="007C74C8"/>
    <w:rsid w:val="007E3472"/>
    <w:rsid w:val="007E6AF4"/>
    <w:rsid w:val="007F4307"/>
    <w:rsid w:val="007F67B0"/>
    <w:rsid w:val="007F69F9"/>
    <w:rsid w:val="00800132"/>
    <w:rsid w:val="0080118F"/>
    <w:rsid w:val="00802DAB"/>
    <w:rsid w:val="00806706"/>
    <w:rsid w:val="0080673C"/>
    <w:rsid w:val="00825EB0"/>
    <w:rsid w:val="00827EC1"/>
    <w:rsid w:val="0083537E"/>
    <w:rsid w:val="008458F8"/>
    <w:rsid w:val="00846081"/>
    <w:rsid w:val="008474EB"/>
    <w:rsid w:val="0085079E"/>
    <w:rsid w:val="00863ADD"/>
    <w:rsid w:val="00874D72"/>
    <w:rsid w:val="00876CE6"/>
    <w:rsid w:val="00880346"/>
    <w:rsid w:val="0089081A"/>
    <w:rsid w:val="008A4E79"/>
    <w:rsid w:val="008A5D19"/>
    <w:rsid w:val="008A7140"/>
    <w:rsid w:val="008C1C19"/>
    <w:rsid w:val="008C711B"/>
    <w:rsid w:val="008D3BFD"/>
    <w:rsid w:val="008D53DB"/>
    <w:rsid w:val="00904609"/>
    <w:rsid w:val="00912BE5"/>
    <w:rsid w:val="00915B26"/>
    <w:rsid w:val="00921B50"/>
    <w:rsid w:val="00921E47"/>
    <w:rsid w:val="00923BE8"/>
    <w:rsid w:val="00930A97"/>
    <w:rsid w:val="00934E8D"/>
    <w:rsid w:val="0095743A"/>
    <w:rsid w:val="0096217F"/>
    <w:rsid w:val="00964AAB"/>
    <w:rsid w:val="00971DFA"/>
    <w:rsid w:val="009757CD"/>
    <w:rsid w:val="00981A07"/>
    <w:rsid w:val="00987022"/>
    <w:rsid w:val="009902ED"/>
    <w:rsid w:val="009A7919"/>
    <w:rsid w:val="009C41AA"/>
    <w:rsid w:val="009C5C1A"/>
    <w:rsid w:val="009D4314"/>
    <w:rsid w:val="009D556D"/>
    <w:rsid w:val="009F68F0"/>
    <w:rsid w:val="00A00CCA"/>
    <w:rsid w:val="00A0546C"/>
    <w:rsid w:val="00A11ACF"/>
    <w:rsid w:val="00A17EDE"/>
    <w:rsid w:val="00A316DE"/>
    <w:rsid w:val="00A5732B"/>
    <w:rsid w:val="00A61780"/>
    <w:rsid w:val="00A6436C"/>
    <w:rsid w:val="00A6678E"/>
    <w:rsid w:val="00A73ED4"/>
    <w:rsid w:val="00A7740D"/>
    <w:rsid w:val="00AA1F90"/>
    <w:rsid w:val="00AD0082"/>
    <w:rsid w:val="00AD157C"/>
    <w:rsid w:val="00AD4FEC"/>
    <w:rsid w:val="00AD7D6B"/>
    <w:rsid w:val="00AE389B"/>
    <w:rsid w:val="00AE5B0B"/>
    <w:rsid w:val="00AF68D4"/>
    <w:rsid w:val="00B00884"/>
    <w:rsid w:val="00B02826"/>
    <w:rsid w:val="00B10002"/>
    <w:rsid w:val="00B14B5B"/>
    <w:rsid w:val="00B310B0"/>
    <w:rsid w:val="00B33490"/>
    <w:rsid w:val="00B335FD"/>
    <w:rsid w:val="00B41638"/>
    <w:rsid w:val="00B508DA"/>
    <w:rsid w:val="00B53A1F"/>
    <w:rsid w:val="00B57C5A"/>
    <w:rsid w:val="00B61D6B"/>
    <w:rsid w:val="00B6339C"/>
    <w:rsid w:val="00B747A9"/>
    <w:rsid w:val="00B86BD4"/>
    <w:rsid w:val="00BA491F"/>
    <w:rsid w:val="00BC1169"/>
    <w:rsid w:val="00BC4D46"/>
    <w:rsid w:val="00BC4E4A"/>
    <w:rsid w:val="00BD7190"/>
    <w:rsid w:val="00BF038D"/>
    <w:rsid w:val="00BF175D"/>
    <w:rsid w:val="00BF7EBE"/>
    <w:rsid w:val="00C0527D"/>
    <w:rsid w:val="00C05501"/>
    <w:rsid w:val="00C067F5"/>
    <w:rsid w:val="00C12F52"/>
    <w:rsid w:val="00C213E9"/>
    <w:rsid w:val="00C438BD"/>
    <w:rsid w:val="00C644D6"/>
    <w:rsid w:val="00C66ACE"/>
    <w:rsid w:val="00C853FD"/>
    <w:rsid w:val="00C85E99"/>
    <w:rsid w:val="00C921FC"/>
    <w:rsid w:val="00C92DF4"/>
    <w:rsid w:val="00C93BFD"/>
    <w:rsid w:val="00C97798"/>
    <w:rsid w:val="00CB0F4A"/>
    <w:rsid w:val="00CB3155"/>
    <w:rsid w:val="00CB4222"/>
    <w:rsid w:val="00CC5A4E"/>
    <w:rsid w:val="00CD693F"/>
    <w:rsid w:val="00CE15DD"/>
    <w:rsid w:val="00CF4B0B"/>
    <w:rsid w:val="00CF52B0"/>
    <w:rsid w:val="00CF58FB"/>
    <w:rsid w:val="00CF74B5"/>
    <w:rsid w:val="00D0191F"/>
    <w:rsid w:val="00D04831"/>
    <w:rsid w:val="00D056A3"/>
    <w:rsid w:val="00D15A8C"/>
    <w:rsid w:val="00D17F68"/>
    <w:rsid w:val="00D24655"/>
    <w:rsid w:val="00D24A2C"/>
    <w:rsid w:val="00D3016D"/>
    <w:rsid w:val="00D335E2"/>
    <w:rsid w:val="00D33720"/>
    <w:rsid w:val="00D36EAA"/>
    <w:rsid w:val="00D405A8"/>
    <w:rsid w:val="00D53964"/>
    <w:rsid w:val="00D70363"/>
    <w:rsid w:val="00D72609"/>
    <w:rsid w:val="00D74068"/>
    <w:rsid w:val="00D81089"/>
    <w:rsid w:val="00D860E6"/>
    <w:rsid w:val="00D91C03"/>
    <w:rsid w:val="00D92726"/>
    <w:rsid w:val="00D92C70"/>
    <w:rsid w:val="00D94224"/>
    <w:rsid w:val="00DA77FB"/>
    <w:rsid w:val="00DB0CD5"/>
    <w:rsid w:val="00DB14F7"/>
    <w:rsid w:val="00DC3BEB"/>
    <w:rsid w:val="00DC5B96"/>
    <w:rsid w:val="00DC7261"/>
    <w:rsid w:val="00DD2DA3"/>
    <w:rsid w:val="00DD4BC4"/>
    <w:rsid w:val="00DE50ED"/>
    <w:rsid w:val="00DF1470"/>
    <w:rsid w:val="00DF3CBA"/>
    <w:rsid w:val="00DF74FC"/>
    <w:rsid w:val="00E02C98"/>
    <w:rsid w:val="00E04C4E"/>
    <w:rsid w:val="00E114AB"/>
    <w:rsid w:val="00E12D7E"/>
    <w:rsid w:val="00E1488F"/>
    <w:rsid w:val="00E209AC"/>
    <w:rsid w:val="00E30607"/>
    <w:rsid w:val="00E34B91"/>
    <w:rsid w:val="00E4365A"/>
    <w:rsid w:val="00E44242"/>
    <w:rsid w:val="00E51A12"/>
    <w:rsid w:val="00E53687"/>
    <w:rsid w:val="00E6162C"/>
    <w:rsid w:val="00E61F09"/>
    <w:rsid w:val="00E7535E"/>
    <w:rsid w:val="00E80306"/>
    <w:rsid w:val="00E857A8"/>
    <w:rsid w:val="00E90C27"/>
    <w:rsid w:val="00EA1AD4"/>
    <w:rsid w:val="00EA3B0A"/>
    <w:rsid w:val="00EB4C09"/>
    <w:rsid w:val="00EB5AC2"/>
    <w:rsid w:val="00EC0AC6"/>
    <w:rsid w:val="00EC12BC"/>
    <w:rsid w:val="00EC279C"/>
    <w:rsid w:val="00ED2B41"/>
    <w:rsid w:val="00EE05D0"/>
    <w:rsid w:val="00F009FE"/>
    <w:rsid w:val="00F00A44"/>
    <w:rsid w:val="00F012E3"/>
    <w:rsid w:val="00F04826"/>
    <w:rsid w:val="00F07BF4"/>
    <w:rsid w:val="00F102E7"/>
    <w:rsid w:val="00F159EE"/>
    <w:rsid w:val="00F24DCB"/>
    <w:rsid w:val="00F265D7"/>
    <w:rsid w:val="00F317D4"/>
    <w:rsid w:val="00F32A4D"/>
    <w:rsid w:val="00F37D68"/>
    <w:rsid w:val="00F40C5A"/>
    <w:rsid w:val="00F53497"/>
    <w:rsid w:val="00F6532A"/>
    <w:rsid w:val="00F65D4A"/>
    <w:rsid w:val="00F71422"/>
    <w:rsid w:val="00F75FF6"/>
    <w:rsid w:val="00F80685"/>
    <w:rsid w:val="00F82306"/>
    <w:rsid w:val="00F9225C"/>
    <w:rsid w:val="00F97EED"/>
    <w:rsid w:val="00FB5032"/>
    <w:rsid w:val="00FB69FB"/>
    <w:rsid w:val="00FB6D2B"/>
    <w:rsid w:val="00FC1185"/>
    <w:rsid w:val="00FC2C3B"/>
    <w:rsid w:val="00FC3DC2"/>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D58E-3D2E-4CF3-B996-F542D281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106</cp:revision>
  <cp:lastPrinted>2016-12-10T19:59:00Z</cp:lastPrinted>
  <dcterms:created xsi:type="dcterms:W3CDTF">2016-04-22T09:10:00Z</dcterms:created>
  <dcterms:modified xsi:type="dcterms:W3CDTF">2016-12-18T02:05:00Z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